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80" w:right="160" w:hanging="559"/>
        <w:spacing w:after="0" w:line="258"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580" w:right="140" w:hanging="559"/>
        <w:spacing w:after="0" w:line="262"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to ______</w:t>
            </w:r>
          </w:p>
        </w:tc>
      </w:tr>
      <w:tr>
        <w:trPr>
          <w:trHeight w:val="345"/>
        </w:trPr>
        <w:tc>
          <w:tcPr>
            <w:tcW w:w="366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Commission file number: 001-35667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AMBARELLA,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tbl>
      <w:tblPr>
        <w:tblLayout w:type="fixed"/>
        <w:tblInd w:w="1660" w:type="dxa"/>
        <w:tblCellMar>
          <w:top w:w="0" w:type="dxa"/>
          <w:left w:w="0" w:type="dxa"/>
          <w:bottom w:w="0" w:type="dxa"/>
          <w:right w:w="0" w:type="dxa"/>
        </w:tblCellMar>
      </w:tblPr>
      <w:tr>
        <w:trPr>
          <w:trHeight w:val="238"/>
        </w:trPr>
        <w:tc>
          <w:tcPr>
            <w:tcW w:w="5940" w:type="dxa"/>
            <w:vAlign w:val="bottom"/>
          </w:tcPr>
          <w:p>
            <w:pPr>
              <w:jc w:val="center"/>
              <w:ind w:right="3499"/>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15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98-0459628</w:t>
            </w:r>
          </w:p>
        </w:tc>
      </w:tr>
      <w:tr>
        <w:trPr>
          <w:trHeight w:val="151"/>
        </w:trPr>
        <w:tc>
          <w:tcPr>
            <w:tcW w:w="5940" w:type="dxa"/>
            <w:vAlign w:val="bottom"/>
          </w:tcPr>
          <w:p>
            <w:pPr>
              <w:jc w:val="center"/>
              <w:ind w:right="349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00" w:type="dxa"/>
            <w:vAlign w:val="bottom"/>
          </w:tcPr>
          <w:p>
            <w:pPr>
              <w:jc w:val="center"/>
              <w:ind w:left="26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940" w:type="dxa"/>
            <w:vAlign w:val="bottom"/>
          </w:tcPr>
          <w:p>
            <w:pPr>
              <w:jc w:val="center"/>
              <w:ind w:right="34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2"/>
        </w:trPr>
        <w:tc>
          <w:tcPr>
            <w:tcW w:w="594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9"/>
              </w:rPr>
              <w:t>3101 Jay Street</w:t>
            </w:r>
          </w:p>
        </w:tc>
        <w:tc>
          <w:tcPr>
            <w:tcW w:w="1500" w:type="dxa"/>
            <w:vAlign w:val="bottom"/>
          </w:tcPr>
          <w:p>
            <w:pPr>
              <w:spacing w:after="0"/>
              <w:rPr>
                <w:sz w:val="24"/>
                <w:szCs w:val="24"/>
                <w:color w:val="auto"/>
              </w:rPr>
            </w:pPr>
          </w:p>
        </w:tc>
      </w:tr>
      <w:tr>
        <w:trPr>
          <w:trHeight w:val="238"/>
        </w:trPr>
        <w:tc>
          <w:tcPr>
            <w:tcW w:w="5940" w:type="dxa"/>
            <w:vAlign w:val="bottom"/>
          </w:tcPr>
          <w:p>
            <w:pPr>
              <w:jc w:val="center"/>
              <w:ind w:right="3499"/>
              <w:spacing w:after="0"/>
              <w:rPr>
                <w:sz w:val="20"/>
                <w:szCs w:val="20"/>
                <w:color w:val="auto"/>
              </w:rPr>
            </w:pPr>
            <w:r>
              <w:rPr>
                <w:rFonts w:ascii="Times New Roman" w:cs="Times New Roman" w:eastAsia="Times New Roman" w:hAnsi="Times New Roman"/>
                <w:sz w:val="18"/>
                <w:szCs w:val="18"/>
                <w:b w:val="1"/>
                <w:bCs w:val="1"/>
                <w:color w:val="auto"/>
                <w:w w:val="99"/>
              </w:rPr>
              <w:t>Santa Clara, California</w:t>
            </w:r>
          </w:p>
        </w:tc>
        <w:tc>
          <w:tcPr>
            <w:tcW w:w="15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193"/>
        </w:trPr>
        <w:tc>
          <w:tcPr>
            <w:tcW w:w="5940" w:type="dxa"/>
            <w:vAlign w:val="bottom"/>
          </w:tcPr>
          <w:p>
            <w:pPr>
              <w:jc w:val="center"/>
              <w:ind w:right="34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6"/>
        </w:trPr>
        <w:tc>
          <w:tcPr>
            <w:tcW w:w="5940" w:type="dxa"/>
            <w:vAlign w:val="bottom"/>
          </w:tcPr>
          <w:p>
            <w:pPr>
              <w:jc w:val="right"/>
              <w:ind w:right="1339"/>
              <w:spacing w:after="0"/>
              <w:rPr>
                <w:sz w:val="20"/>
                <w:szCs w:val="20"/>
                <w:color w:val="auto"/>
              </w:rPr>
            </w:pPr>
            <w:r>
              <w:rPr>
                <w:rFonts w:ascii="Times New Roman" w:cs="Times New Roman" w:eastAsia="Times New Roman" w:hAnsi="Times New Roman"/>
                <w:sz w:val="18"/>
                <w:szCs w:val="18"/>
                <w:b w:val="1"/>
                <w:bCs w:val="1"/>
                <w:color w:val="auto"/>
              </w:rPr>
              <w:t>(408) 734-8888</w:t>
            </w:r>
          </w:p>
        </w:tc>
        <w:tc>
          <w:tcPr>
            <w:tcW w:w="1500" w:type="dxa"/>
            <w:vAlign w:val="bottom"/>
          </w:tcPr>
          <w:p>
            <w:pPr>
              <w:spacing w:after="0"/>
              <w:rPr>
                <w:sz w:val="24"/>
                <w:szCs w:val="24"/>
                <w:color w:val="auto"/>
              </w:rPr>
            </w:pPr>
          </w:p>
        </w:tc>
      </w:tr>
      <w:tr>
        <w:trPr>
          <w:trHeight w:val="190"/>
        </w:trPr>
        <w:tc>
          <w:tcPr>
            <w:tcW w:w="5940" w:type="dxa"/>
            <w:vAlign w:val="bottom"/>
          </w:tcPr>
          <w:p>
            <w:pPr>
              <w:jc w:val="center"/>
              <w:ind w:left="18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00" w:type="dxa"/>
            <w:vAlign w:val="bottom"/>
          </w:tcPr>
          <w:p>
            <w:pPr>
              <w:spacing w:after="0"/>
              <w:rPr>
                <w:sz w:val="16"/>
                <w:szCs w:val="16"/>
                <w:color w:val="auto"/>
              </w:rPr>
            </w:pPr>
          </w:p>
        </w:tc>
      </w:tr>
    </w:tbl>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6" w:lineRule="exact"/>
        <w:rPr>
          <w:sz w:val="24"/>
          <w:szCs w:val="24"/>
          <w:color w:val="auto"/>
        </w:rPr>
      </w:pPr>
    </w:p>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4"/>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$0.00045 Par Value Per Share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AMBA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36"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43"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1580"/>
        <w:spacing w:after="0" w:line="26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ordinary shares of the Registrant outstanding as of May 31, 2024 was 40,985,225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828040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466"/>
        </w:trPr>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4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65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Balance Sheets at April 30, 2024 and January 31, 2024</w:t>
            </w:r>
          </w:p>
        </w:tc>
        <w:tc>
          <w:tcPr>
            <w:tcW w:w="20" w:type="dxa"/>
            <w:vAlign w:val="bottom"/>
            <w:tcBorders>
              <w:bottom w:val="single" w:sz="8" w:color="0000EE"/>
            </w:tcBorders>
          </w:tcPr>
          <w:p>
            <w:pPr>
              <w:spacing w:after="0"/>
              <w:rPr>
                <w:sz w:val="24"/>
                <w:szCs w:val="24"/>
                <w:color w:val="auto"/>
              </w:rPr>
            </w:pPr>
          </w:p>
        </w:tc>
        <w:tc>
          <w:tcPr>
            <w:tcW w:w="2760" w:type="dxa"/>
            <w:vAlign w:val="bottom"/>
            <w:gridSpan w:val="4"/>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71"/>
        </w:trPr>
        <w:tc>
          <w:tcPr>
            <w:tcW w:w="760" w:type="dxa"/>
            <w:vAlign w:val="bottom"/>
          </w:tcPr>
          <w:p>
            <w:pPr>
              <w:spacing w:after="0"/>
              <w:rPr>
                <w:sz w:val="24"/>
                <w:szCs w:val="24"/>
                <w:color w:val="auto"/>
              </w:rPr>
            </w:pPr>
          </w:p>
        </w:tc>
        <w:tc>
          <w:tcPr>
            <w:tcW w:w="82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Operations for the three months ended April 30, 2024 and 2023</w:t>
            </w:r>
          </w:p>
        </w:tc>
        <w:tc>
          <w:tcPr>
            <w:tcW w:w="1140" w:type="dxa"/>
            <w:vAlign w:val="bottom"/>
            <w:gridSpan w:val="3"/>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72"/>
        </w:trPr>
        <w:tc>
          <w:tcPr>
            <w:tcW w:w="760" w:type="dxa"/>
            <w:vAlign w:val="bottom"/>
          </w:tcPr>
          <w:p>
            <w:pPr>
              <w:spacing w:after="0"/>
              <w:rPr>
                <w:sz w:val="24"/>
                <w:szCs w:val="24"/>
                <w:color w:val="auto"/>
              </w:rPr>
            </w:pPr>
          </w:p>
        </w:tc>
        <w:tc>
          <w:tcPr>
            <w:tcW w:w="9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Loss for the three months ended April 30, 2024 and 2023</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89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Shareholders’ Equity for the three months ended April 30, 2024 and 2023</w:t>
            </w:r>
          </w:p>
        </w:tc>
        <w:tc>
          <w:tcPr>
            <w:tcW w:w="40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72"/>
        </w:trPr>
        <w:tc>
          <w:tcPr>
            <w:tcW w:w="760" w:type="dxa"/>
            <w:vAlign w:val="bottom"/>
          </w:tcPr>
          <w:p>
            <w:pPr>
              <w:spacing w:after="0"/>
              <w:rPr>
                <w:sz w:val="24"/>
                <w:szCs w:val="24"/>
                <w:color w:val="auto"/>
              </w:rPr>
            </w:pPr>
          </w:p>
        </w:tc>
        <w:tc>
          <w:tcPr>
            <w:tcW w:w="82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Cash Flows for the three months ended April 30, 2024 and 2023</w:t>
            </w:r>
          </w:p>
        </w:tc>
        <w:tc>
          <w:tcPr>
            <w:tcW w:w="1080" w:type="dxa"/>
            <w:vAlign w:val="bottom"/>
            <w:gridSpan w:val="2"/>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72"/>
        </w:trPr>
        <w:tc>
          <w:tcPr>
            <w:tcW w:w="760" w:type="dxa"/>
            <w:vAlign w:val="bottom"/>
          </w:tcPr>
          <w:p>
            <w:pPr>
              <w:spacing w:after="0"/>
              <w:rPr>
                <w:sz w:val="24"/>
                <w:szCs w:val="24"/>
                <w:color w:val="auto"/>
              </w:rPr>
            </w:pPr>
          </w:p>
        </w:tc>
        <w:tc>
          <w:tcPr>
            <w:tcW w:w="4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24"/>
                <w:szCs w:val="24"/>
                <w:color w:val="auto"/>
              </w:rPr>
            </w:pPr>
          </w:p>
        </w:tc>
        <w:tc>
          <w:tcPr>
            <w:tcW w:w="4560" w:type="dxa"/>
            <w:vAlign w:val="bottom"/>
            <w:gridSpan w:val="7"/>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71"/>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920" w:type="dxa"/>
            <w:vAlign w:val="bottom"/>
            <w:gridSpan w:val="6"/>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0" w:type="dxa"/>
            <w:vAlign w:val="bottom"/>
            <w:tcBorders>
              <w:top w:val="single" w:sz="8" w:color="0000FF"/>
              <w:bottom w:val="single" w:sz="8" w:color="0000EE"/>
            </w:tcBorders>
          </w:tcPr>
          <w:p>
            <w:pPr>
              <w:spacing w:after="0"/>
              <w:rPr>
                <w:sz w:val="24"/>
                <w:szCs w:val="24"/>
                <w:color w:val="auto"/>
              </w:rPr>
            </w:pPr>
          </w:p>
        </w:tc>
        <w:tc>
          <w:tcPr>
            <w:tcW w:w="2560" w:type="dxa"/>
            <w:vAlign w:val="bottom"/>
            <w:tcBorders>
              <w:top w:val="single" w:sz="8" w:color="0000FF"/>
            </w:tcBorders>
            <w:gridSpan w:val="3"/>
          </w:tcPr>
          <w:p>
            <w:pPr>
              <w:spacing w:after="0"/>
              <w:rPr>
                <w:sz w:val="24"/>
                <w:szCs w:val="24"/>
                <w:color w:val="auto"/>
              </w:rPr>
            </w:pPr>
          </w:p>
        </w:tc>
        <w:tc>
          <w:tcPr>
            <w:tcW w:w="5020" w:type="dxa"/>
            <w:vAlign w:val="bottom"/>
            <w:gridSpan w:val="9"/>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93"/>
        </w:trPr>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7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7360" w:type="dxa"/>
            <w:vAlign w:val="bottom"/>
            <w:gridSpan w:val="11"/>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r>
      <w:tr>
        <w:trPr>
          <w:trHeight w:val="371"/>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8040" w:type="dxa"/>
            <w:vAlign w:val="bottom"/>
            <w:gridSpan w:val="15"/>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60" w:type="dxa"/>
            <w:vAlign w:val="bottom"/>
            <w:gridSpan w:val="16"/>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r>
      <w:tr>
        <w:trPr>
          <w:trHeight w:val="371"/>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8060" w:type="dxa"/>
            <w:vAlign w:val="bottom"/>
            <w:gridSpan w:val="16"/>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6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780" w:type="dxa"/>
            <w:vAlign w:val="bottom"/>
            <w:gridSpan w:val="18"/>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r>
      <w:tr>
        <w:trPr>
          <w:trHeight w:val="371"/>
        </w:trPr>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7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0"/>
        </w:trPr>
        <w:tc>
          <w:tcPr>
            <w:tcW w:w="7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4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226"/>
        </w:trPr>
        <w:tc>
          <w:tcPr>
            <w:tcW w:w="7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144,914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71,537</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75,013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28,325</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266,907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280,157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51,099</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tcPr>
          <w:p>
            <w:pPr>
              <w:spacing w:after="0"/>
              <w:rPr>
                <w:sz w:val="21"/>
                <w:szCs w:val="21"/>
                <w:color w:val="auto"/>
              </w:rPr>
            </w:pPr>
          </w:p>
        </w:tc>
      </w:tr>
      <w:tr>
        <w:trPr>
          <w:trHeight w:val="27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638,660</w:t>
            </w:r>
          </w:p>
        </w:tc>
        <w:tc>
          <w:tcPr>
            <w:tcW w:w="2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657,655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49,714</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48,598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21"/>
                <w:szCs w:val="21"/>
                <w:color w:val="auto"/>
              </w:rPr>
            </w:pPr>
          </w:p>
        </w:tc>
      </w:tr>
      <w:tr>
        <w:trPr>
          <w:trHeight w:val="23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72,245</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82,979</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83,235</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97,784</w:t>
            </w:r>
          </w:p>
        </w:tc>
        <w:tc>
          <w:tcPr>
            <w:tcW w:w="100" w:type="dxa"/>
            <w:vAlign w:val="bottom"/>
          </w:tcPr>
          <w:p>
            <w:pPr>
              <w:spacing w:after="0"/>
              <w:rPr>
                <w:sz w:val="20"/>
                <w:szCs w:val="20"/>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Preference shares, $0.00045 par value per share, 20,000,000 shares authorized and no shares issued</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and outstanding at April 30, 2024 and January 31, 2024, respectively</w:t>
            </w:r>
          </w:p>
        </w:tc>
        <w:tc>
          <w:tcPr>
            <w:tcW w:w="320" w:type="dxa"/>
            <w:vAlign w:val="bottom"/>
            <w:shd w:val="clear" w:color="auto" w:fill="CFF0FC"/>
          </w:tcPr>
          <w:p>
            <w:pPr>
              <w:spacing w:after="0"/>
              <w:rPr>
                <w:sz w:val="21"/>
                <w:szCs w:val="21"/>
                <w:color w:val="auto"/>
              </w:rPr>
            </w:pPr>
          </w:p>
        </w:tc>
        <w:tc>
          <w:tcPr>
            <w:tcW w:w="15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Ordinary shares, $0.00045 par value per share, 200,000,000 shares authorized; 40,985,045 and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40,520,558 shares issued and outstanding at April 30, 2024 and January 31, 2024, respectively</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728,842</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694,967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(172,863 )</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(134,931 )</w:t>
            </w:r>
          </w:p>
        </w:tc>
      </w:tr>
      <w:tr>
        <w:trPr>
          <w:trHeight w:val="236"/>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555,425</w:t>
            </w:r>
          </w:p>
        </w:tc>
        <w:tc>
          <w:tcPr>
            <w:tcW w:w="280" w:type="dxa"/>
            <w:vAlign w:val="bottom"/>
            <w:tcBorders>
              <w:top w:val="single" w:sz="8" w:color="CFF0FC"/>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559,871</w:t>
            </w:r>
          </w:p>
        </w:tc>
        <w:tc>
          <w:tcPr>
            <w:tcW w:w="100" w:type="dxa"/>
            <w:vAlign w:val="bottom"/>
            <w:tcBorders>
              <w:top w:val="single" w:sz="8" w:color="CFF0FC"/>
            </w:tcBorders>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638,660</w:t>
            </w:r>
          </w:p>
        </w:tc>
        <w:tc>
          <w:tcPr>
            <w:tcW w:w="2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657,655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-4705350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-3453765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-3436620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-3453765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-1876425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69"/>
        </w:trPr>
        <w:tc>
          <w:tcPr>
            <w:tcW w:w="79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54,473</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62,142</w:t>
            </w:r>
          </w:p>
        </w:tc>
        <w:tc>
          <w:tcPr>
            <w:tcW w:w="100" w:type="dxa"/>
            <w:vAlign w:val="bottom"/>
            <w:shd w:val="clear" w:color="auto" w:fill="CFF0FC"/>
          </w:tcPr>
          <w:p>
            <w:pPr>
              <w:spacing w:after="0"/>
              <w:rPr>
                <w:sz w:val="20"/>
                <w:szCs w:val="20"/>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21,313</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24,623</w:t>
            </w:r>
          </w:p>
        </w:tc>
        <w:tc>
          <w:tcPr>
            <w:tcW w:w="100" w:type="dxa"/>
            <w:vAlign w:val="bottom"/>
          </w:tcPr>
          <w:p>
            <w:pPr>
              <w:spacing w:after="0"/>
              <w:rPr>
                <w:sz w:val="21"/>
                <w:szCs w:val="21"/>
                <w:color w:val="auto"/>
              </w:rPr>
            </w:pPr>
          </w:p>
        </w:tc>
      </w:tr>
      <w:tr>
        <w:trPr>
          <w:trHeight w:val="237"/>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33,160</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37,519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54,137</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54,441</w:t>
            </w:r>
          </w:p>
        </w:tc>
        <w:tc>
          <w:tcPr>
            <w:tcW w:w="100" w:type="dxa"/>
            <w:vAlign w:val="bottom"/>
            <w:shd w:val="clear" w:color="auto" w:fill="CFF0FC"/>
          </w:tcPr>
          <w:p>
            <w:pPr>
              <w:spacing w:after="0"/>
              <w:rPr>
                <w:sz w:val="21"/>
                <w:szCs w:val="21"/>
                <w:color w:val="auto"/>
              </w:rPr>
            </w:pPr>
          </w:p>
        </w:tc>
      </w:tr>
      <w:tr>
        <w:trPr>
          <w:trHeight w:val="243"/>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18,468</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18,620</w:t>
            </w:r>
          </w:p>
        </w:tc>
        <w:tc>
          <w:tcPr>
            <w:tcW w:w="100" w:type="dxa"/>
            <w:vAlign w:val="bottom"/>
          </w:tcPr>
          <w:p>
            <w:pPr>
              <w:spacing w:after="0"/>
              <w:rPr>
                <w:sz w:val="21"/>
                <w:szCs w:val="21"/>
                <w:color w:val="auto"/>
              </w:rPr>
            </w:pPr>
          </w:p>
        </w:tc>
      </w:tr>
      <w:tr>
        <w:trPr>
          <w:trHeight w:val="237"/>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72,605</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73,061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(39,445 )</w:t>
            </w: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(35,542 )</w:t>
            </w:r>
          </w:p>
        </w:tc>
      </w:tr>
      <w:tr>
        <w:trPr>
          <w:trHeight w:val="247"/>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(37,174 )</w:t>
            </w: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(34,256 )</w:t>
            </w:r>
          </w:p>
        </w:tc>
      </w:tr>
      <w:tr>
        <w:trPr>
          <w:trHeight w:val="245"/>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(37,932 )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(35,902 )</w:t>
            </w:r>
          </w:p>
        </w:tc>
      </w:tr>
      <w:tr>
        <w:trPr>
          <w:trHeight w:val="20"/>
        </w:trPr>
        <w:tc>
          <w:tcPr>
            <w:tcW w:w="7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(0.93 )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(0.91 )</w:t>
            </w:r>
          </w:p>
        </w:tc>
      </w:tr>
      <w:tr>
        <w:trPr>
          <w:trHeight w:val="20"/>
        </w:trPr>
        <w:tc>
          <w:tcPr>
            <w:tcW w:w="7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(0.93 )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(0.91 )</w:t>
            </w:r>
          </w:p>
        </w:tc>
      </w:tr>
      <w:tr>
        <w:trPr>
          <w:trHeight w:val="219"/>
        </w:trPr>
        <w:tc>
          <w:tcPr>
            <w:tcW w:w="7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 ordinary shareholders: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7"/>
        </w:trPr>
        <w:tc>
          <w:tcPr>
            <w:tcW w:w="7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40,774,991</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39,340,791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40,774,991</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39,340,791</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-2485390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-1851025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-1533525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-1216660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-539115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-521970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-205105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-187960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8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(37,932 )</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(35,902 )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(389 )</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21"/>
                <w:szCs w:val="2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(389 )</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98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(38,321 )</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(35,792 )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1920" w:type="dxa"/>
            <w:vAlign w:val="bottom"/>
            <w:gridSpan w:val="3"/>
          </w:tcPr>
          <w:p>
            <w:pPr>
              <w:jc w:val="center"/>
              <w:ind w:left="131"/>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5"/>
                <w:szCs w:val="15"/>
                <w:color w:val="auto"/>
              </w:rPr>
            </w:pPr>
          </w:p>
        </w:tc>
        <w:tc>
          <w:tcPr>
            <w:tcW w:w="9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920" w:type="dxa"/>
            <w:vAlign w:val="bottom"/>
            <w:gridSpan w:val="3"/>
            <w:vMerge w:val="restart"/>
          </w:tcPr>
          <w:p>
            <w:pPr>
              <w:jc w:val="center"/>
              <w:ind w:left="131"/>
              <w:spacing w:after="0"/>
              <w:rPr>
                <w:sz w:val="20"/>
                <w:szCs w:val="20"/>
                <w:color w:val="auto"/>
              </w:rPr>
            </w:pPr>
            <w:r>
              <w:rPr>
                <w:rFonts w:ascii="Times New Roman" w:cs="Times New Roman" w:eastAsia="Times New Roman" w:hAnsi="Times New Roman"/>
                <w:sz w:val="13"/>
                <w:szCs w:val="13"/>
                <w:b w:val="1"/>
                <w:bCs w:val="1"/>
                <w:color w:val="auto"/>
                <w:w w:val="98"/>
              </w:rPr>
              <w:t>Ordinary Shares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192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20" w:type="dxa"/>
            <w:vAlign w:val="bottom"/>
          </w:tcPr>
          <w:p>
            <w:pPr>
              <w:spacing w:after="0"/>
              <w:rPr>
                <w:sz w:val="13"/>
                <w:szCs w:val="13"/>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20" w:type="dxa"/>
            <w:vAlign w:val="bottom"/>
          </w:tcPr>
          <w:p>
            <w:pPr>
              <w:spacing w:after="0"/>
              <w:rPr>
                <w:sz w:val="14"/>
                <w:szCs w:val="14"/>
                <w:color w:val="auto"/>
              </w:rPr>
            </w:pPr>
          </w:p>
        </w:tc>
        <w:tc>
          <w:tcPr>
            <w:tcW w:w="9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Balance--January 31,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40,520,558</w:t>
            </w:r>
          </w:p>
        </w:tc>
        <w:tc>
          <w:tcPr>
            <w:tcW w:w="960" w:type="dxa"/>
            <w:vAlign w:val="bottom"/>
            <w:gridSpan w:val="2"/>
            <w:shd w:val="clear" w:color="auto" w:fill="CFF0FC"/>
          </w:tcPr>
          <w:p>
            <w:pPr>
              <w:jc w:val="right"/>
              <w:ind w:right="553"/>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694,967</w:t>
            </w:r>
          </w:p>
        </w:tc>
        <w:tc>
          <w:tcPr>
            <w:tcW w:w="4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(183 )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(134,931 )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559,871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367,413</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97,074</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loss - net of tax</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(389 )</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(389 )</w:t>
            </w: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(37,932 )</w:t>
            </w:r>
          </w:p>
        </w:tc>
        <w:tc>
          <w:tcPr>
            <w:tcW w:w="2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(37,932 )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Balance--April 30, 2024</w:t>
            </w:r>
          </w:p>
        </w:tc>
        <w:tc>
          <w:tcPr>
            <w:tcW w:w="9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40,985,045</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53"/>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728,842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34"/>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(572 )</w:t>
            </w:r>
          </w:p>
        </w:tc>
        <w:tc>
          <w:tcPr>
            <w:tcW w:w="1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(172,863 )</w:t>
            </w: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555,425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462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920" w:type="dxa"/>
            <w:vAlign w:val="bottom"/>
            <w:gridSpan w:val="3"/>
          </w:tcPr>
          <w:p>
            <w:pPr>
              <w:jc w:val="center"/>
              <w:ind w:left="131"/>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5"/>
                <w:szCs w:val="15"/>
                <w:color w:val="auto"/>
              </w:rPr>
            </w:pPr>
          </w:p>
        </w:tc>
        <w:tc>
          <w:tcPr>
            <w:tcW w:w="9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920" w:type="dxa"/>
            <w:vAlign w:val="bottom"/>
            <w:gridSpan w:val="3"/>
            <w:vMerge w:val="restart"/>
          </w:tcPr>
          <w:p>
            <w:pPr>
              <w:jc w:val="center"/>
              <w:ind w:left="131"/>
              <w:spacing w:after="0"/>
              <w:rPr>
                <w:sz w:val="20"/>
                <w:szCs w:val="20"/>
                <w:color w:val="auto"/>
              </w:rPr>
            </w:pPr>
            <w:r>
              <w:rPr>
                <w:rFonts w:ascii="Times New Roman" w:cs="Times New Roman" w:eastAsia="Times New Roman" w:hAnsi="Times New Roman"/>
                <w:sz w:val="13"/>
                <w:szCs w:val="13"/>
                <w:b w:val="1"/>
                <w:bCs w:val="1"/>
                <w:color w:val="auto"/>
                <w:w w:val="98"/>
              </w:rPr>
              <w:t>Ordinary Shares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192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20" w:type="dxa"/>
            <w:vAlign w:val="bottom"/>
          </w:tcPr>
          <w:p>
            <w:pPr>
              <w:spacing w:after="0"/>
              <w:rPr>
                <w:sz w:val="13"/>
                <w:szCs w:val="13"/>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20" w:type="dxa"/>
            <w:vAlign w:val="bottom"/>
          </w:tcPr>
          <w:p>
            <w:pPr>
              <w:spacing w:after="0"/>
              <w:rPr>
                <w:sz w:val="14"/>
                <w:szCs w:val="14"/>
                <w:color w:val="auto"/>
              </w:rPr>
            </w:pPr>
          </w:p>
        </w:tc>
        <w:tc>
          <w:tcPr>
            <w:tcW w:w="9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Balance--January 31, 2023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39,043,000</w:t>
            </w:r>
          </w:p>
        </w:tc>
        <w:tc>
          <w:tcPr>
            <w:tcW w:w="960" w:type="dxa"/>
            <w:vAlign w:val="bottom"/>
            <w:gridSpan w:val="2"/>
            <w:shd w:val="clear" w:color="auto" w:fill="CFF0FC"/>
          </w:tcPr>
          <w:p>
            <w:pPr>
              <w:jc w:val="right"/>
              <w:ind w:right="553"/>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572,076</w:t>
            </w:r>
          </w:p>
        </w:tc>
        <w:tc>
          <w:tcPr>
            <w:tcW w:w="4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(492 )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34,486</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606,088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467,996</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80,207</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gain - net of tax</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(35,902 )</w:t>
            </w:r>
          </w:p>
        </w:tc>
        <w:tc>
          <w:tcPr>
            <w:tcW w:w="2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(35,902 )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2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Balance--April 30, 2023</w:t>
            </w:r>
          </w:p>
        </w:tc>
        <w:tc>
          <w:tcPr>
            <w:tcW w:w="9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39,591,203</w:t>
            </w: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553"/>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607,971</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34"/>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(382 )</w:t>
            </w:r>
          </w:p>
        </w:tc>
        <w:tc>
          <w:tcPr>
            <w:tcW w:w="1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(1,416 )</w:t>
            </w: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606,191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-1593850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-1576705</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-1593850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-1576705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-1593850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-1576705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-1593850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-1576705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-1576705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-25400</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-8255</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-25400</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-8255</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(37,932 )</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(35,902 )</w:t>
            </w:r>
          </w:p>
        </w:tc>
      </w:tr>
      <w:tr>
        <w:trPr>
          <w:trHeight w:val="23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(used in) operating activities: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6,354</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5,824</w:t>
            </w:r>
          </w:p>
        </w:tc>
        <w:tc>
          <w:tcPr>
            <w:tcW w:w="100" w:type="dxa"/>
            <w:vAlign w:val="bottom"/>
          </w:tcPr>
          <w:p>
            <w:pPr>
              <w:spacing w:after="0"/>
              <w:rPr>
                <w:sz w:val="19"/>
                <w:szCs w:val="19"/>
                <w:color w:val="auto"/>
              </w:rPr>
            </w:pPr>
          </w:p>
        </w:tc>
      </w:tr>
      <w:tr>
        <w:trPr>
          <w:trHeight w:val="23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Amortization (accretion) of premium (discount) on marketable debt securities, net</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(205 )</w:t>
            </w: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(369 )</w:t>
            </w: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Stock-based compensation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26,036</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27,265</w:t>
            </w:r>
          </w:p>
        </w:tc>
        <w:tc>
          <w:tcPr>
            <w:tcW w:w="100" w:type="dxa"/>
            <w:vAlign w:val="bottom"/>
          </w:tcPr>
          <w:p>
            <w:pPr>
              <w:spacing w:after="0"/>
              <w:rPr>
                <w:sz w:val="19"/>
                <w:szCs w:val="19"/>
                <w:color w:val="auto"/>
              </w:rPr>
            </w:pPr>
          </w:p>
        </w:tc>
      </w:tr>
      <w:tr>
        <w:trPr>
          <w:trHeight w:val="23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Deferred income taxes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100" w:type="dxa"/>
            <w:vAlign w:val="bottom"/>
            <w:shd w:val="clear" w:color="auto" w:fill="CFF0FC"/>
          </w:tcPr>
          <w:p>
            <w:pPr>
              <w:spacing w:after="0"/>
              <w:rPr>
                <w:sz w:val="20"/>
                <w:szCs w:val="20"/>
                <w:color w:val="auto"/>
              </w:rPr>
            </w:pP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Other non-cash items, net</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9"/>
                <w:szCs w:val="19"/>
                <w:color w:val="auto"/>
              </w:rPr>
            </w:pPr>
          </w:p>
        </w:tc>
      </w:tr>
      <w:tr>
        <w:trPr>
          <w:trHeight w:val="23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Accounts receivable</w:t>
            </w:r>
          </w:p>
        </w:tc>
        <w:tc>
          <w:tcPr>
            <w:tcW w:w="9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(3,349 )</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22,162</w:t>
            </w:r>
          </w:p>
        </w:tc>
        <w:tc>
          <w:tcPr>
            <w:tcW w:w="100" w:type="dxa"/>
            <w:vAlign w:val="bottom"/>
          </w:tcPr>
          <w:p>
            <w:pPr>
              <w:spacing w:after="0"/>
              <w:rPr>
                <w:sz w:val="19"/>
                <w:szCs w:val="19"/>
                <w:color w:val="auto"/>
              </w:rPr>
            </w:pPr>
          </w:p>
        </w:tc>
      </w:tr>
      <w:tr>
        <w:trPr>
          <w:trHeight w:val="23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Inventories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928</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(737 )</w:t>
            </w: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9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(702 )</w:t>
            </w:r>
          </w:p>
        </w:tc>
        <w:tc>
          <w:tcPr>
            <w:tcW w:w="9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(810 )</w:t>
            </w:r>
          </w:p>
        </w:tc>
      </w:tr>
      <w:tr>
        <w:trPr>
          <w:trHeight w:val="23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Other non-current assets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(13 )</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FF0FC"/>
          </w:tcPr>
          <w:p>
            <w:pPr>
              <w:spacing w:after="0"/>
              <w:rPr>
                <w:sz w:val="20"/>
                <w:szCs w:val="20"/>
                <w:color w:val="auto"/>
              </w:rPr>
            </w:pP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Accounts payable</w:t>
            </w:r>
          </w:p>
        </w:tc>
        <w:tc>
          <w:tcPr>
            <w:tcW w:w="9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(12,037 )</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7,780</w:t>
            </w:r>
          </w:p>
        </w:tc>
        <w:tc>
          <w:tcPr>
            <w:tcW w:w="100" w:type="dxa"/>
            <w:vAlign w:val="bottom"/>
          </w:tcPr>
          <w:p>
            <w:pPr>
              <w:spacing w:after="0"/>
              <w:rPr>
                <w:sz w:val="19"/>
                <w:szCs w:val="19"/>
                <w:color w:val="auto"/>
              </w:rPr>
            </w:pPr>
          </w:p>
        </w:tc>
      </w:tr>
      <w:tr>
        <w:trPr>
          <w:trHeight w:val="23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5,806</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(2,613 )</w:t>
            </w: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Income taxes payable</w:t>
            </w:r>
          </w:p>
        </w:tc>
        <w:tc>
          <w:tcPr>
            <w:tcW w:w="9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(637 )</w:t>
            </w:r>
          </w:p>
        </w:tc>
        <w:tc>
          <w:tcPr>
            <w:tcW w:w="9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(493 )</w:t>
            </w:r>
          </w:p>
        </w:tc>
      </w:tr>
      <w:tr>
        <w:trPr>
          <w:trHeight w:val="23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Deferred revenue</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(152 )</w:t>
            </w:r>
          </w:p>
        </w:tc>
      </w:tr>
      <w:tr>
        <w:trPr>
          <w:trHeight w:val="226"/>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9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(983 )</w:t>
            </w:r>
          </w:p>
        </w:tc>
        <w:tc>
          <w:tcPr>
            <w:tcW w:w="9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(968 )</w:t>
            </w:r>
          </w:p>
        </w:tc>
      </w:tr>
      <w:tr>
        <w:trPr>
          <w:trHeight w:val="232"/>
        </w:trPr>
        <w:tc>
          <w:tcPr>
            <w:tcW w:w="7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9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9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(14,951 )</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22,025</w:t>
            </w:r>
          </w:p>
        </w:tc>
        <w:tc>
          <w:tcPr>
            <w:tcW w:w="100" w:type="dxa"/>
            <w:vAlign w:val="bottom"/>
          </w:tcPr>
          <w:p>
            <w:pPr>
              <w:spacing w:after="0"/>
              <w:rPr>
                <w:sz w:val="19"/>
                <w:szCs w:val="19"/>
                <w:color w:val="auto"/>
              </w:rPr>
            </w:pPr>
          </w:p>
        </w:tc>
      </w:tr>
      <w:tr>
        <w:trPr>
          <w:trHeight w:val="224"/>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Purchase of investments</w:t>
            </w:r>
          </w:p>
        </w:tc>
        <w:tc>
          <w:tcPr>
            <w:tcW w:w="9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(6,653 )</w:t>
            </w:r>
          </w:p>
        </w:tc>
        <w:tc>
          <w:tcPr>
            <w:tcW w:w="9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(19,790 )</w:t>
            </w:r>
          </w:p>
        </w:tc>
      </w:tr>
      <w:tr>
        <w:trPr>
          <w:trHeight w:val="23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Sales of investments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7,195</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1,468</w:t>
            </w:r>
          </w:p>
        </w:tc>
        <w:tc>
          <w:tcPr>
            <w:tcW w:w="100" w:type="dxa"/>
            <w:vAlign w:val="bottom"/>
            <w:shd w:val="clear" w:color="auto" w:fill="CFF0FC"/>
          </w:tcPr>
          <w:p>
            <w:pPr>
              <w:spacing w:after="0"/>
              <w:rPr>
                <w:sz w:val="20"/>
                <w:szCs w:val="20"/>
                <w:color w:val="auto"/>
              </w:rPr>
            </w:pPr>
          </w:p>
        </w:tc>
      </w:tr>
      <w:tr>
        <w:trPr>
          <w:trHeight w:val="262"/>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Maturities of investments</w:t>
            </w:r>
          </w:p>
        </w:tc>
        <w:tc>
          <w:tcPr>
            <w:tcW w:w="9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2,725</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12,410</w:t>
            </w:r>
          </w:p>
        </w:tc>
        <w:tc>
          <w:tcPr>
            <w:tcW w:w="100" w:type="dxa"/>
            <w:vAlign w:val="bottom"/>
          </w:tcPr>
          <w:p>
            <w:pPr>
              <w:spacing w:after="0"/>
              <w:rPr>
                <w:sz w:val="22"/>
                <w:szCs w:val="22"/>
                <w:color w:val="auto"/>
              </w:rPr>
            </w:pPr>
          </w:p>
        </w:tc>
      </w:tr>
      <w:tr>
        <w:trPr>
          <w:trHeight w:val="23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Purchase of tangible and intangible assets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(1,132 )</w:t>
            </w: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(2,298 )</w:t>
            </w:r>
          </w:p>
        </w:tc>
      </w:tr>
      <w:tr>
        <w:trPr>
          <w:trHeight w:val="20"/>
        </w:trPr>
        <w:tc>
          <w:tcPr>
            <w:tcW w:w="77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2,135</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(8,210 )</w:t>
            </w:r>
          </w:p>
        </w:tc>
      </w:tr>
      <w:tr>
        <w:trPr>
          <w:trHeight w:val="224"/>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exercise of stock options and employee stock purchase plan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2,903</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2,592</w:t>
            </w:r>
          </w:p>
        </w:tc>
        <w:tc>
          <w:tcPr>
            <w:tcW w:w="100" w:type="dxa"/>
            <w:vAlign w:val="bottom"/>
          </w:tcPr>
          <w:p>
            <w:pPr>
              <w:spacing w:after="0"/>
              <w:rPr>
                <w:sz w:val="19"/>
                <w:szCs w:val="19"/>
                <w:color w:val="auto"/>
              </w:rPr>
            </w:pPr>
          </w:p>
        </w:tc>
      </w:tr>
      <w:tr>
        <w:trPr>
          <w:trHeight w:val="232"/>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Long-term financing payment for intangible assets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(3,191 )</w:t>
            </w: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(2,207 )</w:t>
            </w:r>
          </w:p>
        </w:tc>
      </w:tr>
      <w:tr>
        <w:trPr>
          <w:trHeight w:val="20"/>
        </w:trPr>
        <w:tc>
          <w:tcPr>
            <w:tcW w:w="77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9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(288 )</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(13,104 )</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14,200</w:t>
            </w:r>
          </w:p>
        </w:tc>
        <w:tc>
          <w:tcPr>
            <w:tcW w:w="100" w:type="dxa"/>
            <w:vAlign w:val="bottom"/>
            <w:shd w:val="clear" w:color="auto" w:fill="CFF0FC"/>
          </w:tcPr>
          <w:p>
            <w:pPr>
              <w:spacing w:after="0"/>
              <w:rPr>
                <w:sz w:val="19"/>
                <w:szCs w:val="19"/>
                <w:color w:val="auto"/>
              </w:rPr>
            </w:pPr>
          </w:p>
        </w:tc>
      </w:tr>
      <w:tr>
        <w:trPr>
          <w:trHeight w:val="228"/>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144,921</w:t>
            </w:r>
          </w:p>
        </w:tc>
        <w:tc>
          <w:tcPr>
            <w:tcW w:w="2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113,549</w:t>
            </w:r>
          </w:p>
        </w:tc>
        <w:tc>
          <w:tcPr>
            <w:tcW w:w="100" w:type="dxa"/>
            <w:vAlign w:val="bottom"/>
          </w:tcPr>
          <w:p>
            <w:pPr>
              <w:spacing w:after="0"/>
              <w:rPr>
                <w:sz w:val="19"/>
                <w:szCs w:val="19"/>
                <w:color w:val="auto"/>
              </w:rPr>
            </w:pPr>
          </w:p>
        </w:tc>
      </w:tr>
      <w:tr>
        <w:trPr>
          <w:trHeight w:val="264"/>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94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131,817</w:t>
            </w:r>
          </w:p>
        </w:tc>
        <w:tc>
          <w:tcPr>
            <w:tcW w:w="2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127,749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1"/>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94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1,084</w:t>
            </w: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auto"/>
            </w:tcBorders>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8"/>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activities: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1"/>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Unpaid liabilities related to tangible and intangible assets purchases</w:t>
            </w:r>
          </w:p>
        </w:tc>
        <w:tc>
          <w:tcPr>
            <w:tcW w:w="94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auto"/>
            </w:tcBorders>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-2785745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-2785745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-1868170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-1268095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-659765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-642620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-342265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-325120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left="480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Ambarella, Inc. (the Company) was incorporated in the Cayman Islands on January 15, 2004. The Company is a leading developer of low-power semiconductor solutions offering high-definition (HD) and Ultra HD compression, advanced image signal processing, and powerful artificial intelligence (AI) processing.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 high-definition video processing, image processing, AI computer vision algorithms, audio processing and system functions onto a single chip. These low power SoCs deliver exceptional video and image quality and can extract valuable data from high-resolution video and radar streams. The Company is currently addressing a broad range of human and computer vision applications, including video security, advanced driver assistance systems (ADAS), electronic mirrors, drive recorders, driver/cabin monitoring systems, autonomous driving, and industrial and robotic applications.</w:t>
      </w:r>
    </w:p>
    <w:p>
      <w:pPr>
        <w:spacing w:after="0" w:line="18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Company sells its solutions to leading original equipment manufacturers, or OEMs, who include the Company’s SoCs in their products, and original design manufacturers, or ODMs, who include the Company’s SoCs in the products that they supply to OEMs, globally.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2024 fiscal year filed with the SEC on March 29, 2024 (the Form 10-K) and updated, as necessary, in this Form 10-Q. The year-end condensed consolidated balance sheet data presented for comparative purposes was derived from audited financial statements.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described in Note 1 - Organization and Summary of Significant Accounting Policies, of the Notes to Consolidated Financial Statements included in the Company’s Annual Report on Form 10-K for the fiscal year ended January 31, 2024.</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 w:name="page9"/>
    <w:bookmarkEnd w:id="8"/>
    <w:p>
      <w:pPr>
        <w:ind w:right="140" w:firstLine="554"/>
        <w:spacing w:after="0" w:line="256" w:lineRule="auto"/>
        <w:rPr>
          <w:sz w:val="20"/>
          <w:szCs w:val="20"/>
          <w:color w:val="auto"/>
        </w:rPr>
      </w:pPr>
      <w:r>
        <w:rPr>
          <w:rFonts w:ascii="Times New Roman" w:cs="Times New Roman" w:eastAsia="Times New Roman" w:hAnsi="Times New Roman"/>
          <w:sz w:val="18"/>
          <w:szCs w:val="18"/>
          <w:color w:val="auto"/>
        </w:rPr>
        <w:t>A substantial portion of the Company’s revenue is derived from sales through one of its distributors, WT Microelectronics Co., Ltd., formerly Wintech Microelectronics Co., Ltd., or WT, which serves as its non-exclusive sales representative and fulfillment partner in Asia other than Japan, and to one ODM, Chicony Electronics Co., Ltd., or Chicony, which manufactures devices incorporating the Company’s solutions on behalf of multiple end-customers. Termination of the relationships with these customers could result in a temporary or permanent loss of revenue. Furthermore, any credit issues from these customers could impair their abilities to make timely payment to the Company. See Note 15 for additional information regarding revenue and credit concentration with these customers.</w:t>
      </w:r>
    </w:p>
    <w:p>
      <w:pPr>
        <w:spacing w:after="0" w:line="187" w:lineRule="exact"/>
        <w:rPr>
          <w:sz w:val="20"/>
          <w:szCs w:val="20"/>
          <w:color w:val="auto"/>
        </w:rPr>
      </w:pPr>
    </w:p>
    <w:p>
      <w:pPr>
        <w:ind w:firstLine="554"/>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fixed deposit accounts, commercial paper, corporate bonds, asset-backed securities and U.S. government securities which management assesses to be highly liquid. The Company does not hold or issue financial instruments for trading purposes.</w:t>
      </w:r>
    </w:p>
    <w:p>
      <w:pPr>
        <w:spacing w:after="0" w:line="187"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Company performs ongoing credit evaluation of its customers and adjusts credit limits based upon payment history and customers’ credit worthiness. The Company regularly monitors collections and payments from its customers.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Amounts included in restricted cash represent those required to be set aside to secure certain transactions in a foreign entity. As of April 30, 2024 and January 31, 2024, restricted cash was immaterial, respectively. The following table presents cash, cash equivalents and restricted cash reported on the condensed consolidated balance sheets, and the totals are presented on the condensed consolidated statements of cash flows: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37"/>
              <w:spacing w:after="0" w:line="131"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4"/>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131,810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144,914</w:t>
            </w: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127,741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113,541</w:t>
            </w:r>
          </w:p>
        </w:tc>
        <w:tc>
          <w:tcPr>
            <w:tcW w:w="8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800" w:type="dxa"/>
            <w:vAlign w:val="bottom"/>
            <w:shd w:val="clear" w:color="auto" w:fill="CFF0FC"/>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as presented in the condensed</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131,817</w:t>
            </w:r>
          </w:p>
        </w:tc>
        <w:tc>
          <w:tcPr>
            <w:tcW w:w="200" w:type="dxa"/>
            <w:vAlign w:val="bottom"/>
            <w:vMerge w:val="restart"/>
            <w:shd w:val="clear" w:color="auto" w:fill="CFF0FC"/>
          </w:tcPr>
          <w:p>
            <w:pPr>
              <w:spacing w:after="0"/>
              <w:rPr>
                <w:sz w:val="17"/>
                <w:szCs w:val="17"/>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144,921</w:t>
            </w:r>
          </w:p>
        </w:tc>
        <w:tc>
          <w:tcPr>
            <w:tcW w:w="180" w:type="dxa"/>
            <w:vAlign w:val="bottom"/>
            <w:vMerge w:val="restart"/>
            <w:shd w:val="clear" w:color="auto" w:fill="CFF0FC"/>
          </w:tcPr>
          <w:p>
            <w:pPr>
              <w:spacing w:after="0"/>
              <w:rPr>
                <w:sz w:val="17"/>
                <w:szCs w:val="17"/>
                <w:color w:val="auto"/>
              </w:rPr>
            </w:pP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127,749</w:t>
            </w:r>
          </w:p>
        </w:tc>
        <w:tc>
          <w:tcPr>
            <w:tcW w:w="180" w:type="dxa"/>
            <w:vAlign w:val="bottom"/>
            <w:vMerge w:val="restart"/>
            <w:shd w:val="clear" w:color="auto" w:fill="CFF0FC"/>
          </w:tcPr>
          <w:p>
            <w:pPr>
              <w:spacing w:after="0"/>
              <w:rPr>
                <w:sz w:val="17"/>
                <w:szCs w:val="17"/>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113,549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3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180" w:type="dxa"/>
            <w:vAlign w:val="bottom"/>
            <w:tcBorders>
              <w:bottom w:val="single" w:sz="8" w:color="CFF0FC"/>
            </w:tcBorders>
            <w:vMerge w:val="continue"/>
            <w:shd w:val="clear" w:color="auto" w:fill="CFF0FC"/>
          </w:tcPr>
          <w:p>
            <w:pPr>
              <w:spacing w:after="0"/>
              <w:rPr>
                <w:sz w:val="21"/>
                <w:szCs w:val="21"/>
                <w:color w:val="auto"/>
              </w:rPr>
            </w:pP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18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-24765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514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has been no adoption of any new and recently issued accounting pronouncements.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Financial Instruments and Fair Value</w:t>
      </w:r>
    </w:p>
    <w:p>
      <w:pPr>
        <w:spacing w:after="0" w:line="121" w:lineRule="exact"/>
        <w:rPr>
          <w:sz w:val="20"/>
          <w:szCs w:val="20"/>
          <w:color w:val="auto"/>
        </w:rPr>
      </w:pPr>
    </w:p>
    <w:p>
      <w:pPr>
        <w:ind w:right="60" w:firstLine="554"/>
        <w:spacing w:after="0" w:line="266" w:lineRule="auto"/>
        <w:rPr>
          <w:sz w:val="20"/>
          <w:szCs w:val="20"/>
          <w:color w:val="auto"/>
        </w:rPr>
      </w:pPr>
      <w:r>
        <w:rPr>
          <w:rFonts w:ascii="Times New Roman" w:cs="Times New Roman" w:eastAsia="Times New Roman" w:hAnsi="Times New Roman"/>
          <w:sz w:val="18"/>
          <w:szCs w:val="18"/>
          <w:color w:val="auto"/>
        </w:rPr>
        <w:t>The Company invests a portion of its cash in money market funds and debt securities that are denominated in United States dollars. The debt security investment portfolio consists of commercial paper, corporate bonds, asset-backed securities and U.S. government securities. All of the investments are classified as available-for-sale securities and reported at fair value in the condensed consolidated balance sheets as follows: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 April 30, 2024</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220" w:type="dxa"/>
            <w:vAlign w:val="bottom"/>
          </w:tcPr>
          <w:p>
            <w:pPr>
              <w:spacing w:after="0"/>
              <w:rPr>
                <w:sz w:val="13"/>
                <w:szCs w:val="13"/>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17"/>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8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w w:val="73"/>
              </w:rPr>
              <w:t>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42,221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(297 )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(123 )</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23,189</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(189 )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97,561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220" w:type="dxa"/>
            <w:vAlign w:val="bottom"/>
          </w:tcPr>
          <w:p>
            <w:pPr>
              <w:spacing w:after="0"/>
              <w:rPr>
                <w:sz w:val="13"/>
                <w:szCs w:val="13"/>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17"/>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8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w w:val="73"/>
              </w:rPr>
              <w:t>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38,867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(135 )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(96 )</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(146 )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106,299</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-1765300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-1765300</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-1765300</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-1765300</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-187960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160"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breakdown of unrealized losses as of April 30, 2024 and January 31, 2024, respectively, aggregated by investment category and length of time that individual securities have been in a continuous loss position: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As of April 30, 2024</w:t>
            </w: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4"/>
                <w:szCs w:val="14"/>
                <w:color w:val="auto"/>
              </w:rPr>
            </w:pPr>
          </w:p>
        </w:tc>
        <w:tc>
          <w:tcPr>
            <w:tcW w:w="19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4"/>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Borders>
              <w:bottom w:val="single" w:sz="8" w:color="auto"/>
            </w:tcBorders>
            <w:gridSpan w:val="2"/>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27,191</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86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1"/>
              </w:rPr>
              <w:t>(132 )</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35,154</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(297 )</w:t>
            </w:r>
          </w:p>
        </w:tc>
        <w:tc>
          <w:tcPr>
            <w:tcW w:w="0" w:type="dxa"/>
            <w:vAlign w:val="bottom"/>
          </w:tcPr>
          <w:p>
            <w:pPr>
              <w:spacing w:after="0"/>
              <w:rPr>
                <w:sz w:val="1"/>
                <w:szCs w:val="1"/>
                <w:color w:val="auto"/>
              </w:rPr>
            </w:pPr>
          </w:p>
        </w:tc>
      </w:tr>
      <w:tr>
        <w:trPr>
          <w:trHeight w:val="250"/>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1"/>
              </w:rPr>
              <w:t>(104 )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15,357</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(97 )</w:t>
            </w:r>
          </w:p>
        </w:tc>
        <w:tc>
          <w:tcPr>
            <w:tcW w:w="1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(92 )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240" w:type="dxa"/>
            <w:vAlign w:val="bottom"/>
            <w:gridSpan w:val="2"/>
            <w:shd w:val="clear" w:color="auto" w:fill="CFF0FC"/>
          </w:tcPr>
          <w:p>
            <w:pPr>
              <w:ind w:left="200"/>
              <w:spacing w:after="0" w:line="205" w:lineRule="exact"/>
              <w:rPr>
                <w:sz w:val="20"/>
                <w:szCs w:val="20"/>
                <w:color w:val="auto"/>
              </w:rPr>
            </w:pPr>
            <w:r>
              <w:rPr>
                <w:rFonts w:ascii="Times New Roman" w:cs="Times New Roman" w:eastAsia="Times New Roman" w:hAnsi="Times New Roman"/>
                <w:sz w:val="18"/>
                <w:szCs w:val="18"/>
                <w:color w:val="auto"/>
              </w:rPr>
              <w:t>Total marketable debt securities at loss</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47,529</w:t>
            </w:r>
          </w:p>
        </w:tc>
        <w:tc>
          <w:tcPr>
            <w:tcW w:w="260" w:type="dxa"/>
            <w:vAlign w:val="bottom"/>
            <w:shd w:val="clear" w:color="auto" w:fill="CFF0FC"/>
          </w:tcPr>
          <w:p>
            <w:pPr>
              <w:spacing w:after="0"/>
              <w:rPr>
                <w:sz w:val="17"/>
                <w:szCs w:val="17"/>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(281 )</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22,811</w:t>
            </w:r>
          </w:p>
        </w:tc>
        <w:tc>
          <w:tcPr>
            <w:tcW w:w="860" w:type="dxa"/>
            <w:vAlign w:val="bottom"/>
            <w:gridSpan w:val="2"/>
            <w:vMerge w:val="restart"/>
            <w:shd w:val="clear" w:color="auto" w:fill="CFF0FC"/>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46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1"/>
              </w:rPr>
              <w:t>(328 )</w:t>
            </w:r>
          </w:p>
        </w:tc>
        <w:tc>
          <w:tcPr>
            <w:tcW w:w="120" w:type="dxa"/>
            <w:vAlign w:val="bottom"/>
            <w:shd w:val="clear" w:color="auto" w:fill="CFF0FC"/>
          </w:tcPr>
          <w:p>
            <w:pPr>
              <w:spacing w:after="0"/>
              <w:rPr>
                <w:sz w:val="17"/>
                <w:szCs w:val="17"/>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70,340</w:t>
            </w:r>
          </w:p>
        </w:tc>
        <w:tc>
          <w:tcPr>
            <w:tcW w:w="3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(609 )</w:t>
            </w:r>
          </w:p>
        </w:tc>
        <w:tc>
          <w:tcPr>
            <w:tcW w:w="0" w:type="dxa"/>
            <w:vAlign w:val="bottom"/>
          </w:tcPr>
          <w:p>
            <w:pPr>
              <w:spacing w:after="0"/>
              <w:rPr>
                <w:sz w:val="1"/>
                <w:szCs w:val="1"/>
                <w:color w:val="auto"/>
              </w:rPr>
            </w:pPr>
          </w:p>
        </w:tc>
      </w:tr>
      <w:tr>
        <w:trPr>
          <w:trHeight w:val="227"/>
        </w:trPr>
        <w:tc>
          <w:tcPr>
            <w:tcW w:w="32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position</w:t>
            </w:r>
          </w:p>
        </w:tc>
        <w:tc>
          <w:tcPr>
            <w:tcW w:w="180" w:type="dxa"/>
            <w:vAlign w:val="bottom"/>
            <w:vMerge w:val="continue"/>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940" w:type="dxa"/>
            <w:vAlign w:val="bottom"/>
            <w:gridSpan w:val="2"/>
            <w:vMerge w:val="continue"/>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gridSpan w:val="3"/>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940" w:type="dxa"/>
            <w:vAlign w:val="bottom"/>
            <w:gridSpan w:val="3"/>
            <w:vMerge w:val="continue"/>
            <w:shd w:val="clear" w:color="auto" w:fill="CFF0FC"/>
          </w:tcPr>
          <w:p>
            <w:pPr>
              <w:spacing w:after="0"/>
              <w:rPr>
                <w:sz w:val="19"/>
                <w:szCs w:val="19"/>
                <w:color w:val="auto"/>
              </w:rPr>
            </w:pPr>
          </w:p>
        </w:tc>
        <w:tc>
          <w:tcPr>
            <w:tcW w:w="380" w:type="dxa"/>
            <w:vAlign w:val="bottom"/>
            <w:gridSpan w:val="2"/>
            <w:vMerge w:val="continue"/>
            <w:shd w:val="clear" w:color="auto" w:fill="CFF0FC"/>
          </w:tcPr>
          <w:p>
            <w:pPr>
              <w:spacing w:after="0"/>
              <w:rPr>
                <w:sz w:val="19"/>
                <w:szCs w:val="19"/>
                <w:color w:val="auto"/>
              </w:rPr>
            </w:pPr>
          </w:p>
        </w:tc>
        <w:tc>
          <w:tcPr>
            <w:tcW w:w="10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4"/>
                <w:szCs w:val="14"/>
                <w:color w:val="auto"/>
              </w:rPr>
            </w:pPr>
          </w:p>
        </w:tc>
        <w:tc>
          <w:tcPr>
            <w:tcW w:w="19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4"/>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gridSpan w:val="2"/>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Borders>
              <w:bottom w:val="single" w:sz="8" w:color="auto"/>
            </w:tcBorders>
            <w:gridSpan w:val="2"/>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86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4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1"/>
              </w:rPr>
              <w:t>(116 )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17,413</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39"/>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47"/>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(65 )</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0"/>
        </w:trPr>
        <w:tc>
          <w:tcPr>
            <w:tcW w:w="170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240" w:type="dxa"/>
            <w:vAlign w:val="bottom"/>
            <w:gridSpan w:val="2"/>
          </w:tcPr>
          <w:p>
            <w:pPr>
              <w:ind w:left="200"/>
              <w:spacing w:after="0" w:line="205" w:lineRule="exact"/>
              <w:rPr>
                <w:sz w:val="20"/>
                <w:szCs w:val="20"/>
                <w:color w:val="auto"/>
              </w:rPr>
            </w:pPr>
            <w:r>
              <w:rPr>
                <w:rFonts w:ascii="Times New Roman" w:cs="Times New Roman" w:eastAsia="Times New Roman" w:hAnsi="Times New Roman"/>
                <w:sz w:val="18"/>
                <w:szCs w:val="18"/>
                <w:color w:val="auto"/>
              </w:rPr>
              <w:t>Total marketable debt securities at loss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28,891</w:t>
            </w:r>
          </w:p>
        </w:tc>
        <w:tc>
          <w:tcPr>
            <w:tcW w:w="26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(99 )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20,604</w:t>
            </w:r>
          </w:p>
        </w:tc>
        <w:tc>
          <w:tcPr>
            <w:tcW w:w="860" w:type="dxa"/>
            <w:vAlign w:val="bottom"/>
            <w:gridSpan w:val="2"/>
            <w:vMerge w:val="restart"/>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4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w w:val="91"/>
              </w:rPr>
              <w:t>(278 )</w:t>
            </w:r>
          </w:p>
        </w:tc>
        <w:tc>
          <w:tcPr>
            <w:tcW w:w="1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49,495</w:t>
            </w:r>
          </w:p>
        </w:tc>
        <w:tc>
          <w:tcPr>
            <w:tcW w:w="3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(377 )</w:t>
            </w:r>
          </w:p>
        </w:tc>
        <w:tc>
          <w:tcPr>
            <w:tcW w:w="0" w:type="dxa"/>
            <w:vAlign w:val="bottom"/>
          </w:tcPr>
          <w:p>
            <w:pPr>
              <w:spacing w:after="0"/>
              <w:rPr>
                <w:sz w:val="1"/>
                <w:szCs w:val="1"/>
                <w:color w:val="auto"/>
              </w:rPr>
            </w:pPr>
          </w:p>
        </w:tc>
      </w:tr>
      <w:tr>
        <w:trPr>
          <w:trHeight w:val="207"/>
        </w:trPr>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position</w:t>
            </w:r>
          </w:p>
        </w:tc>
        <w:tc>
          <w:tcPr>
            <w:tcW w:w="1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Borders>
              <w:bottom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bottom w:val="single" w:sz="8" w:color="auto"/>
            </w:tcBorders>
            <w:gridSpan w:val="5"/>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3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29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cash equivalents</w:t>
            </w:r>
          </w:p>
        </w:tc>
        <w:tc>
          <w:tcPr>
            <w:tcW w:w="160" w:type="dxa"/>
            <w:vAlign w:val="bottom"/>
            <w:shd w:val="clear" w:color="auto" w:fill="CFF0FC"/>
          </w:tcPr>
          <w:p>
            <w:pPr>
              <w:spacing w:after="0"/>
              <w:rPr>
                <w:sz w:val="23"/>
                <w:szCs w:val="23"/>
                <w:color w:val="auto"/>
              </w:rPr>
            </w:pPr>
          </w:p>
        </w:tc>
        <w:tc>
          <w:tcPr>
            <w:tcW w:w="96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94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25,452</w:t>
            </w:r>
          </w:p>
        </w:tc>
        <w:tc>
          <w:tcPr>
            <w:tcW w:w="160" w:type="dxa"/>
            <w:vAlign w:val="bottom"/>
            <w:shd w:val="clear" w:color="auto" w:fill="CFF0FC"/>
          </w:tcPr>
          <w:p>
            <w:pPr>
              <w:spacing w:after="0"/>
              <w:rPr>
                <w:sz w:val="23"/>
                <w:szCs w:val="23"/>
                <w:color w:val="auto"/>
              </w:rPr>
            </w:pPr>
          </w:p>
        </w:tc>
        <w:tc>
          <w:tcPr>
            <w:tcW w:w="3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31,103</w:t>
            </w:r>
          </w:p>
        </w:tc>
        <w:tc>
          <w:tcPr>
            <w:tcW w:w="80" w:type="dxa"/>
            <w:vAlign w:val="bottom"/>
            <w:shd w:val="clear" w:color="auto" w:fill="CFF0FC"/>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2"/>
                <w:szCs w:val="22"/>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Included in marketable debt securities</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71,537</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75,013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4"/>
                <w:szCs w:val="24"/>
                <w:color w:val="auto"/>
              </w:rPr>
            </w:pPr>
          </w:p>
        </w:tc>
        <w:tc>
          <w:tcPr>
            <w:tcW w:w="4300" w:type="dxa"/>
            <w:vAlign w:val="bottom"/>
            <w:gridSpan w:val="7"/>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80" w:type="dxa"/>
            <w:vAlign w:val="bottom"/>
            <w:shd w:val="clear" w:color="auto" w:fill="CFF0FC"/>
          </w:tcPr>
          <w:p>
            <w:pPr>
              <w:spacing w:after="0"/>
              <w:rPr>
                <w:sz w:val="24"/>
                <w:szCs w:val="24"/>
                <w:color w:val="auto"/>
              </w:rPr>
            </w:pPr>
          </w:p>
        </w:tc>
        <w:tc>
          <w:tcPr>
            <w:tcW w:w="94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96,989</w:t>
            </w:r>
          </w:p>
        </w:tc>
        <w:tc>
          <w:tcPr>
            <w:tcW w:w="160" w:type="dxa"/>
            <w:vAlign w:val="bottom"/>
            <w:shd w:val="clear" w:color="auto" w:fill="CFF0FC"/>
          </w:tcPr>
          <w:p>
            <w:pPr>
              <w:spacing w:after="0"/>
              <w:rPr>
                <w:sz w:val="24"/>
                <w:szCs w:val="24"/>
                <w:color w:val="auto"/>
              </w:rPr>
            </w:pPr>
          </w:p>
        </w:tc>
        <w:tc>
          <w:tcPr>
            <w:tcW w:w="3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106,116</w:t>
            </w:r>
          </w:p>
        </w:tc>
        <w:tc>
          <w:tcPr>
            <w:tcW w:w="80" w:type="dxa"/>
            <w:vAlign w:val="bottom"/>
            <w:shd w:val="clear" w:color="auto" w:fill="CFF0FC"/>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1700" w:type="dxa"/>
            <w:vAlign w:val="bottom"/>
          </w:tcPr>
          <w:p>
            <w:pPr>
              <w:spacing w:after="0"/>
              <w:rPr>
                <w:sz w:val="24"/>
                <w:szCs w:val="24"/>
                <w:color w:val="auto"/>
              </w:rPr>
            </w:pPr>
          </w:p>
        </w:tc>
        <w:tc>
          <w:tcPr>
            <w:tcW w:w="15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4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7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-3736975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-3719830</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-3736975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-3719830</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-3736975</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-3719830</wp:posOffset>
            </wp:positionV>
            <wp:extent cx="768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-3736975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-3719830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-3736975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-3719830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-3736975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-2527935</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-2527935</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-2527935</wp:posOffset>
            </wp:positionV>
            <wp:extent cx="768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-2527935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-2527935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-925195</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-908050</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-925195</wp:posOffset>
            </wp:positionV>
            <wp:extent cx="431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-908050</wp:posOffset>
            </wp:positionV>
            <wp:extent cx="431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555"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color w:val="auto"/>
        </w:rPr>
        <w:t>The contractual maturities of the investments at April 30, 2024 and January 31, 2024 were as follows: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93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80" w:type="dxa"/>
            <w:vAlign w:val="bottom"/>
          </w:tcPr>
          <w:p>
            <w:pPr>
              <w:spacing w:after="0"/>
              <w:rPr>
                <w:sz w:val="17"/>
                <w:szCs w:val="17"/>
                <w:color w:val="auto"/>
              </w:rPr>
            </w:pPr>
          </w:p>
        </w:tc>
      </w:tr>
      <w:tr>
        <w:trPr>
          <w:trHeight w:val="237"/>
        </w:trPr>
        <w:tc>
          <w:tcPr>
            <w:tcW w:w="4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7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54,987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50,216</w:t>
            </w:r>
          </w:p>
        </w:tc>
        <w:tc>
          <w:tcPr>
            <w:tcW w:w="80" w:type="dxa"/>
            <w:vAlign w:val="bottom"/>
            <w:shd w:val="clear" w:color="auto" w:fill="CFF0FC"/>
          </w:tcPr>
          <w:p>
            <w:pPr>
              <w:spacing w:after="0"/>
              <w:rPr>
                <w:sz w:val="23"/>
                <w:szCs w:val="23"/>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Due in 1 - 5 years</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42,002</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55,900</w:t>
            </w:r>
          </w:p>
        </w:tc>
        <w:tc>
          <w:tcPr>
            <w:tcW w:w="80" w:type="dxa"/>
            <w:vAlign w:val="bottom"/>
          </w:tcPr>
          <w:p>
            <w:pPr>
              <w:spacing w:after="0"/>
              <w:rPr>
                <w:sz w:val="22"/>
                <w:szCs w:val="22"/>
                <w:color w:val="auto"/>
              </w:rPr>
            </w:pPr>
          </w:p>
        </w:tc>
      </w:tr>
      <w:tr>
        <w:trPr>
          <w:trHeight w:val="277"/>
        </w:trPr>
        <w:tc>
          <w:tcPr>
            <w:tcW w:w="4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96,989</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106,116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The unrealized gains and losses on the available-for-sale securities were primarily caused by fluctuations in market value and interest rates as a result of the economic environment. In accordance with ASU No. 2016-13, Financial Instruments-Credit Losses (Topic 326): Measurement of Credit Losses on Financial Instruments, the Company estimates the expected losses at an individual security level whenever a security’s fair value is below its amortized cost basis using the discounted cash flow method.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loss in the condensed consolidated balance sheets. The credit-related losses were not material for the three months ended April 30, 2024 and 2023, respectively.</w:t>
      </w:r>
    </w:p>
    <w:p>
      <w:pPr>
        <w:spacing w:after="0" w:line="18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Interest income, including amortization of premiums and accretion of discounts related to the investments, as well as realized gains and losses from sales of the investments are recorded in other income, net, in the condensed consolidated statements of operations. For the three months ended April 30, 2024 and 2023, interest income and realized gains and losses, net, were approximately $1.3 million and $1.0 million, respectively.</w:t>
      </w:r>
    </w:p>
    <w:p>
      <w:pPr>
        <w:spacing w:after="0" w:line="176" w:lineRule="exact"/>
        <w:rPr>
          <w:sz w:val="20"/>
          <w:szCs w:val="20"/>
          <w:color w:val="auto"/>
        </w:rPr>
      </w:pPr>
    </w:p>
    <w:p>
      <w:pPr>
        <w:jc w:val="both"/>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applied for disclosure of the inputs used to measure fair value. This hierarchy prioritizes the inputs into three broad levels as follows: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11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54"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the Company’s own assumptions used to measure assets and liabilities at fair value. The inputs require significant management judgment or estimation.</w:t>
      </w:r>
    </w:p>
    <w:p>
      <w:pPr>
        <w:spacing w:after="0" w:line="162"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money market funds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financial instruments measured on a recurring basis as of April 30, 2024 and January 31, 2024, respectively: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As of April 30, 2024</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w w:val="73"/>
              </w:rPr>
              <w:t>thousands)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7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7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96,989</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92,928</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w w:val="73"/>
              </w:rPr>
              <w:t>thousands)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7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20,972</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20,972</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106,116</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105,820</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5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-2605405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-2605405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-2605405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-2605405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-1087755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-1087755</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-1087755</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-1087755</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825" w:gutter="0" w:footer="0" w:header="0"/>
        </w:sectPr>
      </w:pPr>
    </w:p>
    <w:bookmarkStart w:id="11" w:name="page12"/>
    <w:bookmarkEnd w:id="11"/>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addition to available-for-sale securities, the Company also has fixed deposit accounts that are classified as cash equivalents. As of April 30, 2024 and January 31, 2024, the carrying value of fixed deposit accounts was approximately $12.9 million and $7.0 million, respectively, which represented their fair value within level 1 hierarchy.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at April 30, 2024 and January 31, 2024 consisted of the following:</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7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80" w:type="dxa"/>
            <w:vAlign w:val="bottom"/>
          </w:tcPr>
          <w:p>
            <w:pPr>
              <w:spacing w:after="0"/>
              <w:rPr>
                <w:sz w:val="17"/>
                <w:szCs w:val="17"/>
                <w:color w:val="auto"/>
              </w:rPr>
            </w:pPr>
          </w:p>
        </w:tc>
      </w:tr>
      <w:tr>
        <w:trPr>
          <w:trHeight w:val="169"/>
        </w:trPr>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(in</w:t>
            </w:r>
          </w:p>
        </w:tc>
        <w:tc>
          <w:tcPr>
            <w:tcW w:w="1620" w:type="dxa"/>
            <w:vAlign w:val="bottom"/>
            <w:gridSpan w:val="3"/>
          </w:tcPr>
          <w:p>
            <w:pPr>
              <w:jc w:val="center"/>
              <w:ind w:right="1015"/>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0" w:type="dxa"/>
            <w:vAlign w:val="bottom"/>
          </w:tcPr>
          <w:p>
            <w:pPr>
              <w:spacing w:after="0"/>
              <w:rPr>
                <w:sz w:val="14"/>
                <w:szCs w:val="14"/>
                <w:color w:val="auto"/>
              </w:rPr>
            </w:pPr>
          </w:p>
        </w:tc>
      </w:tr>
      <w:tr>
        <w:trPr>
          <w:trHeight w:val="24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36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18,933</w:t>
            </w:r>
          </w:p>
        </w:tc>
        <w:tc>
          <w:tcPr>
            <w:tcW w:w="80" w:type="dxa"/>
            <w:vAlign w:val="bottom"/>
            <w:shd w:val="clear" w:color="auto" w:fill="CFF0FC"/>
          </w:tcPr>
          <w:p>
            <w:pPr>
              <w:spacing w:after="0"/>
              <w:rPr>
                <w:sz w:val="21"/>
                <w:szCs w:val="2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80" w:type="dxa"/>
            <w:vAlign w:val="bottom"/>
          </w:tcPr>
          <w:p>
            <w:pPr>
              <w:spacing w:after="0"/>
              <w:rPr>
                <w:sz w:val="21"/>
                <w:szCs w:val="21"/>
                <w:color w:val="auto"/>
              </w:rPr>
            </w:pPr>
          </w:p>
        </w:tc>
      </w:tr>
      <w:tr>
        <w:trPr>
          <w:trHeight w:val="276"/>
        </w:trPr>
        <w:tc>
          <w:tcPr>
            <w:tcW w:w="4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28,325</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-25400</wp:posOffset>
            </wp:positionV>
            <wp:extent cx="51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$1.2 million and $1.1 million for the three months ended April 30, 2024 and 2023, respectively. Property and equipment at April 30, 2024 and January 31, 2024 consisted of the following:</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80" w:type="dxa"/>
            <w:vAlign w:val="bottom"/>
          </w:tcPr>
          <w:p>
            <w:pPr>
              <w:spacing w:after="0"/>
              <w:rPr>
                <w:sz w:val="17"/>
                <w:szCs w:val="17"/>
                <w:color w:val="auto"/>
              </w:rPr>
            </w:pPr>
          </w:p>
        </w:tc>
      </w:tr>
      <w:tr>
        <w:trPr>
          <w:trHeight w:val="169"/>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w:t>
            </w:r>
          </w:p>
        </w:tc>
        <w:tc>
          <w:tcPr>
            <w:tcW w:w="1500" w:type="dxa"/>
            <w:vAlign w:val="bottom"/>
            <w:gridSpan w:val="3"/>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0" w:type="dxa"/>
            <w:vAlign w:val="bottom"/>
          </w:tcPr>
          <w:p>
            <w:pPr>
              <w:spacing w:after="0"/>
              <w:rPr>
                <w:sz w:val="14"/>
                <w:szCs w:val="14"/>
                <w:color w:val="auto"/>
              </w:rPr>
            </w:pPr>
          </w:p>
        </w:tc>
      </w:tr>
      <w:tr>
        <w:trPr>
          <w:trHeight w:val="24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24,007</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23,518</w:t>
            </w:r>
          </w:p>
        </w:tc>
        <w:tc>
          <w:tcPr>
            <w:tcW w:w="8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Tools and equipment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80" w:type="dxa"/>
            <w:vAlign w:val="bottom"/>
          </w:tcPr>
          <w:p>
            <w:pPr>
              <w:spacing w:after="0"/>
              <w:rPr>
                <w:sz w:val="20"/>
                <w:szCs w:val="20"/>
                <w:color w:val="auto"/>
              </w:rPr>
            </w:pPr>
          </w:p>
        </w:tc>
      </w:tr>
      <w:tr>
        <w:trPr>
          <w:trHeight w:val="24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80" w:type="dxa"/>
            <w:vAlign w:val="bottom"/>
          </w:tcPr>
          <w:p>
            <w:pPr>
              <w:spacing w:after="0"/>
              <w:rPr>
                <w:sz w:val="20"/>
                <w:szCs w:val="20"/>
                <w:color w:val="auto"/>
              </w:rPr>
            </w:pPr>
          </w:p>
        </w:tc>
      </w:tr>
      <w:tr>
        <w:trPr>
          <w:trHeight w:val="247"/>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28"/>
        </w:trPr>
        <w:tc>
          <w:tcPr>
            <w:tcW w:w="4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37,039</w:t>
            </w:r>
          </w:p>
        </w:tc>
        <w:tc>
          <w:tcPr>
            <w:tcW w:w="80" w:type="dxa"/>
            <w:vAlign w:val="bottom"/>
          </w:tcPr>
          <w:p>
            <w:pPr>
              <w:spacing w:after="0"/>
              <w:rPr>
                <w:sz w:val="19"/>
                <w:szCs w:val="19"/>
                <w:color w:val="auto"/>
              </w:rPr>
            </w:pPr>
          </w:p>
        </w:tc>
      </w:tr>
      <w:tr>
        <w:trPr>
          <w:trHeight w:val="252"/>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(27,832 )</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(26,600 )</w:t>
            </w:r>
          </w:p>
        </w:tc>
      </w:tr>
      <w:tr>
        <w:trPr>
          <w:trHeight w:val="236"/>
        </w:trPr>
        <w:tc>
          <w:tcPr>
            <w:tcW w:w="49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80" w:type="dxa"/>
            <w:vAlign w:val="bottom"/>
            <w:tcBorders>
              <w:top w:val="single" w:sz="8" w:color="CFF0FC"/>
            </w:tcBorders>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-505460</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 Net</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identifiable intangible assets acquired in a business combination.</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primarily consist of software licenses as well as developed technology, customer relationships and trade name that were acquired from business combinations.</w:t>
      </w:r>
    </w:p>
    <w:p>
      <w:pPr>
        <w:spacing w:after="0" w:line="54"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certain software license agreements with third parties from time-to-time. The software licenses consist of noncancelable on-premise internal-use software and software with alternative use that is to be sold, leased or otherwise marketed as part of a product. The licenses have been capitalized as intangible assets, and the corresponding future payments have been recorded as liabilities at net present value. As of April 30, 2024, software license liabilities of approximately $8.1 million were recorded in accrued and other current liabilities and approximately $5.1 million were recorded in other long-term liabilities in the condensed consolidated balance sheets.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intangible assets as of April 30, 2024 and January 31, 2024 were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 April 30, 2024</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4"/>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41,406</w:t>
            </w:r>
          </w:p>
        </w:tc>
        <w:tc>
          <w:tcPr>
            <w:tcW w:w="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(14,929 )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41,329</w:t>
            </w:r>
          </w:p>
        </w:tc>
        <w:tc>
          <w:tcPr>
            <w:tcW w:w="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(12,029 )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(7,718 )</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(6,961 )</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(3,667 )</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9,533</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(3,300 )</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(893 )</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(803 )</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tcPr>
          <w:p>
            <w:pPr>
              <w:spacing w:after="0"/>
              <w:rPr>
                <w:sz w:val="24"/>
                <w:szCs w:val="24"/>
                <w:color w:val="auto"/>
              </w:rPr>
            </w:pPr>
          </w:p>
        </w:tc>
        <w:tc>
          <w:tcPr>
            <w:tcW w:w="2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78,306</w:t>
            </w:r>
          </w:p>
        </w:tc>
        <w:tc>
          <w:tcPr>
            <w:tcW w:w="2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(27,207 )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51,099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78,229</w:t>
            </w:r>
          </w:p>
        </w:tc>
        <w:tc>
          <w:tcPr>
            <w:tcW w:w="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(23,093 )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55,136</w:t>
            </w:r>
          </w:p>
        </w:tc>
        <w:tc>
          <w:tcPr>
            <w:tcW w:w="8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1140" w:type="dxa"/>
            <w:vAlign w:val="bottom"/>
          </w:tcPr>
          <w:p>
            <w:pPr>
              <w:spacing w:after="0"/>
              <w:rPr>
                <w:sz w:val="24"/>
                <w:szCs w:val="24"/>
                <w:color w:val="auto"/>
              </w:rPr>
            </w:pPr>
          </w:p>
        </w:tc>
        <w:tc>
          <w:tcPr>
            <w:tcW w:w="26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11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-925195</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-908050</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-925195</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-908050</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-925195</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-908050</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-925195</wp:posOffset>
            </wp:positionV>
            <wp:extent cx="514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-908050</wp:posOffset>
            </wp:positionV>
            <wp:extent cx="51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-925195</wp:posOffset>
            </wp:positionV>
            <wp:extent cx="51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-908050</wp:posOffset>
            </wp:positionV>
            <wp:extent cx="514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-925195</wp:posOffset>
            </wp:positionV>
            <wp:extent cx="514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-908050</wp:posOffset>
            </wp:positionV>
            <wp:extent cx="514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8" w:right="339" w:bottom="987" w:gutter="0" w:footer="0" w:header="0"/>
        </w:sectPr>
      </w:pPr>
    </w:p>
    <w:bookmarkStart w:id="12" w:name="page13"/>
    <w:bookmarkEnd w:id="12"/>
    <w:p>
      <w:pPr>
        <w:ind w:firstLine="509"/>
        <w:spacing w:after="0" w:line="255" w:lineRule="auto"/>
        <w:rPr>
          <w:sz w:val="20"/>
          <w:szCs w:val="20"/>
          <w:color w:val="auto"/>
        </w:rPr>
      </w:pPr>
      <w:r>
        <w:rPr>
          <w:rFonts w:ascii="Times New Roman" w:cs="Times New Roman" w:eastAsia="Times New Roman" w:hAnsi="Times New Roman"/>
          <w:sz w:val="18"/>
          <w:szCs w:val="18"/>
          <w:color w:val="auto"/>
        </w:rPr>
        <w:t>The amortization expense associated with software licenses was approximately $3.0 million and $2.6 million for the three months ended April 30, 2024 and 2023, respectively. The amortization expense associated with acquisition-related intangible assets, including developed technology, customer relationships and trade name, was approximately $1.2 million and $1.2 million for the three months ended April 30, 2024 and 2023, respectively. As of April 30, 2024, the Company has not commenced amortization with respect to approximately $3.7 million of software licenses with alternative uses that are to be sold, leased or otherwise marketed as part of products. Once the associated products are available for general release to customers, the Company will commence amortization on a product-by-product basis over the remaining estimated economic life of the products. The expected future amortization expense related to the intangible assets as of April 30, 2024 is as follows:</w:t>
      </w:r>
    </w:p>
    <w:p>
      <w:pPr>
        <w:spacing w:after="0" w:line="200" w:lineRule="exact"/>
        <w:rPr>
          <w:sz w:val="20"/>
          <w:szCs w:val="20"/>
          <w:color w:val="auto"/>
        </w:rPr>
      </w:pP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70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87"/>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668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0" w:type="dxa"/>
            <w:vAlign w:val="bottom"/>
          </w:tcPr>
          <w:p>
            <w:pPr>
              <w:spacing w:after="0"/>
              <w:rPr>
                <w:sz w:val="1"/>
                <w:szCs w:val="1"/>
                <w:color w:val="auto"/>
              </w:rPr>
            </w:pPr>
          </w:p>
        </w:tc>
      </w:tr>
      <w:tr>
        <w:trPr>
          <w:trHeight w:val="154"/>
        </w:trPr>
        <w:tc>
          <w:tcPr>
            <w:tcW w:w="700" w:type="dxa"/>
            <w:vAlign w:val="bottom"/>
            <w:tcBorders>
              <w:bottom w:val="single" w:sz="8" w:color="auto"/>
            </w:tcBorders>
            <w:vMerge w:val="continue"/>
          </w:tcPr>
          <w:p>
            <w:pPr>
              <w:spacing w:after="0"/>
              <w:rPr>
                <w:sz w:val="12"/>
                <w:szCs w:val="12"/>
                <w:color w:val="auto"/>
              </w:rPr>
            </w:pPr>
          </w:p>
        </w:tc>
        <w:tc>
          <w:tcPr>
            <w:tcW w:w="6680" w:type="dxa"/>
            <w:vAlign w:val="bottom"/>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7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2025 (9 months remaining)</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6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6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38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future amortization expenses: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51,099</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Goodwill and intangible assets are tested for impairment at least annually, in the fourth fiscal quarter, or more frequently if events or changes in circumstances indicate that they may be impaired. There were no goodwill and intangible asset impairments for the three months ended April 30, 2024 and 2023, respectively.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at April 30, 2024 and January 31, 2024 consisted of the following:</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80" w:type="dxa"/>
            <w:vAlign w:val="bottom"/>
          </w:tcPr>
          <w:p>
            <w:pPr>
              <w:spacing w:after="0"/>
              <w:rPr>
                <w:sz w:val="17"/>
                <w:szCs w:val="17"/>
                <w:color w:val="auto"/>
              </w:rPr>
            </w:pPr>
          </w:p>
        </w:tc>
      </w:tr>
      <w:tr>
        <w:trPr>
          <w:trHeight w:val="169"/>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(in</w:t>
            </w:r>
          </w:p>
        </w:tc>
        <w:tc>
          <w:tcPr>
            <w:tcW w:w="1500" w:type="dxa"/>
            <w:vAlign w:val="bottom"/>
            <w:gridSpan w:val="3"/>
          </w:tcPr>
          <w:p>
            <w:pPr>
              <w:jc w:val="center"/>
              <w:ind w:right="893"/>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0" w:type="dxa"/>
            <w:vAlign w:val="bottom"/>
          </w:tcPr>
          <w:p>
            <w:pPr>
              <w:spacing w:after="0"/>
              <w:rPr>
                <w:sz w:val="14"/>
                <w:szCs w:val="14"/>
                <w:color w:val="auto"/>
              </w:rPr>
            </w:pPr>
          </w:p>
        </w:tc>
      </w:tr>
      <w:tr>
        <w:trPr>
          <w:trHeight w:val="24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12,603</w:t>
            </w:r>
          </w:p>
        </w:tc>
        <w:tc>
          <w:tcPr>
            <w:tcW w:w="32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16,610</w:t>
            </w:r>
          </w:p>
        </w:tc>
        <w:tc>
          <w:tcPr>
            <w:tcW w:w="8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development costs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18,290</w:t>
            </w:r>
          </w:p>
        </w:tc>
        <w:tc>
          <w:tcPr>
            <w:tcW w:w="80" w:type="dxa"/>
            <w:vAlign w:val="bottom"/>
          </w:tcPr>
          <w:p>
            <w:pPr>
              <w:spacing w:after="0"/>
              <w:rPr>
                <w:sz w:val="20"/>
                <w:szCs w:val="20"/>
                <w:color w:val="auto"/>
              </w:rPr>
            </w:pPr>
          </w:p>
        </w:tc>
      </w:tr>
      <w:tr>
        <w:trPr>
          <w:trHeight w:val="24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current</w:t>
            </w: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80" w:type="dxa"/>
            <w:vAlign w:val="bottom"/>
            <w:shd w:val="clear" w:color="auto" w:fill="CFF0FC"/>
          </w:tcPr>
          <w:p>
            <w:pPr>
              <w:spacing w:after="0"/>
              <w:rPr>
                <w:sz w:val="21"/>
                <w:szCs w:val="2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80" w:type="dxa"/>
            <w:vAlign w:val="bottom"/>
          </w:tcPr>
          <w:p>
            <w:pPr>
              <w:spacing w:after="0"/>
              <w:rPr>
                <w:sz w:val="21"/>
                <w:szCs w:val="21"/>
                <w:color w:val="auto"/>
              </w:rPr>
            </w:pPr>
          </w:p>
        </w:tc>
      </w:tr>
      <w:tr>
        <w:trPr>
          <w:trHeight w:val="276"/>
        </w:trPr>
        <w:tc>
          <w:tcPr>
            <w:tcW w:w="4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49,714</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48,598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The timing of SoC development and invoicing from outside foundries usually results in the fluctuation of accrued product development costs. For the accrued employee compensation, approximately $4.1 million of annual bonus was paid in the first quarter of fiscal year 2025, of which $1.1 million was paid in cash and $3.0 million was settled with fully vested restricted stock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right="160" w:firstLine="469"/>
        <w:spacing w:after="0" w:line="266" w:lineRule="auto"/>
        <w:rPr>
          <w:sz w:val="20"/>
          <w:szCs w:val="20"/>
          <w:color w:val="auto"/>
        </w:rPr>
      </w:pPr>
      <w:r>
        <w:rPr>
          <w:rFonts w:ascii="Times New Roman" w:cs="Times New Roman" w:eastAsia="Times New Roman" w:hAnsi="Times New Roman"/>
          <w:sz w:val="18"/>
          <w:szCs w:val="18"/>
          <w:color w:val="auto"/>
        </w:rPr>
        <w:t>There were no material lease agreements entered into, or modified, during the three months ended April 30, 2024. The operating lease expense was approximately $1.0 million and $0.9 million for the three months ended April 30, 2024 and 2023, respectively. The Company's short-term leases and finance leases were not material as of April 30, 2024 and January 31, 2024, respectively.</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the operating leases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(in</w:t>
            </w:r>
          </w:p>
        </w:tc>
        <w:tc>
          <w:tcPr>
            <w:tcW w:w="112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1140" w:type="dxa"/>
            <w:vAlign w:val="bottom"/>
          </w:tcPr>
          <w:p>
            <w:pPr>
              <w:spacing w:after="0"/>
              <w:rPr>
                <w:sz w:val="21"/>
                <w:szCs w:val="21"/>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860" w:type="dxa"/>
            <w:vAlign w:val="bottom"/>
            <w:shd w:val="clear" w:color="auto" w:fill="CFF0FC"/>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1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11"/>
        </w:trPr>
        <w:tc>
          <w:tcPr>
            <w:tcW w:w="11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information related to lease liabilities arising from</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obtaining right-of-use assets</w:t>
            </w:r>
          </w:p>
        </w:tc>
        <w:tc>
          <w:tcPr>
            <w:tcW w:w="860" w:type="dxa"/>
            <w:vAlign w:val="bottom"/>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12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61"/>
        </w:trPr>
        <w:tc>
          <w:tcPr>
            <w:tcW w:w="1140" w:type="dxa"/>
            <w:vAlign w:val="bottom"/>
          </w:tcPr>
          <w:p>
            <w:pPr>
              <w:spacing w:after="0"/>
              <w:rPr>
                <w:sz w:val="24"/>
                <w:szCs w:val="24"/>
                <w:color w:val="auto"/>
              </w:rPr>
            </w:pPr>
          </w:p>
        </w:tc>
        <w:tc>
          <w:tcPr>
            <w:tcW w:w="614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13</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50"/>
        </w:trPr>
        <w:tc>
          <w:tcPr>
            <w:tcW w:w="114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As of April 30, 2024, the weighted average remaining lease term is 1.58 years, and the weighted average discount rate is 3.65 percent. Future minimum lease payments for the lease liabilities are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70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00" w:type="dxa"/>
            <w:vAlign w:val="bottom"/>
            <w:gridSpan w:val="2"/>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87"/>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5480" w:type="dxa"/>
            <w:vAlign w:val="bottom"/>
            <w:vMerge w:val="restart"/>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0" w:type="dxa"/>
            <w:vAlign w:val="bottom"/>
          </w:tcPr>
          <w:p>
            <w:pPr>
              <w:spacing w:after="0"/>
              <w:rPr>
                <w:sz w:val="1"/>
                <w:szCs w:val="1"/>
                <w:color w:val="auto"/>
              </w:rPr>
            </w:pPr>
          </w:p>
        </w:tc>
      </w:tr>
      <w:tr>
        <w:trPr>
          <w:trHeight w:val="154"/>
        </w:trPr>
        <w:tc>
          <w:tcPr>
            <w:tcW w:w="700" w:type="dxa"/>
            <w:vAlign w:val="bottom"/>
            <w:tcBorders>
              <w:bottom w:val="single" w:sz="8" w:color="auto"/>
            </w:tcBorders>
            <w:vMerge w:val="continue"/>
          </w:tcPr>
          <w:p>
            <w:pPr>
              <w:spacing w:after="0"/>
              <w:rPr>
                <w:sz w:val="12"/>
                <w:szCs w:val="12"/>
                <w:color w:val="auto"/>
              </w:rPr>
            </w:pPr>
          </w:p>
        </w:tc>
        <w:tc>
          <w:tcPr>
            <w:tcW w:w="5480" w:type="dxa"/>
            <w:vAlign w:val="bottom"/>
            <w:vMerge w:val="continue"/>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tcPr>
          <w:p>
            <w:pPr>
              <w:jc w:val="right"/>
              <w:ind w:right="8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2025 (9 months remaining)</w:t>
            </w:r>
          </w:p>
        </w:tc>
        <w:tc>
          <w:tcPr>
            <w:tcW w:w="5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5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54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5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54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2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1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future annual minimum lease payments</w:t>
            </w:r>
          </w:p>
        </w:tc>
        <w:tc>
          <w:tcPr>
            <w:tcW w:w="500" w:type="dxa"/>
            <w:vAlign w:val="bottom"/>
            <w:tcBorders>
              <w:top w:val="single" w:sz="8" w:color="auto"/>
            </w:tcBorders>
            <w:shd w:val="clear" w:color="auto" w:fill="CFF0FC"/>
          </w:tcPr>
          <w:p>
            <w:pPr>
              <w:spacing w:after="0"/>
              <w:rPr>
                <w:sz w:val="20"/>
                <w:szCs w:val="20"/>
                <w:color w:val="auto"/>
              </w:rPr>
            </w:pPr>
          </w:p>
        </w:tc>
        <w:tc>
          <w:tcPr>
            <w:tcW w:w="2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interest</w:t>
            </w:r>
          </w:p>
        </w:tc>
        <w:tc>
          <w:tcPr>
            <w:tcW w:w="500" w:type="dxa"/>
            <w:vAlign w:val="bottom"/>
          </w:tcPr>
          <w:p>
            <w:pPr>
              <w:spacing w:after="0"/>
              <w:rPr>
                <w:sz w:val="22"/>
                <w:szCs w:val="22"/>
                <w:color w:val="auto"/>
              </w:rPr>
            </w:pPr>
          </w:p>
        </w:tc>
        <w:tc>
          <w:tcPr>
            <w:tcW w:w="2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77"/>
        </w:trPr>
        <w:tc>
          <w:tcPr>
            <w:tcW w:w="618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500" w:type="dxa"/>
            <w:vAlign w:val="bottom"/>
            <w:tcBorders>
              <w:top w:val="single" w:sz="8" w:color="auto"/>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Deferred Revenue</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Deferred revenue is primarily related to nonrecurring engineering charges that are either invoiced or paid but for which the related performance obligations are not yet satisfied, as well as the portion of a transaction price that exceeds the weighted average selling price for products sold to date under tiered-pricing contracts that contain material rights. During the three months ended April 30, 2024 and 2023, the amount recognized as revenue that was included in the deferred revenue balance at the end of prior fiscal year was not material, respectively.</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April 30, 2024, the amount of remaining unsatisfied performance obligations on contracts, primarily consisting of product purchase orders and nonrecurring engineering service agreements with original contract duration of more than one year, was approximately $10.5 million, of which approximately 89% is expected to be recognized within the next 12 months. This does not include amounts which have an original expected contract duration of one year or less.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at April 30, 2024 and January 31, 2024 consisted of the following:</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80" w:type="dxa"/>
            <w:vAlign w:val="bottom"/>
          </w:tcPr>
          <w:p>
            <w:pPr>
              <w:spacing w:after="0"/>
              <w:rPr>
                <w:sz w:val="17"/>
                <w:szCs w:val="17"/>
                <w:color w:val="auto"/>
              </w:rPr>
            </w:pPr>
          </w:p>
        </w:tc>
      </w:tr>
      <w:tr>
        <w:trPr>
          <w:trHeight w:val="169"/>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(in</w:t>
            </w:r>
          </w:p>
        </w:tc>
        <w:tc>
          <w:tcPr>
            <w:tcW w:w="1500" w:type="dxa"/>
            <w:vAlign w:val="bottom"/>
            <w:gridSpan w:val="3"/>
          </w:tcPr>
          <w:p>
            <w:pPr>
              <w:jc w:val="center"/>
              <w:ind w:right="893"/>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0" w:type="dxa"/>
            <w:vAlign w:val="bottom"/>
          </w:tcPr>
          <w:p>
            <w:pPr>
              <w:spacing w:after="0"/>
              <w:rPr>
                <w:sz w:val="14"/>
                <w:szCs w:val="14"/>
                <w:color w:val="auto"/>
              </w:rPr>
            </w:pPr>
          </w:p>
        </w:tc>
      </w:tr>
      <w:tr>
        <w:trPr>
          <w:trHeight w:val="24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including interest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32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8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20"/>
                <w:szCs w:val="20"/>
                <w:color w:val="auto"/>
              </w:rPr>
            </w:pPr>
          </w:p>
        </w:tc>
      </w:tr>
      <w:tr>
        <w:trPr>
          <w:trHeight w:val="24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non-current</w:t>
            </w: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80" w:type="dxa"/>
            <w:vAlign w:val="bottom"/>
            <w:shd w:val="clear" w:color="auto" w:fill="CFF0FC"/>
          </w:tcPr>
          <w:p>
            <w:pPr>
              <w:spacing w:after="0"/>
              <w:rPr>
                <w:sz w:val="21"/>
                <w:szCs w:val="2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r>
      <w:tr>
        <w:trPr>
          <w:trHeight w:val="276"/>
        </w:trPr>
        <w:tc>
          <w:tcPr>
            <w:tcW w:w="4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51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514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0" w:lineRule="exact"/>
        <w:rPr>
          <w:sz w:val="20"/>
          <w:szCs w:val="20"/>
          <w:color w:val="auto"/>
        </w:rPr>
      </w:pPr>
    </w:p>
    <w:p>
      <w:pPr>
        <w:ind w:left="520" w:right="9360" w:hanging="512"/>
        <w:spacing w:after="0" w:line="378" w:lineRule="auto"/>
        <w:tabs>
          <w:tab w:leader="none" w:pos="28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Stock </w:t>
      </w:r>
      <w:r>
        <w:rPr>
          <w:rFonts w:ascii="Times New Roman" w:cs="Times New Roman" w:eastAsia="Times New Roman" w:hAnsi="Times New Roman"/>
          <w:sz w:val="18"/>
          <w:szCs w:val="18"/>
          <w:b w:val="1"/>
          <w:bCs w:val="1"/>
          <w:i w:val="1"/>
          <w:iCs w:val="1"/>
          <w:color w:val="auto"/>
        </w:rPr>
        <w:t>Preference shares</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no preference shares issued and outstanding as of April 30, 2024 and January 31, 2024, respectively.</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first quarter of fiscal year 2025, the Company added 506,506 ordinary shares to the ordinary shares reserved for issuance, pursuant to an “evergreen” provision contained in the Amended and Restated 2012 Employee Stock Purchase Plan, or ESPP. Pursuant to such provision, for each fiscal year, the number of ordinary shares reserved for issuance under the ESPP is automatically increased by a number equal to the lesser of (i) 1,500,000 ordinary shares, (ii) one and one quarter percent (1.25%) of the aggregate number of ordinary shares outstanding on February 1st of each fiscal year, or (iii) an amount determined by the Company’s Board of Directors or a duly authorized committee of the Board of Directors.</w:t>
      </w:r>
    </w:p>
    <w:p>
      <w:pPr>
        <w:spacing w:after="0" w:line="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April 30, 2024 and January 31, 2024, the following ordinary shares were reserved for future issuance under the Company’s equity plans and employee stock purchase plan: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4" w:name="page15"/>
    <w:bookmarkEnd w:id="14"/>
    <w:tbl>
      <w:tblPr>
        <w:tblLayout w:type="fixed"/>
        <w:tblInd w:w="1700" w:type="dxa"/>
        <w:tblCellMar>
          <w:top w:w="0" w:type="dxa"/>
          <w:left w:w="0" w:type="dxa"/>
          <w:bottom w:w="0" w:type="dxa"/>
          <w:right w:w="0" w:type="dxa"/>
        </w:tblCellMar>
      </w:tblPr>
      <w:tr>
        <w:trPr>
          <w:trHeight w:val="187"/>
        </w:trPr>
        <w:tc>
          <w:tcPr>
            <w:tcW w:w="4880" w:type="dxa"/>
            <w:vAlign w:val="bottom"/>
          </w:tcPr>
          <w:p>
            <w:pPr>
              <w:spacing w:after="0"/>
              <w:rPr>
                <w:sz w:val="16"/>
                <w:szCs w:val="16"/>
                <w:color w:val="auto"/>
              </w:rPr>
            </w:pPr>
          </w:p>
        </w:tc>
        <w:tc>
          <w:tcPr>
            <w:tcW w:w="166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880" w:type="dxa"/>
            <w:vAlign w:val="bottom"/>
          </w:tcPr>
          <w:p>
            <w:pPr>
              <w:spacing w:after="0"/>
              <w:rPr>
                <w:sz w:val="14"/>
                <w:szCs w:val="14"/>
                <w:color w:val="auto"/>
              </w:rPr>
            </w:pPr>
          </w:p>
        </w:tc>
        <w:tc>
          <w:tcPr>
            <w:tcW w:w="16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80" w:type="dxa"/>
            <w:vAlign w:val="bottom"/>
          </w:tcPr>
          <w:p>
            <w:pPr>
              <w:spacing w:after="0"/>
              <w:rPr>
                <w:sz w:val="14"/>
                <w:szCs w:val="14"/>
                <w:color w:val="auto"/>
              </w:rPr>
            </w:pPr>
          </w:p>
        </w:tc>
      </w:tr>
      <w:tr>
        <w:trPr>
          <w:trHeight w:val="205"/>
        </w:trPr>
        <w:tc>
          <w:tcPr>
            <w:tcW w:w="48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Shares reserved for options, restricted stock and</w:t>
            </w:r>
          </w:p>
        </w:tc>
        <w:tc>
          <w:tcPr>
            <w:tcW w:w="13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48"/>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units under equity plans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4,125,230</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4,492,705</w:t>
            </w:r>
          </w:p>
        </w:tc>
        <w:tc>
          <w:tcPr>
            <w:tcW w:w="80" w:type="dxa"/>
            <w:vAlign w:val="bottom"/>
            <w:shd w:val="clear" w:color="auto" w:fill="CFF0FC"/>
          </w:tcPr>
          <w:p>
            <w:pPr>
              <w:spacing w:after="0"/>
              <w:rPr>
                <w:sz w:val="21"/>
                <w:szCs w:val="21"/>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employee stock purchase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3,731,853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2,834,384</w:t>
            </w:r>
          </w:p>
        </w:tc>
        <w:tc>
          <w:tcPr>
            <w:tcW w:w="80" w:type="dxa"/>
            <w:vAlign w:val="bottom"/>
          </w:tcPr>
          <w:p>
            <w:pPr>
              <w:spacing w:after="0"/>
              <w:rPr>
                <w:sz w:val="20"/>
                <w:szCs w:val="20"/>
                <w:color w:val="auto"/>
              </w:rPr>
            </w:pPr>
          </w:p>
        </w:tc>
      </w:tr>
    </w:tbl>
    <w:p>
      <w:pPr>
        <w:spacing w:after="0" w:line="3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18"/>
          <w:szCs w:val="18"/>
          <w:color w:val="auto"/>
        </w:rPr>
        <w:t>There were no ordinary shares repurchased in the three months ended April 30, 2024. As of April 30, 2024, there was approximately $49.0 million available for repurchases under the current repurchase program through June 30, 2024.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classification of stock-based compensation for the periods indicated:</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69"/>
        </w:trPr>
        <w:tc>
          <w:tcPr>
            <w:tcW w:w="54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169"/>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18,361</w:t>
            </w:r>
          </w:p>
        </w:tc>
        <w:tc>
          <w:tcPr>
            <w:tcW w:w="80" w:type="dxa"/>
            <w:vAlign w:val="bottom"/>
            <w:shd w:val="clear" w:color="auto" w:fill="CFF0FC"/>
          </w:tcPr>
          <w:p>
            <w:pPr>
              <w:spacing w:after="0"/>
              <w:rPr>
                <w:sz w:val="21"/>
                <w:szCs w:val="21"/>
                <w:color w:val="auto"/>
              </w:rPr>
            </w:pPr>
          </w:p>
        </w:tc>
      </w:tr>
      <w:tr>
        <w:trPr>
          <w:trHeight w:val="243"/>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80" w:type="dxa"/>
            <w:vAlign w:val="bottom"/>
          </w:tcPr>
          <w:p>
            <w:pPr>
              <w:spacing w:after="0"/>
              <w:rPr>
                <w:sz w:val="21"/>
                <w:szCs w:val="21"/>
                <w:color w:val="auto"/>
              </w:rPr>
            </w:pPr>
          </w:p>
        </w:tc>
      </w:tr>
      <w:tr>
        <w:trPr>
          <w:trHeight w:val="276"/>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26,036</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As of April 30, 2024, approximately $1.2 million of stock-based compensation expense was accrued in accrued and other current liabilities in the condensed consolidated balance sheets. Total unrecognized compensation cost related to unvested stock options at April 30, 2024 was $5.4 million and is expected to be recognized over a weighted-average period of 1.04 years. Total unrecognized compensation cost related to unvested restricted stock units at April 30, 2024 was approximately $181.3 million and is expected to be recognized over a weighted-average period of 2.43 years.</w:t>
      </w:r>
    </w:p>
    <w:p>
      <w:pPr>
        <w:spacing w:after="0" w:line="180"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weighted-average assumptions used to estimate the fair value of employee stock purchase plan awards for the periods indicated:</w:t>
      </w:r>
    </w:p>
    <w:p>
      <w:pPr>
        <w:spacing w:after="0" w:line="16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 awards:</w:t>
            </w: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Volatility</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140" w:type="dxa"/>
            <w:vAlign w:val="bottom"/>
          </w:tcPr>
          <w:p>
            <w:pPr>
              <w:spacing w:after="0"/>
              <w:rPr>
                <w:sz w:val="20"/>
                <w:szCs w:val="20"/>
                <w:color w:val="auto"/>
              </w:rPr>
            </w:pPr>
          </w:p>
        </w:tc>
        <w:tc>
          <w:tcPr>
            <w:tcW w:w="13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5.38 %</w:t>
            </w:r>
          </w:p>
        </w:tc>
        <w:tc>
          <w:tcPr>
            <w:tcW w:w="140" w:type="dxa"/>
            <w:vAlign w:val="bottom"/>
          </w:tcPr>
          <w:p>
            <w:pPr>
              <w:spacing w:after="0"/>
              <w:rPr>
                <w:sz w:val="20"/>
                <w:szCs w:val="20"/>
                <w:color w:val="auto"/>
              </w:rPr>
            </w:pPr>
          </w:p>
        </w:tc>
        <w:tc>
          <w:tcPr>
            <w:tcW w:w="13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4.73 %</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term (years)</w:t>
            </w: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yield</w:t>
            </w: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140" w:type="dxa"/>
            <w:vAlign w:val="bottom"/>
          </w:tcPr>
          <w:p>
            <w:pPr>
              <w:spacing w:after="0"/>
              <w:rPr>
                <w:sz w:val="21"/>
                <w:szCs w:val="21"/>
                <w:color w:val="auto"/>
              </w:rPr>
            </w:pPr>
          </w:p>
        </w:tc>
        <w:tc>
          <w:tcPr>
            <w:tcW w:w="13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6720" w:type="dxa"/>
            <w:vAlign w:val="bottom"/>
            <w:gridSpan w:val="6"/>
          </w:tcPr>
          <w:p>
            <w:pPr>
              <w:jc w:val="right"/>
              <w:ind w:right="395"/>
              <w:spacing w:after="0"/>
              <w:rPr>
                <w:sz w:val="20"/>
                <w:szCs w:val="20"/>
                <w:color w:val="auto"/>
              </w:rPr>
            </w:pPr>
            <w:r>
              <w:rPr>
                <w:rFonts w:ascii="Times New Roman" w:cs="Times New Roman" w:eastAsia="Times New Roman" w:hAnsi="Times New Roman"/>
                <w:sz w:val="18"/>
                <w:szCs w:val="18"/>
                <w:color w:val="auto"/>
              </w:rPr>
              <w:t>The following table summarizes stock option activities for the period indicated: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Option Outstanding</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20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5"/>
                <w:szCs w:val="15"/>
                <w:color w:val="auto"/>
              </w:rPr>
            </w:pP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20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15"/>
                <w:szCs w:val="15"/>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5"/>
                <w:szCs w:val="15"/>
                <w:color w:val="auto"/>
              </w:rPr>
            </w:pP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5"/>
                <w:szCs w:val="15"/>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20" w:type="dxa"/>
            <w:vAlign w:val="bottom"/>
          </w:tcPr>
          <w:p>
            <w:pPr>
              <w:spacing w:after="0"/>
              <w:rPr>
                <w:sz w:val="15"/>
                <w:szCs w:val="15"/>
                <w:color w:val="auto"/>
              </w:rPr>
            </w:pP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20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6"/>
                <w:szCs w:val="16"/>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36"/>
        </w:trPr>
        <w:tc>
          <w:tcPr>
            <w:tcW w:w="4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31, 2024</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373,318</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(32,065 )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351</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6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April 30, 2024</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341,191</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7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6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38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1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April 30, 2024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304,129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1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-3573780</wp:posOffset>
            </wp:positionV>
            <wp:extent cx="5700395"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-3265170</wp:posOffset>
            </wp:positionV>
            <wp:extent cx="5700395"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-1216660</wp:posOffset>
            </wp:positionV>
            <wp:extent cx="774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8" w:right="339" w:bottom="582" w:gutter="0" w:footer="0" w:header="0"/>
        </w:sectPr>
      </w:pPr>
    </w:p>
    <w:bookmarkStart w:id="15" w:name="page16"/>
    <w:bookmarkEnd w:id="15"/>
    <w:p>
      <w:pPr>
        <w:ind w:firstLine="509"/>
        <w:spacing w:after="0" w:line="261" w:lineRule="auto"/>
        <w:rPr>
          <w:sz w:val="20"/>
          <w:szCs w:val="20"/>
          <w:color w:val="auto"/>
        </w:rPr>
      </w:pPr>
      <w:r>
        <w:rPr>
          <w:rFonts w:ascii="Times New Roman" w:cs="Times New Roman" w:eastAsia="Times New Roman" w:hAnsi="Times New Roman"/>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April 30, 2024 was $45.97, as reported by The Nasdaq Global Select Market. The intrinsic value of exercised options is calculated based on the difference between the fair market value of the Company’s ordinary shares on the exercise date and the exercise price.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activities for the period indicated:</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6"/>
        </w:trPr>
        <w:tc>
          <w:tcPr>
            <w:tcW w:w="5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5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87"/>
        </w:trPr>
        <w:tc>
          <w:tcPr>
            <w:tcW w:w="5360" w:type="dxa"/>
            <w:vAlign w:val="bottom"/>
          </w:tcPr>
          <w:p>
            <w:pPr>
              <w:spacing w:after="0"/>
              <w:rPr>
                <w:sz w:val="16"/>
                <w:szCs w:val="16"/>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3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2024</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2,432,640</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604,990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80" w:type="dxa"/>
            <w:vAlign w:val="bottom"/>
          </w:tcPr>
          <w:p>
            <w:pPr>
              <w:spacing w:after="0"/>
              <w:rPr>
                <w:sz w:val="20"/>
                <w:szCs w:val="20"/>
                <w:color w:val="auto"/>
              </w:rPr>
            </w:pPr>
          </w:p>
        </w:tc>
      </w:tr>
      <w:tr>
        <w:trPr>
          <w:trHeight w:val="247"/>
        </w:trPr>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(335,348 )</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80" w:type="dxa"/>
            <w:vAlign w:val="bottom"/>
            <w:shd w:val="clear" w:color="auto" w:fill="CFF0FC"/>
          </w:tcPr>
          <w:p>
            <w:pPr>
              <w:spacing w:after="0"/>
              <w:rPr>
                <w:sz w:val="21"/>
                <w:szCs w:val="21"/>
                <w:color w:val="auto"/>
              </w:rPr>
            </w:pPr>
          </w:p>
        </w:tc>
      </w:tr>
      <w:tr>
        <w:trPr>
          <w:trHeight w:val="24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(89,977 )</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80" w:type="dxa"/>
            <w:vAlign w:val="bottom"/>
          </w:tcPr>
          <w:p>
            <w:pPr>
              <w:spacing w:after="0"/>
              <w:rPr>
                <w:sz w:val="21"/>
                <w:szCs w:val="21"/>
                <w:color w:val="auto"/>
              </w:rPr>
            </w:pPr>
          </w:p>
        </w:tc>
      </w:tr>
      <w:tr>
        <w:trPr>
          <w:trHeight w:val="23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April 30, 2024</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2,612,305</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80" w:type="dxa"/>
            <w:vAlign w:val="bottom"/>
            <w:shd w:val="clear" w:color="auto" w:fill="CFF0FC"/>
          </w:tcPr>
          <w:p>
            <w:pPr>
              <w:spacing w:after="0"/>
              <w:rPr>
                <w:sz w:val="20"/>
                <w:szCs w:val="20"/>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April 30, 2024, the aggregate intrinsic value of unvested restricted stock units was $120.1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Ordinary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ordinary share for the periods indicated:</w:t>
      </w:r>
    </w:p>
    <w:p>
      <w:pPr>
        <w:spacing w:after="0" w:line="286"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23"/>
        </w:trPr>
        <w:tc>
          <w:tcPr>
            <w:tcW w:w="6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9"/>
        </w:trPr>
        <w:tc>
          <w:tcPr>
            <w:tcW w:w="6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73"/>
              </w:rPr>
              <w:t>share</w:t>
            </w:r>
          </w:p>
        </w:tc>
        <w:tc>
          <w:tcPr>
            <w:tcW w:w="1580" w:type="dxa"/>
            <w:vAlign w:val="bottom"/>
            <w:gridSpan w:val="2"/>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and per share data)</w:t>
            </w:r>
          </w:p>
        </w:tc>
        <w:tc>
          <w:tcPr>
            <w:tcW w:w="100" w:type="dxa"/>
            <w:vAlign w:val="bottom"/>
          </w:tcPr>
          <w:p>
            <w:pPr>
              <w:spacing w:after="0"/>
              <w:rPr>
                <w:sz w:val="14"/>
                <w:szCs w:val="14"/>
                <w:color w:val="auto"/>
              </w:rPr>
            </w:pPr>
          </w:p>
        </w:tc>
      </w:tr>
      <w:tr>
        <w:trPr>
          <w:trHeight w:val="24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(37,932 )</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(35,902 )</w:t>
            </w:r>
          </w:p>
        </w:tc>
      </w:tr>
      <w:tr>
        <w:trPr>
          <w:trHeight w:val="20"/>
        </w:trPr>
        <w:tc>
          <w:tcPr>
            <w:tcW w:w="6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ordinary shares - basic</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40,774,991</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39,340,791</w:t>
            </w:r>
          </w:p>
        </w:tc>
        <w:tc>
          <w:tcPr>
            <w:tcW w:w="100" w:type="dxa"/>
            <w:vAlign w:val="bottom"/>
          </w:tcPr>
          <w:p>
            <w:pPr>
              <w:spacing w:after="0"/>
              <w:rPr>
                <w:sz w:val="21"/>
                <w:szCs w:val="21"/>
                <w:color w:val="auto"/>
              </w:rPr>
            </w:pPr>
          </w:p>
        </w:tc>
      </w:tr>
      <w:tr>
        <w:trPr>
          <w:trHeight w:val="20"/>
        </w:trPr>
        <w:tc>
          <w:tcPr>
            <w:tcW w:w="6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ordinary shares - diluted</w:t>
            </w:r>
          </w:p>
        </w:tc>
        <w:tc>
          <w:tcPr>
            <w:tcW w:w="18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40,774,991</w:t>
            </w:r>
          </w:p>
        </w:tc>
        <w:tc>
          <w:tcPr>
            <w:tcW w:w="2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39,340,791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ordinary share:</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7"/>
        </w:trPr>
        <w:tc>
          <w:tcPr>
            <w:tcW w:w="6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(0.93 )</w:t>
            </w:r>
          </w:p>
        </w:tc>
        <w:tc>
          <w:tcPr>
            <w:tcW w:w="3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(0.91 )</w:t>
            </w: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(0.93 )</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(0.91 )</w:t>
            </w:r>
          </w:p>
        </w:tc>
      </w:tr>
      <w:tr>
        <w:trPr>
          <w:trHeight w:val="20"/>
        </w:trPr>
        <w:tc>
          <w:tcPr>
            <w:tcW w:w="6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-539115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-521970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-539115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-521970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-205105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-187960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-205105</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weighted-average potentially dilutive securities were excluded from the computation of diluted net loss per ordinary share as their effect would have been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218,909</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2,091,060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4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2,319,198</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1,678,547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 Income Taxes</w:t>
            </w: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1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income taxes for the periods indicated:</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5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4"/>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(37,174 )  $</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(34,256 )</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758</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80" w:type="dxa"/>
            <w:vAlign w:val="bottom"/>
          </w:tcPr>
          <w:p>
            <w:pPr>
              <w:spacing w:after="0"/>
              <w:rPr>
                <w:sz w:val="23"/>
                <w:szCs w:val="23"/>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42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-1687830</wp:posOffset>
            </wp:positionV>
            <wp:extent cx="603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-1687830</wp:posOffset>
            </wp:positionV>
            <wp:extent cx="603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an expense for income taxes of $0.8 million and $1.6 million for the three months ended April 30, 2024 and 2023, respectively. The decrease in income tax expense for the three months ended April 30, 2024, as compared to the same period in the prior fiscal year, was primarily due to a decrease in the proportion of profits generated in the U.S.</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5" w:right="439" w:bottom="1440" w:gutter="0" w:footer="0" w:header="0"/>
        </w:sectPr>
      </w:pPr>
    </w:p>
    <w:bookmarkStart w:id="16" w:name="page17"/>
    <w:bookmarkEnd w:id="16"/>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Company files federal and state income tax returns in the United States and in various foreign jurisdictions. The Company’s fiscal years 2021 through 2024 are generally open and subject to potential examination by U.S. federal tax authorities. The Company’s fiscal years 2020 through 2024 are generally open and subject to potential examination by state tax authorities. The Company’s fiscal years 2017 to 2024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regularly assesses the likelihood of adverse outcomes resulting from potential tax examinations to determine the adequacy of its provision for income taxes. These assessments can require considerable estimates and judgments. As of April 30, 2024, the gross amount of unrecognized tax benefits was approximately $22.8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It is reasonably possible that within the next 12 months the Company's unrecognized tax benefits could potentially be reduced by up to $9.0 million.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Manufacturer Commitments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third-party manufacturers. These manufacturing purchase commitments typically provide the Company with flexibility to cancel, reschedule or adjust requirements based upon business needs but the Company may incur certain costs depending on the production stage of the products. As of April 30, 2024 and January 31, 2024, total manufacturing purchase commitments were approximately $35.4 million and $30.7 million, respectively. The Company also reviews and assesses the need for any expected loss liabilities on quarterly basis for all products that it does not expect to sell for which it has committed purchases from suppliers and records the liabilities in accrued and other current liabilities in the condensed consolidated balance sheets. There were no material loss liabilities recorded in the condensed consolidated balance sheets from adverse purchase commitments as of April 30, 2024 and January 31, 2024.</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as of April 30, 2024, and no liabilities have been recorded for these obligations in the condensed consolidated balance sheets as of April 30, 2024 and January 31, 2024, respectively.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subject to commercial disputes, employment issues, intellectual property claims and litigation, in the ordinary course of its business. Although the ultimate disposition of asserted claims cannot be predicted with certainty, it is the Company’s belief that the outcome of any such claims, either individually or on a combined basis, will not have a material adverse effect on its consolidated financial position. The results of any litigation cannot be predicted with certainty, and regardless of the outcome, litigation can have an adverse impact on the Company because of defense and settlement costs, diversion of management resources, and other factors. As of April 30, 2024 and January 31, 2024, there were no accruals for contingent liabilities related to such matters recorded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121" w:lineRule="exact"/>
        <w:rPr>
          <w:sz w:val="20"/>
          <w:szCs w:val="20"/>
          <w:color w:val="auto"/>
        </w:rPr>
      </w:pPr>
    </w:p>
    <w:p>
      <w:pPr>
        <w:ind w:right="80" w:firstLine="554"/>
        <w:spacing w:after="0" w:line="281" w:lineRule="auto"/>
        <w:rPr>
          <w:sz w:val="20"/>
          <w:szCs w:val="20"/>
          <w:color w:val="auto"/>
        </w:rPr>
      </w:pPr>
      <w:r>
        <w:rPr>
          <w:rFonts w:ascii="Times New Roman" w:cs="Times New Roman" w:eastAsia="Times New Roman" w:hAnsi="Times New Roman"/>
          <w:sz w:val="17"/>
          <w:szCs w:val="17"/>
          <w:color w:val="auto"/>
        </w:rPr>
        <w:t>The Company operates in one operating and reporting segment related to the development and sales of low-power, HD, Ultra HD video compression, image processing and AI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Company’s revenue by geographic region based on bill-to location for the periods indicated.</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58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5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5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2"/>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33,685</w:t>
            </w:r>
          </w:p>
        </w:tc>
        <w:tc>
          <w:tcPr>
            <w:tcW w:w="12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30,634</w:t>
            </w:r>
          </w:p>
        </w:tc>
        <w:tc>
          <w:tcPr>
            <w:tcW w:w="80" w:type="dxa"/>
            <w:vAlign w:val="bottom"/>
            <w:shd w:val="clear" w:color="auto" w:fill="CFF0FC"/>
          </w:tcPr>
          <w:p>
            <w:pPr>
              <w:spacing w:after="0"/>
              <w:rPr>
                <w:sz w:val="21"/>
                <w:szCs w:val="21"/>
                <w:color w:val="auto"/>
              </w:rPr>
            </w:pPr>
          </w:p>
        </w:tc>
      </w:tr>
      <w:tr>
        <w:trPr>
          <w:trHeight w:val="23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15,605</w:t>
            </w:r>
          </w:p>
        </w:tc>
        <w:tc>
          <w:tcPr>
            <w:tcW w:w="80" w:type="dxa"/>
            <w:vAlign w:val="bottom"/>
          </w:tcPr>
          <w:p>
            <w:pPr>
              <w:spacing w:after="0"/>
              <w:rPr>
                <w:sz w:val="20"/>
                <w:szCs w:val="20"/>
                <w:color w:val="auto"/>
              </w:rPr>
            </w:pPr>
          </w:p>
        </w:tc>
      </w:tr>
      <w:tr>
        <w:trPr>
          <w:trHeight w:val="247"/>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9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80" w:type="dxa"/>
            <w:vAlign w:val="bottom"/>
            <w:shd w:val="clear" w:color="auto" w:fill="CFF0FC"/>
          </w:tcPr>
          <w:p>
            <w:pPr>
              <w:spacing w:after="0"/>
              <w:rPr>
                <w:sz w:val="21"/>
                <w:szCs w:val="21"/>
                <w:color w:val="auto"/>
              </w:rPr>
            </w:pPr>
          </w:p>
        </w:tc>
      </w:tr>
      <w:tr>
        <w:trPr>
          <w:trHeight w:val="23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other than United States</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80" w:type="dxa"/>
            <w:vAlign w:val="bottom"/>
          </w:tcPr>
          <w:p>
            <w:pPr>
              <w:spacing w:after="0"/>
              <w:rPr>
                <w:sz w:val="20"/>
                <w:szCs w:val="20"/>
                <w:color w:val="auto"/>
              </w:rPr>
            </w:pPr>
          </w:p>
        </w:tc>
      </w:tr>
      <w:tr>
        <w:trPr>
          <w:trHeight w:val="247"/>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54,473</w:t>
            </w:r>
          </w:p>
        </w:tc>
        <w:tc>
          <w:tcPr>
            <w:tcW w:w="12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62,142</w:t>
            </w:r>
          </w:p>
        </w:tc>
        <w:tc>
          <w:tcPr>
            <w:tcW w:w="80" w:type="dxa"/>
            <w:vAlign w:val="bottom"/>
          </w:tcPr>
          <w:p>
            <w:pPr>
              <w:spacing w:after="0"/>
              <w:rPr>
                <w:sz w:val="20"/>
                <w:szCs w:val="20"/>
                <w:color w:val="auto"/>
              </w:rPr>
            </w:pPr>
          </w:p>
        </w:tc>
      </w:tr>
      <w:tr>
        <w:trPr>
          <w:trHeight w:val="20"/>
        </w:trPr>
        <w:tc>
          <w:tcPr>
            <w:tcW w:w="5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-187960</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4" w:lineRule="exact"/>
        <w:rPr>
          <w:sz w:val="20"/>
          <w:szCs w:val="20"/>
          <w:color w:val="auto"/>
        </w:rPr>
      </w:pPr>
    </w:p>
    <w:p>
      <w:pPr>
        <w:jc w:val="both"/>
        <w:ind w:right="40" w:firstLine="509"/>
        <w:spacing w:after="0" w:line="289" w:lineRule="auto"/>
        <w:rPr>
          <w:sz w:val="20"/>
          <w:szCs w:val="20"/>
          <w:color w:val="auto"/>
        </w:rPr>
      </w:pPr>
      <w:r>
        <w:rPr>
          <w:rFonts w:ascii="Times New Roman" w:cs="Times New Roman" w:eastAsia="Times New Roman" w:hAnsi="Times New Roman"/>
          <w:sz w:val="17"/>
          <w:szCs w:val="17"/>
          <w:color w:val="auto"/>
        </w:rPr>
        <w:t>Substantially all of the Company’s property and equipment were located in the Asia Pacific region, United States and Europe. As of April 30, 2024, the net amount of these fixed assets located in these regions was approximately $4.9 million, $3.7 million and $1.2 million, respectively. As of January 31, 2024, the net amount of these fixed assets located in these regions was approximately $5.3 million, $3.9 million and $1.2 million, respectively.</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the three months ended April 30, 2024, the customers representing 10% or more of revenue were WT and Chicony, which accounted for approximately 62% and 13% of total revenue, respectively. For the three months ended April 30, 2023, the customers representing 10% or more of revenue were WT, Chicony and Motorola, which accounted for approximately 49%, 16% and 11% of total revenue, respectively. Accounts receivable with WT and Chicony were approximately $13.8 million and $7.4 million as of April 30, 2024, respectively. Accounts receivable with WT and Chicony were approximately $10.3 million and $7.0 million as of January 31, 2024,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On May 29, 2024,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Board of Directors approved an extension of the Company's existing share repurchase program for an additional twelve months through June 30, 2025. The repurchase program does not obligate the Company to acquire any particular amount of ordinary shares, and it may be suspended at any time at the Company’s discretion. As of June 6, 2024, there was approximately $49.0 million available for repurchases under the repurchase program through June 30, 2025.</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8" w:name="page19"/>
    <w:bookmarkEnd w:id="18"/>
    <w:p>
      <w:pPr>
        <w:ind w:left="10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2024 and management’s discussion and analysis of our financial condition and results of operations included in our Annual Report on Form 10-K for the 2024 fiscal year filed with the Securities and Exchange Commission, or SEC, on March 29, 2024.</w:t>
      </w:r>
    </w:p>
    <w:p>
      <w:pPr>
        <w:spacing w:after="0" w:line="183"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repurchase programs, our expectations about taxes, operating expenses, and cost recognition, the availability of third-party components and economic and political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risks associated with the overall economy, including higher inflation and escalating trade tensions between the U.S. and China;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computer vision; our ability to effectively generate and manage growth; our ability to retain key employees; the potential for intellectual property disputes or other litigation; the risks described under Item 1A of Part II — “Risk Factors,” and Item 2 of Part I — “Management’s Discussion and Analysis of Financial Condition and Results of Operations”;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 leading developer of low-power system-on-a-chip, or SoC, semiconductors providing powerful artificial intelligence, or AI, processing, advanced image signal processing and high-resolution video compression. Since inception, we have primarily served human viewing applications with video and image processors for enterprise, public infrastructure and home applications, such as internet protocol, or IP, security cameras, sports cameras, wearables, aerial drones, and aftermarket automotive video recorders. Our recent development efforts have focused on creating advanced AI technology that enables edge devices to visually perceive the environment and make decisions based on the data collected from cameras and, most recently, other types of sensors. This category of AI technology is known as computer vision (CV) or edge inference AI, and our CV SoCs integrate our state-of-the-art video processor technology together with our deep learning neural network processing technology, which we refer to as CVflow™. The CVflow-architecture supports a variety of CV algorithms, including object detection, classification and tracking, semantic and instance segmentation, image processing, stereo object detection, and terrain mapping. CVflow can process other sensor modalities including lidar and radar, and allows customers to differentiate their products by porting their own, or third party, neural networks and/or classical CV algorithms to our CVflow-based SoCs. Our latest third generation CVflow technology enables us to address incremental and computationally intense AI applications for deep fusion, deep planning, and large language models (LLMs), as well as efficiently process transformer AI networks.</w:t>
      </w:r>
    </w:p>
    <w:p>
      <w:pPr>
        <w:spacing w:after="0" w:line="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SoC designs fully integrate computer vision functionality, high-definition, or HD, video processing, image processing, audio processing, and system functions onto a single chip, delivering exceptional video and image quality at high compression rates, differentiated functionality and low power consumption. These CV-based technologies are allowing us to address a broader range of markets and applications requiring AI video features, including IP security cameras, a variety of automotive cameras, consumer cameras, and industrial and robotic applications. We anticipate that our CV technology will also enable us to capture more content per electronic system and increase our average selling price.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development efforts are focused on SoCs that provide human viewing, computer vision and radar detection functionalities. As a result, we believe that our future revenue growth, if any, will significantly depend upon our ability to expand within camera markets with our computer vision technology, particularly in the Internet of Things, or IoT, markets, as well as emerging markets such as AI-enabled security cameras, AI-based driving applications, including driver monitoring systems, advanced blind spot detection, object detection, and deep learning algorithms for HD mapping solutions,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and CV capabilities, and as we target new markets.</w:t>
      </w:r>
    </w:p>
    <w:p>
      <w:pPr>
        <w:spacing w:after="0" w:line="18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sell our SoC solutions to leading original design manufacturers, or ODMs, and original equipment manufacturers, or OEMs, globally, and in the automotive market, we also sell to Tier-1 suppliers. We refer to ODMs and Tier-1 automotive suppliers as our customers and OEMs as our end customers, except as otherwise indicated or as the context otherwise requires.</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Volume production may begin within 9 to 18 months after a design win, but could be longer in certain markets, depending on the complexity of our customer’s product and other factors upon which we may have little or no influence. In general, design cycles will be longer in the OEM automotive and industrial and robotics markets than in the IoT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An IoT product typically has a life cycle of 6 to 24 months. We anticipate that product life cycles will typically be longer than 24 months in the OEM automotive and industrial and robotics markets, as new product introductions occur less frequently in these markets.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121" w:lineRule="exact"/>
        <w:rPr>
          <w:sz w:val="20"/>
          <w:szCs w:val="20"/>
          <w:color w:val="auto"/>
        </w:rPr>
      </w:pPr>
    </w:p>
    <w:p>
      <w:pPr>
        <w:ind w:left="1540" w:right="160" w:hanging="514"/>
        <w:spacing w:after="0" w:line="289" w:lineRule="auto"/>
        <w:tabs>
          <w:tab w:leader="none" w:pos="1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recorded revenue of $54.5 million for the three months ended April 30, 2024. This represented a decrease of 12.3% as compared to the same period in the prior fiscal year. The decrease in revenue was primarily attributable to lower product unit shipments, partially offset by continued adoption of our CV-based solutions, which have higher average selling prices than non-CV solutions.</w:t>
      </w:r>
    </w:p>
    <w:p>
      <w:pPr>
        <w:spacing w:after="0" w:line="49" w:lineRule="exact"/>
        <w:rPr>
          <w:rFonts w:ascii="Times New Roman" w:cs="Times New Roman" w:eastAsia="Times New Roman" w:hAnsi="Times New Roman"/>
          <w:sz w:val="17"/>
          <w:szCs w:val="17"/>
          <w:color w:val="auto"/>
        </w:rPr>
      </w:pPr>
    </w:p>
    <w:p>
      <w:pPr>
        <w:ind w:left="1540" w:right="140" w:hanging="514"/>
        <w:spacing w:after="0" w:line="258"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an operating loss of $39.4 million for the three months ended April 30, 2024, as compared to an operating loss of $35.5 million for the three months ended April 30, 2023. The higher operating loss was primarily due to lower revenue, partially offset by lower operating expenses. The decrease in operating expenses was primarily attributable to lower personnel costs, partially offset by an increase in engineering-related expenses associated with the progress and number of chips in development, as well as higher outside professional service costs.</w:t>
      </w:r>
    </w:p>
    <w:p>
      <w:pPr>
        <w:spacing w:after="0" w:line="75" w:lineRule="exact"/>
        <w:rPr>
          <w:rFonts w:ascii="Times New Roman" w:cs="Times New Roman" w:eastAsia="Times New Roman" w:hAnsi="Times New Roman"/>
          <w:sz w:val="18"/>
          <w:szCs w:val="18"/>
          <w:color w:val="auto"/>
        </w:rPr>
      </w:pPr>
    </w:p>
    <w:p>
      <w:pPr>
        <w:ind w:left="1540" w:right="80" w:hanging="514"/>
        <w:spacing w:after="0" w:line="261"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cash outflows from operating activities of $15.0 million for the three months ended April 30, 2024, as compared to cash inflows of $22.0 million for the three months ended April 30, 2023. The cash outflows from operating activities were primarily attributable to reductions in working capital including payments for chip development costs and a higher net loss, adjusted for certain non-cash items.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20" w:name="page21"/>
    <w:bookmarkEnd w:id="20"/>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Ability to Capitalize on AI and Computer Vision Trends</w:t>
      </w:r>
      <w:r>
        <w:rPr>
          <w:rFonts w:ascii="Times New Roman" w:cs="Times New Roman" w:eastAsia="Times New Roman" w:hAnsi="Times New Roman"/>
          <w:sz w:val="18"/>
          <w:szCs w:val="18"/>
          <w:color w:val="auto"/>
        </w:rPr>
        <w:t>. We expect that AI and computer vision functionality will become an increasingly important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 in many of our current and future markets, including IoT, automotive, industrial and robotics markets. As a result, we believe that our ability to develop advanced AI computer vision technology,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IoT, automotive, industrial and robotics markets, is vital to our ability to generate revenue growth. As such, we closely monitor our design wins with our customers. However, a design win may not successfully materialize into revenue, and even if it does result in revenue, the amount generated by each design win can vary significantly.</w:t>
      </w:r>
    </w:p>
    <w:p>
      <w:pPr>
        <w:spacing w:after="0" w:line="18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Ability to Develop and Introduce New or Enhanced Solutions</w:t>
      </w:r>
      <w:r>
        <w:rPr>
          <w:rFonts w:ascii="Times New Roman" w:cs="Times New Roman" w:eastAsia="Times New Roman" w:hAnsi="Times New Roman"/>
          <w:sz w:val="18"/>
          <w:szCs w:val="18"/>
          <w:color w:val="auto"/>
        </w:rPr>
        <w:t>. We operate in a dynamic environment characterized by rapidly changing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technological obsolescence. To compete successfully, we must design, develop, market and sell enhanced solutions with increased levels of performance and functionality that meet the expectations of our customers.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p>
    <w:p>
      <w:pPr>
        <w:spacing w:after="0" w:line="183"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Pricing, Product Cost and Margin</w:t>
      </w:r>
      <w:r>
        <w:rPr>
          <w:rFonts w:ascii="Times New Roman" w:cs="Times New Roman" w:eastAsia="Times New Roman" w:hAnsi="Times New Roman"/>
          <w:sz w:val="18"/>
          <w:szCs w:val="18"/>
          <w:color w:val="auto"/>
        </w:rPr>
        <w:t>. Our pricing and margins depend on the volumes and features of the solutions we provide to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8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6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Continued Concentration of Revenue by End Market</w:t>
      </w:r>
      <w:r>
        <w:rPr>
          <w:rFonts w:ascii="Times New Roman" w:cs="Times New Roman" w:eastAsia="Times New Roman" w:hAnsi="Times New Roman"/>
          <w:sz w:val="18"/>
          <w:szCs w:val="18"/>
          <w:color w:val="auto"/>
        </w:rPr>
        <w:t>. Historically, our revenue has been significantly concentrated in a small number of end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 developed technologies to provide solutions for new markets as they emerged. Since fiscal year 2018, the IoT markets and automotive markets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markets will continue to account for a significant percentage of our total revenue for the foreseeable future. Our concentration in a limited number of markets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9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Sales Volume</w:t>
      </w:r>
      <w:r>
        <w:rPr>
          <w:rFonts w:ascii="Times New Roman" w:cs="Times New Roman" w:eastAsia="Times New Roman" w:hAnsi="Times New Roman"/>
          <w:sz w:val="18"/>
          <w:szCs w:val="18"/>
          <w:color w:val="auto"/>
        </w:rPr>
        <w:t>. A typical design win that successfully launches into the marketplace can generate a wide range of sales volumes for our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1" w:name="page22"/>
    <w:bookmarkEnd w:id="21"/>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Customer Product Life Cycle. </w:t>
      </w:r>
      <w:r>
        <w:rPr>
          <w:rFonts w:ascii="Times New Roman" w:cs="Times New Roman" w:eastAsia="Times New Roman" w:hAnsi="Times New Roman"/>
          <w:sz w:val="18"/>
          <w:szCs w:val="18"/>
          <w:color w:val="auto"/>
        </w:rPr>
        <w:t>We estimate our customers’ product life cycles based on the customer, type of product and end market. We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commercial shipments from 9 to 18 months following a design win; however, in some markets, lengthier product and development cycles are possible, depending on the scope and nature of the project, such as in the automotive market. An IoT product typically has a product life cycle of 6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183"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Impact of Global Supply Chain Conditions on Our Business. </w:t>
      </w:r>
      <w:r>
        <w:rPr>
          <w:rFonts w:ascii="Times New Roman" w:cs="Times New Roman" w:eastAsia="Times New Roman" w:hAnsi="Times New Roman"/>
          <w:sz w:val="18"/>
          <w:szCs w:val="18"/>
          <w:color w:val="auto"/>
        </w:rPr>
        <w:t>Due in part to impacts of the COVID-19 pandemic, the semiconductor industry faced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global supply chain challenges over the past few years. Supply chain issues can impact our business as they relate to both our suppliers and our customers. With respect to our suppliers, we have experienced supply constraints for certain chips from Samsung Electronics Corporation and we may in the future experience similar issues. With respect to our customers, to the extent customers face supply chain issues with other components needed to pair with our products in order to produce their end products, such customers may delay future orders of our products or hold inventory of our products for longer periods of time. Recent supply chain challenges have substantially subsided and we expect conditions to return to more stability in future periods.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 of operations for the periods indicated:</w:t>
      </w:r>
    </w:p>
    <w:p>
      <w:pPr>
        <w:spacing w:after="0" w:line="313"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69"/>
        </w:trPr>
        <w:tc>
          <w:tcPr>
            <w:tcW w:w="54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54,473</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62,142</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21,313</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5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33,160</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37,519</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54,137</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54,441</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18,468</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54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72,605</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73,061</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(39,445 )</w:t>
            </w: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(35,542 )</w:t>
            </w:r>
          </w:p>
        </w:tc>
        <w:tc>
          <w:tcPr>
            <w:tcW w:w="20" w:type="dxa"/>
            <w:vAlign w:val="bottom"/>
          </w:tcPr>
          <w:p>
            <w:pPr>
              <w:spacing w:after="0"/>
              <w:rPr>
                <w:sz w:val="20"/>
                <w:szCs w:val="20"/>
                <w:color w:val="auto"/>
              </w:rPr>
            </w:pPr>
          </w:p>
        </w:tc>
      </w:tr>
      <w:tr>
        <w:trPr>
          <w:trHeight w:val="243"/>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(37,174 )</w:t>
            </w: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(34,256 )</w:t>
            </w:r>
          </w:p>
        </w:tc>
        <w:tc>
          <w:tcPr>
            <w:tcW w:w="20" w:type="dxa"/>
            <w:vAlign w:val="bottom"/>
          </w:tcPr>
          <w:p>
            <w:pPr>
              <w:spacing w:after="0"/>
              <w:rPr>
                <w:sz w:val="20"/>
                <w:szCs w:val="20"/>
                <w:color w:val="auto"/>
              </w:rPr>
            </w:pPr>
          </w:p>
        </w:tc>
      </w:tr>
      <w:tr>
        <w:trPr>
          <w:trHeight w:val="243"/>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(37,932 )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(35,902 )</w:t>
            </w:r>
          </w:p>
        </w:tc>
        <w:tc>
          <w:tcPr>
            <w:tcW w:w="20" w:type="dxa"/>
            <w:vAlign w:val="bottom"/>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-1456690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-1456690</wp:posOffset>
            </wp:positionV>
            <wp:extent cx="431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-822325</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-822325</wp:posOffset>
            </wp:positionV>
            <wp:extent cx="43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-504825</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514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operating results as a percentage of revenue of each line item for the periods indicated:</w:t>
      </w:r>
    </w:p>
    <w:p>
      <w:pPr>
        <w:spacing w:after="0" w:line="313"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2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36"/>
        </w:trPr>
        <w:tc>
          <w:tcPr>
            <w:tcW w:w="5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7"/>
        </w:trPr>
        <w:tc>
          <w:tcPr>
            <w:tcW w:w="5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9"/>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7"/>
        </w:trPr>
        <w:tc>
          <w:tcPr>
            <w:tcW w:w="5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7"/>
        </w:trPr>
        <w:tc>
          <w:tcPr>
            <w:tcW w:w="51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8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118</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r>
      <w:tr>
        <w:trPr>
          <w:trHeight w:val="232"/>
        </w:trPr>
        <w:tc>
          <w:tcPr>
            <w:tcW w:w="5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(58 )</w:t>
            </w:r>
          </w:p>
        </w:tc>
        <w:tc>
          <w:tcPr>
            <w:tcW w:w="180" w:type="dxa"/>
            <w:vAlign w:val="bottom"/>
          </w:tcPr>
          <w:p>
            <w:pPr>
              <w:spacing w:after="0"/>
              <w:rPr>
                <w:sz w:val="20"/>
                <w:szCs w:val="20"/>
                <w:color w:val="auto"/>
              </w:rPr>
            </w:pPr>
          </w:p>
        </w:tc>
      </w:tr>
      <w:tr>
        <w:trPr>
          <w:trHeight w:val="247"/>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r>
      <w:tr>
        <w:trPr>
          <w:trHeight w:val="232"/>
        </w:trPr>
        <w:tc>
          <w:tcPr>
            <w:tcW w:w="5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(56 )</w:t>
            </w:r>
          </w:p>
        </w:tc>
        <w:tc>
          <w:tcPr>
            <w:tcW w:w="180" w:type="dxa"/>
            <w:vAlign w:val="bottom"/>
          </w:tcPr>
          <w:p>
            <w:pPr>
              <w:spacing w:after="0"/>
              <w:rPr>
                <w:sz w:val="20"/>
                <w:szCs w:val="20"/>
                <w:color w:val="auto"/>
              </w:rPr>
            </w:pPr>
          </w:p>
        </w:tc>
      </w:tr>
      <w:tr>
        <w:trPr>
          <w:trHeight w:val="247"/>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r>
      <w:tr>
        <w:trPr>
          <w:trHeight w:val="236"/>
        </w:trPr>
        <w:tc>
          <w:tcPr>
            <w:tcW w:w="5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gridSpan w:val="4"/>
          </w:tcPr>
          <w:p>
            <w:pPr>
              <w:jc w:val="right"/>
              <w:ind w:right="748"/>
              <w:spacing w:after="0" w:line="236" w:lineRule="exact"/>
              <w:rPr>
                <w:sz w:val="20"/>
                <w:szCs w:val="20"/>
                <w:color w:val="auto"/>
              </w:rPr>
            </w:pPr>
            <w:r>
              <w:rPr>
                <w:rFonts w:ascii="Times New Roman" w:cs="Times New Roman" w:eastAsia="Times New Roman" w:hAnsi="Times New Roman"/>
                <w:sz w:val="15"/>
                <w:szCs w:val="15"/>
                <w:color w:val="auto"/>
              </w:rPr>
              <w:t xml:space="preserve">(70 ) </w:t>
            </w:r>
            <w:r>
              <w:rPr>
                <w:rFonts w:ascii="Times New Roman" w:cs="Times New Roman" w:eastAsia="Times New Roman" w:hAnsi="Times New Roman"/>
                <w:sz w:val="27"/>
                <w:szCs w:val="27"/>
                <w:color w:val="auto"/>
                <w:vertAlign w:val="subscript"/>
              </w:rPr>
              <w:t>%</w:t>
            </w:r>
          </w:p>
        </w:tc>
        <w:tc>
          <w:tcPr>
            <w:tcW w:w="54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5"/>
                <w:szCs w:val="15"/>
                <w:color w:val="auto"/>
              </w:rPr>
              <w:t>(58 )</w:t>
            </w:r>
            <w:r>
              <w:rPr>
                <w:rFonts w:ascii="Times New Roman" w:cs="Times New Roman" w:eastAsia="Times New Roman" w:hAnsi="Times New Roman"/>
                <w:sz w:val="27"/>
                <w:szCs w:val="27"/>
                <w:color w:val="auto"/>
                <w:vertAlign w:val="subscript"/>
              </w:rPr>
              <w:t>%</w:t>
            </w:r>
          </w:p>
        </w:tc>
      </w:tr>
      <w:tr>
        <w:trPr>
          <w:trHeight w:val="20"/>
        </w:trPr>
        <w:tc>
          <w:tcPr>
            <w:tcW w:w="5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-822325</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-822325</wp:posOffset>
            </wp:positionV>
            <wp:extent cx="431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-504825</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-504825</wp:posOffset>
            </wp:positionV>
            <wp:extent cx="431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514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431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22" w:name="page23"/>
    <w:bookmarkEnd w:id="22"/>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derive substantially all of our revenue from the sale of HD and Ultra HD video and image processing SoC solutions to IoT OEMs, IoT ODMs, automotive OEMs or Tier-1 automotive suppliers, either directly or through our distributors. A substantial portion of our revenue from sales was made indirectly through one of our distributors, WT Microelectronics Co., Ltd., formerly Wintech Microelectronics Co., Ltd., or WT, which serves as our non-exclusive sales representative and fulfillment partner in Asia other than Japan, and from one ODM, Chicony Electronics Co., Ltd., or Chicony, which manufactures devices incorporating our solutions on behalf of multiple end-customers.</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average selling prices fluctuate based on the mix of our solutions sold in a period which reflects the impact of both changes in unit sales of existing solutions as well as the introduction and sales of new solutions. Our AI and CV-based solutions generally have higher selling prices than our traditional video and image processing SoC solutions that do not enable AI or CV functionality. Our solutions are typically characterized by a life cycle that begins with higher average selling prices and lower volumes, followed by broader market adoption, higher volumes and average selling prices that are lower than initial levels.</w:t>
      </w:r>
    </w:p>
    <w:p>
      <w:pPr>
        <w:spacing w:after="0" w:line="18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AI and computer vision specialized use cases emerge and video capture continues to proliferate.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Cost of revenue includes the cost of materials, such as wafers processed by third-party foundries, costs associated with packaging, assembly, testing and manufacturing support operations, such as logistics, planning and quality assurance, as well as personnel costs (including stock-based compensation) related to project service agreements. Cost of revenue also includes indirect costs, such as inventory valuation reserves, adverse purchase commitment reserves, facility cost allocations, amortization of developed technology and software licenses, warranty and other general overhead costs.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costs of fabrication of mask sets for prototype products, the cost and depreciation of equipment, outside services as well as allocated depreciation and facility expenses. All research and development costs are expensed as incurred. We expect our research and development expense to generally increase in absolute dollars as we continue to enhance and expand our product features and offerings and increase headcount for new SoC development and development of computer vision technology.</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amortization of trade name and customer relationships, professional service costs related to accounting, tax, legal services, and allocated depreciation and facility expenses.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Other income, net, consists primarily of interest income and yields from our cash deposits and debt security investments, realized gains and losses from equity and debt security investments, subsidies granted by foreign governments, as well as gains and losses from foreign currency transactions and remeasurements.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right="40" w:firstLine="478"/>
        <w:spacing w:after="0" w:line="256" w:lineRule="auto"/>
        <w:rPr>
          <w:sz w:val="20"/>
          <w:szCs w:val="20"/>
          <w:color w:val="auto"/>
        </w:rPr>
      </w:pPr>
      <w:r>
        <w:rPr>
          <w:rFonts w:ascii="Times New Roman" w:cs="Times New Roman" w:eastAsia="Times New Roman" w:hAnsi="Times New Roman"/>
          <w:sz w:val="18"/>
          <w:szCs w:val="18"/>
          <w:color w:val="auto"/>
        </w:rPr>
        <w:t>We are incorporated and domiciled in the Cayman Islands and also conduct business in several locations such as the United States, China, Taiwan, Hong Kong, Italy, South Korea, Germany,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April 30, 2024 and 2023</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3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4"/>
                <w:szCs w:val="1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33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54,473</w:t>
            </w:r>
          </w:p>
        </w:tc>
        <w:tc>
          <w:tcPr>
            <w:tcW w:w="11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62,142</w:t>
            </w: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(7,669 )</w:t>
            </w:r>
          </w:p>
        </w:tc>
        <w:tc>
          <w:tcPr>
            <w:tcW w:w="58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-147955</wp:posOffset>
            </wp:positionV>
            <wp:extent cx="641223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6"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Revenue decreased for the three months ended April 30, 2024, as compared to the same period in the prior fiscal year, primarily due to lower product unit shipments, partially offset by continued adoption of our CV-based solutions, which have higher average selling prices than non-CV solutions.</w:t>
      </w: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3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336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(dollars in</w:t>
            </w: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4400" w:type="dxa"/>
            <w:vAlign w:val="bottom"/>
            <w:gridSpan w:val="2"/>
          </w:tcPr>
          <w:p>
            <w:pPr>
              <w:jc w:val="right"/>
              <w:ind w:right="3348"/>
              <w:spacing w:after="0"/>
              <w:rPr>
                <w:sz w:val="20"/>
                <w:szCs w:val="20"/>
                <w:color w:val="auto"/>
              </w:rPr>
            </w:pPr>
            <w:r>
              <w:rPr>
                <w:rFonts w:ascii="Times New Roman" w:cs="Times New Roman" w:eastAsia="Times New Roman" w:hAnsi="Times New Roman"/>
                <w:sz w:val="18"/>
                <w:szCs w:val="18"/>
                <w:color w:val="auto"/>
                <w:w w:val="98"/>
              </w:rPr>
              <w:t>Gross margin</w:t>
            </w:r>
          </w:p>
        </w:tc>
        <w:tc>
          <w:tcPr>
            <w:tcW w:w="160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60.9 %</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60.4 %</w:t>
            </w:r>
          </w:p>
        </w:tc>
        <w:tc>
          <w:tcPr>
            <w:tcW w:w="1140" w:type="dxa"/>
            <w:vAlign w:val="bottom"/>
          </w:tcPr>
          <w:p>
            <w:pPr>
              <w:spacing w:after="0"/>
              <w:rPr>
                <w:sz w:val="20"/>
                <w:szCs w:val="20"/>
                <w:color w:val="auto"/>
              </w:rPr>
            </w:pPr>
          </w:p>
        </w:tc>
        <w:tc>
          <w:tcPr>
            <w:tcW w:w="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-147955</wp:posOffset>
            </wp:positionV>
            <wp:extent cx="6412230"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Gross margin increased for the three months ended April 30, 2024, as compared to the same period in the prior fiscal year, primarily due to sales of inventory that was previously reserved and lower adverse purchase commitments recognized.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34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3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8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54,137</w:t>
            </w:r>
          </w:p>
        </w:tc>
        <w:tc>
          <w:tcPr>
            <w:tcW w:w="11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54,441</w:t>
            </w:r>
          </w:p>
        </w:tc>
        <w:tc>
          <w:tcPr>
            <w:tcW w:w="130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(304 )</w:t>
            </w:r>
          </w:p>
        </w:tc>
        <w:tc>
          <w:tcPr>
            <w:tcW w:w="5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-147955</wp:posOffset>
            </wp:positionV>
            <wp:extent cx="641223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6"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decreased for the three months ended April 30, 2024, as compared to the same period in the prior fiscal year, primarily due to approximately $0.9 million of lower personnel costs, including stock-based compensation, employee benefits and incentive bonus, as a result of lower headcount, partially offset by approximately $0.6 million of additional engineering-related expenses associated with the progress and number of chips in development.</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34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3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8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18,468</w:t>
            </w:r>
          </w:p>
        </w:tc>
        <w:tc>
          <w:tcPr>
            <w:tcW w:w="11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18,620</w:t>
            </w:r>
          </w:p>
        </w:tc>
        <w:tc>
          <w:tcPr>
            <w:tcW w:w="130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(152 )</w:t>
            </w:r>
          </w:p>
        </w:tc>
        <w:tc>
          <w:tcPr>
            <w:tcW w:w="5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-147955</wp:posOffset>
            </wp:positionV>
            <wp:extent cx="641223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decreased for the three months ended April 30, 2024, as compared to the same period in the prior fiscal year, primarily due to approximately $0.7 million of lower personnel costs, including stock-based compensation, employee benefits and incentive bonus, as a result of lower headcount, partially offset by approximately $0.5 million of additional outside professional service costs.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400" w:type="dxa"/>
            <w:vAlign w:val="bottom"/>
          </w:tcPr>
          <w:p>
            <w:pPr>
              <w:spacing w:after="0"/>
              <w:rPr>
                <w:sz w:val="14"/>
                <w:szCs w:val="14"/>
                <w:color w:val="auto"/>
              </w:rPr>
            </w:pPr>
          </w:p>
        </w:tc>
        <w:tc>
          <w:tcPr>
            <w:tcW w:w="9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3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20" w:type="dxa"/>
            <w:vAlign w:val="bottom"/>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1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34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-147955</wp:posOffset>
            </wp:positionV>
            <wp:extent cx="6412230"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increase in other income, net, for the three months ended April 30, 2024, as compared to the same period in the prior fiscal year, was primarily due to approximately $1.0 million of additional interest income and yields from our cash deposits and debt security investments.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120" w:type="dxa"/>
            <w:vAlign w:val="bottom"/>
          </w:tcPr>
          <w:p>
            <w:pPr>
              <w:spacing w:after="0"/>
              <w:rPr>
                <w:sz w:val="16"/>
                <w:szCs w:val="16"/>
                <w:color w:val="auto"/>
              </w:rPr>
            </w:pPr>
          </w:p>
        </w:tc>
        <w:tc>
          <w:tcPr>
            <w:tcW w:w="2700" w:type="dxa"/>
            <w:vAlign w:val="bottom"/>
            <w:tcBorders>
              <w:bottom w:val="single" w:sz="8" w:color="auto"/>
            </w:tcBorders>
            <w:gridSpan w:val="4"/>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139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3120" w:type="dxa"/>
            <w:vAlign w:val="bottom"/>
          </w:tcPr>
          <w:p>
            <w:pPr>
              <w:spacing w:after="0"/>
              <w:rPr>
                <w:sz w:val="14"/>
                <w:szCs w:val="14"/>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3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w:t>
            </w:r>
          </w:p>
        </w:tc>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Borders>
              <w:top w:val="single" w:sz="8" w:color="auto"/>
            </w:tcBorders>
          </w:tcPr>
          <w:p>
            <w:pPr>
              <w:spacing w:after="0"/>
              <w:rPr>
                <w:sz w:val="14"/>
                <w:szCs w:val="14"/>
                <w:color w:val="auto"/>
              </w:rPr>
            </w:pPr>
          </w:p>
        </w:tc>
      </w:tr>
      <w:tr>
        <w:trPr>
          <w:trHeight w:val="243"/>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8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3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(888 )</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(53.9 ) %</w:t>
            </w:r>
          </w:p>
        </w:tc>
      </w:tr>
      <w:tr>
        <w:trPr>
          <w:trHeight w:val="25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9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2"/>
                <w:szCs w:val="2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 xml:space="preserve">2.8  </w:t>
            </w:r>
            <w:r>
              <w:rPr>
                <w:rFonts w:ascii="Calibri" w:cs="Calibri" w:eastAsia="Calibri" w:hAnsi="Calibri"/>
                <w:sz w:val="19"/>
                <w:szCs w:val="19"/>
                <w:color w:val="auto"/>
              </w:rPr>
              <w:t>%</w:t>
            </w:r>
          </w:p>
        </w:tc>
      </w:tr>
    </w:tbl>
    <w:p>
      <w:pPr>
        <w:spacing w:after="0" w:line="21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quarterly income taxes reflect an estimate of the corresponding fiscal year’s annual effective tax rate and include, when applicable, adjustments from discrete tax items arising in the quarter.</w:t>
      </w:r>
    </w:p>
    <w:p>
      <w:pPr>
        <w:spacing w:after="0" w:line="162"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decrease in income tax expense for the three months ended April 30, 2024, as compared to the same period in the prior fiscal year, was primarily due to a decrease in the proportion of profits generated in the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of April 30, 2024, we had cash, cash equivalents and marketable debt securities of approximately $203.3 million. We invest in highly-liquid, short-term marketable debt securities and hold these investments as available-for-sale securities. Refer to Note 2 of the Notes to Condensed Consolidated Financial Statements for additional information. The current inflationary environment in the United States and resulting high interest rates have not had a material impact on our investment portfolio and financial position.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(14,951 )</w:t>
            </w:r>
          </w:p>
        </w:tc>
        <w:tc>
          <w:tcPr>
            <w:tcW w:w="42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(8,210 )</w:t>
            </w:r>
          </w:p>
        </w:tc>
        <w:tc>
          <w:tcPr>
            <w:tcW w:w="0" w:type="dxa"/>
            <w:vAlign w:val="bottom"/>
          </w:tcPr>
          <w:p>
            <w:pPr>
              <w:spacing w:after="0"/>
              <w:rPr>
                <w:sz w:val="1"/>
                <w:szCs w:val="1"/>
                <w:color w:val="auto"/>
              </w:rPr>
            </w:pPr>
          </w:p>
        </w:tc>
      </w:tr>
      <w:tr>
        <w:trPr>
          <w:trHeight w:val="24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(288 )</w:t>
            </w: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9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(13,104 )</w:t>
            </w:r>
          </w:p>
        </w:tc>
        <w:tc>
          <w:tcPr>
            <w:tcW w:w="42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-299720</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-299720</wp:posOffset>
            </wp:positionV>
            <wp:extent cx="431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p>
    <w:p>
      <w:pPr>
        <w:spacing w:after="0" w:line="11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increased for the three months ended April 30, 2024, as compared to the same period in the prior fiscal year, primarily attributable to reductions in working capital including payments for chip development costs and a higher net loss, adjusted for certain non-cash items.</w:t>
      </w:r>
    </w:p>
    <w:p>
      <w:pPr>
        <w:spacing w:after="0" w:line="3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increased for the three months ended April 30, 2024, as compared to the same period in the prior fiscal year, primarily attributable to approximately $9.2 million of net cash receipts from our debt security investments, and $1.2 million less in payments for the purchase of capital assets.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95" w:right="41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decreased for the three months ended April 30, 2024, as compared to the same period in the prior fiscal year, primarily due to approximately $1.0 million additional principal payments associated with long-term software license agreements, partially offset by approximately $0.3 million higher cash receipt from stock activities.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No ordinary shares were repurchased during the three months ended April 30, 2024. As of April 30, 2024, there was approximately $49.0 million remaining available for repurchases under the current repurchase program through June 30, 2024. On May 29, 2024, our Board of Directors approved an extension of the existing share repurchase program for an additional twelve months through June 30, 2025. Refer to Note 16 of the Notes to Condensed Consolidated Financial Statements for additional information.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and Capital Expenditure Requirements</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balances will be sufficient to meet our anticipated cash requirements through at least the next 12 months. In the future, we may require more working capital to meet our operating and capital expenditure needs. If our available cash balances are insufficient to satisfy our future liquidity requirements, we may seek to sell equity or convertible debt securities or borrow funds commercially.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Purchase Obligations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April, 2024, we had purchase obligations with our independent contract manufacturers of $35.4 million.</w:t>
      </w:r>
    </w:p>
    <w:p>
      <w:pPr>
        <w:spacing w:after="0" w:line="22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Except as described above, there were no other material changes in our contractual obligations, commitments and contingencies from those disclosed in our Annual Report on Form 10-K for the fiscal year ended January 31, 2024. Please see Item 7, “Management’s Discussion and Analysis of Financial Condition and Results of Operations – Contractual Obligations, Commitments and Contingencies” in our Annual Report on Form 10-K for the fiscal year ended January 31, 2024 for a description of our contractual obligations.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of April 30, 2024, we did not engage in any off-balance sheet arrangements, including the use of structured finance, special purpose entities or variable interest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Authoritative Accounting Guidance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 of Notes to Condensed Consolidated Financial Statements for information regarding recently issued accounting pronouncements.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21" w:lineRule="exact"/>
        <w:rPr>
          <w:sz w:val="20"/>
          <w:szCs w:val="20"/>
          <w:color w:val="auto"/>
        </w:rPr>
      </w:pPr>
    </w:p>
    <w:p>
      <w:pPr>
        <w:ind w:firstLine="57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Annual Report on Form 10-K for the 2024 fiscal year filed with the SEC on March 29,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market risk as described in Part II, Item 7A. “Quantitative and Qualitative Disclosures About Market Risk” in our Annual Report on Form 10-K for the 2024 fiscal year filed with the SEC on March 29, 2024.</w:t>
      </w: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7"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Based upon such evaluation, our Principal Executive Officer and Principal Financial Officer have concluded that due to the material weakness in our internal control over financial reporting described below, our disclosure controls and procedures were not effective as of April 30, 2024 at a reasonable assurance level. The material weakness did not result in a material misstatement to our interim consolidated financial statements for the period ended April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Identified Material Weakness in Internal Control Over Financial Reporting</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reported in Part II, Item 9A. “Controls and Procedures” in our Annual Report on Form 10-K for the fiscal year ended January 31, 2024, our management identified a material weakness in our internal control over financial reporting as of January 31, 2024, as we did not design and maintain effective controls over the accounting for income taxes. Specifically, we did not have tax personnel with the appropriate skills and level of experience to assess complicated tax matters, and we did not properly identify, risk assess, design and maintain effective controls related to the income tax provision, including controls related to the evaluation of tax deductions and recognition and measurement of deferred tax assets. This material weakness resulted in immaterial errors to the provision for income taxes, deferred tax assets, income taxes payable, and income tax disclosures which were adjusted in the Company’s consolidated financial statements for the fiscal year ended January 31, 2024. Additionally, this material weakness could result in a misstatement of the aforementioned account balances or disclosures that would result in a material misstatement in our annual or interim consolidated financial statements that would not be prevented or detected.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 Efforts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order to remediate the material weakness described above, management continues to implement a remediation plan that includes implementing enhancements to our existing control activities with improved documentation standards, technical oversight and training, as well as, implementing enhanced review procedures in our income tax monitoring control. As we continue to evaluate and work to improve our internal control over financial reporting, we may determine to take additional measures to address the material weakness, including but not limited to, hiring of experienced personnel, as well as greater engagement of external subject matter experts on complex tax matters.</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material weakness described above will not be considered remediated until the internal controls described above have been implemented and operated effectively for a sufficient period of time for management to conclude, through testing, that they are effective.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than the remediation plan outlined above, there were no changes in the Company’s internal control over financial reporting during the quarter ended April 30, 2024,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Disclosure Controls and Internal Control over Financial Reporting</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940" w:firstLine="509"/>
        <w:spacing w:after="0" w:line="282" w:lineRule="auto"/>
        <w:rPr>
          <w:sz w:val="20"/>
          <w:szCs w:val="20"/>
          <w:color w:val="auto"/>
        </w:rPr>
      </w:pPr>
      <w:r>
        <w:rPr>
          <w:rFonts w:ascii="Times New Roman" w:cs="Times New Roman" w:eastAsia="Times New Roman" w:hAnsi="Times New Roman"/>
          <w:sz w:val="18"/>
          <w:szCs w:val="18"/>
          <w:color w:val="auto"/>
        </w:rPr>
        <w:t>We are not engaged in any material legal proceedings at this time. Refer to Note 14, Commitments and Contingencies, to the condensed consolidated financial statements included in Part I, Item 1 of this Quarterly Report on Form 10-Q.</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8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business and our industry is subject to numerous risks and uncertainties, including those described in the following Risk Factors. These risks include, but are not limited to, the following:</w:t>
      </w:r>
    </w:p>
    <w:p>
      <w:pPr>
        <w:spacing w:after="0" w:line="54" w:lineRule="exact"/>
        <w:rPr>
          <w:sz w:val="20"/>
          <w:szCs w:val="20"/>
          <w:color w:val="auto"/>
        </w:rPr>
      </w:pPr>
    </w:p>
    <w:p>
      <w:pPr>
        <w:ind w:left="1020" w:right="6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do not design our solutions into their product offerings, or if our customers’ product offerings are not commercially successful, our business would suffer.</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penetrate new markets, including the automotive original equipment manufacturer (OEM) and advanced driver assistance systems (ADAS) market, our revenue and financial condition could be harmed.</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introduce new or enhanced solutions that meet market requirements on a timely basis, our ability to attract and retain customers could be impaired and our competitive position could be harmed.</w:t>
      </w:r>
    </w:p>
    <w:p>
      <w:pPr>
        <w:spacing w:after="0" w:line="5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global semiconductor supply shortages and weak economic conditions could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in, or increased costs of, wafers and materials could adversely impact our gross margins and lead to reduced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inventory warehouse is located in Hong Kong and may be affected by political, social and economic conditions in Hong Kong.</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 markets may not grow or develop as we currently expect and are subject to market risks, any of which could harm our business, revenue and operating results.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customers and end customers for a significant portion of our revenue. If we fail to retain or expand our customer relationships, our revenue could decline.</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53"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competition to increase in the future, which could have an adverse effect on our revenue and market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our security systems may have a material adverse effect on our business.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intend to continue to invest in research and development, we may be unable to make the substantial investments that are required to remain competitive in our business.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and, if we are unable to hire, retain or motivate key personnel, we may not be able to grow effectively. Similarly, the loss of any of our key personnel could seriously harm our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ind w:left="503" w:right="3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of semiconductor solutions in our target markets have typically decreased over time and will likely do so in the future, which could harm our revenue and gross margins.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any future growth, we may not be able to execute our business plan and our operating results could suffer.</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financial conditions of our customers could adversely affect our operating results.</w:t>
      </w:r>
    </w:p>
    <w:p>
      <w:pPr>
        <w:spacing w:after="0" w:line="117"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cyclical nature of the semiconductor industry. We may have difficulty accurately predicting our future revenue and appropriately budgeting our expenses.</w:t>
      </w:r>
    </w:p>
    <w:p>
      <w:pPr>
        <w:spacing w:after="0" w:line="53" w:lineRule="exact"/>
        <w:rPr>
          <w:rFonts w:ascii="Times New Roman" w:cs="Times New Roman" w:eastAsia="Times New Roman" w:hAnsi="Times New Roman"/>
          <w:sz w:val="18"/>
          <w:szCs w:val="18"/>
          <w:color w:val="auto"/>
        </w:rPr>
      </w:pPr>
    </w:p>
    <w:p>
      <w:pPr>
        <w:ind w:left="503" w:right="36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67"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transitioning to new wafer fabrication process technologies or achieving higher levels of design integration, which may result in reduced manufacturing yields, delays in product deliveries and increased costs.</w:t>
      </w:r>
    </w:p>
    <w:p>
      <w:pPr>
        <w:spacing w:after="0" w:line="53"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changing industry standards could make our video and image processing solutions obsolete, which would cause our operating results to suffer.</w:t>
      </w:r>
    </w:p>
    <w:p>
      <w:pPr>
        <w:spacing w:after="0" w:line="53" w:lineRule="exact"/>
        <w:rPr>
          <w:rFonts w:ascii="Times New Roman" w:cs="Times New Roman" w:eastAsia="Times New Roman" w:hAnsi="Times New Roman"/>
          <w:sz w:val="18"/>
          <w:szCs w:val="18"/>
          <w:color w:val="auto"/>
        </w:rPr>
      </w:pPr>
    </w:p>
    <w:p>
      <w:pPr>
        <w:jc w:val="both"/>
        <w:ind w:left="503" w:right="340" w:hanging="503"/>
        <w:spacing w:after="0" w:line="312" w:lineRule="auto"/>
        <w:tabs>
          <w:tab w:leader="none" w:pos="50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31" w:lineRule="exact"/>
        <w:rPr>
          <w:rFonts w:ascii="Times New Roman" w:cs="Times New Roman" w:eastAsia="Times New Roman" w:hAnsi="Times New Roman"/>
          <w:sz w:val="17"/>
          <w:szCs w:val="17"/>
          <w:color w:val="auto"/>
        </w:rPr>
      </w:pPr>
    </w:p>
    <w:p>
      <w:pPr>
        <w:ind w:left="503" w:right="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we may make in the future could disrupt our business, cause dilution to our shareholders, reduce our financial resources and harm our business.</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tax risks, including relating to the complexity of calculating our tax provision, changes in effective tax rates, or unfavorable tax law changes.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on a quarterly and annual basis could cause the market price of our ordinary shares to decline.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generate revenue growth, we may not be able to execute our business plan and our operating results could suffer.</w:t>
      </w:r>
    </w:p>
    <w:p>
      <w:pPr>
        <w:spacing w:after="0" w:line="117" w:lineRule="exact"/>
        <w:rPr>
          <w:rFonts w:ascii="Times New Roman" w:cs="Times New Roman" w:eastAsia="Times New Roman" w:hAnsi="Times New Roman"/>
          <w:sz w:val="18"/>
          <w:szCs w:val="18"/>
          <w:color w:val="auto"/>
        </w:rPr>
      </w:pPr>
    </w:p>
    <w:p>
      <w:pPr>
        <w:ind w:left="503" w:right="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long-term supply contracts with our third-party manufacturing vendors, and they may not allocate sufficient capacity to us at reasonable prices to meet future demands for our solutions.</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incorporate components supplied by multiple third parties, and a supply shortage or delay in delivery of these components could delay orders for our solutions by our customers.</w:t>
      </w:r>
    </w:p>
    <w:p>
      <w:pPr>
        <w:spacing w:after="0" w:line="53"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67" w:lineRule="exact"/>
        <w:rPr>
          <w:rFonts w:ascii="Times New Roman" w:cs="Times New Roman" w:eastAsia="Times New Roman" w:hAnsi="Times New Roman"/>
          <w:sz w:val="18"/>
          <w:szCs w:val="18"/>
          <w:color w:val="auto"/>
        </w:rPr>
      </w:pPr>
    </w:p>
    <w:p>
      <w:pPr>
        <w:ind w:left="503" w:right="3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is processed through a single distributor and the loss of this distributor may cause disruptions in our shipments, which may adversely affect our operations and financial condition.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our distributors’ product inventories.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various third-party vendors, service providers and contractors in the operation of our business.</w:t>
      </w:r>
    </w:p>
    <w:p>
      <w:pPr>
        <w:spacing w:after="0" w:line="117"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including high inflation and trade restrictions, recessionary concerns and trade restrictions, may impact our business and financial condition in ways that we currently cannot predict.</w:t>
      </w:r>
    </w:p>
    <w:p>
      <w:pPr>
        <w:spacing w:after="0" w:line="53"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that could subject us to liability or impair our ability to compete in international markets, including China. In addition, our ability to sell certain products to certain China customers has been restricted.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warranty and product liability claims and to product recalls.</w:t>
      </w:r>
    </w:p>
    <w:p>
      <w:pPr>
        <w:spacing w:after="0" w:line="11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regulatory compliance requirements, which are costly to comply with, and our failure to comply with these requirements could harm our business and operating results.</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29" w:name="page30"/>
    <w:bookmarkEnd w:id="29"/>
    <w:p>
      <w:pPr>
        <w:ind w:left="1020" w:right="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assertions of infringement of their intellectual property rights could result in our having to incur significant costs and cause our operating results to suffer. Any potential dispute involving our intellectual property could affect our customers, which could trigger our indemnification obligations to them and result in substantial expense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15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We also face certain competitive disadvantages in these markets relative to larger competitors that have significantly more resources and a longer history working with OEMs and ODMs in these markets. In addition, trade tensions between the United States and China and potential new export restrictions may make it more difficult to secure future design wins with China customers.</w:t>
      </w:r>
    </w:p>
    <w:p>
      <w:pPr>
        <w:spacing w:after="0" w:line="19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Even if an OEM designs one of our SoC solutions into its product, we cannot be assured that the OEM’s product will be commercially successful over time or at all. For example, in the past we have secured design wins for customer products that were never commercially released by our customer or did not sell in volumes initially forecast by the customer, as a result of factors beyond our control. If products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penetrate new markets, including the automotive OEM and ADAS market, our revenue and financial condition could be harmed.</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believe that our future revenue growth, if any, significantly depends on our ability to expand within the Internet of Things, or IoT, camera markets with our new artificial intelligence, or AI, computer vision SoC solutions, and the OEM automotive, robotics and industrial markets. Our AI computer vision SoC solutions have functionality that may also be applicable to other developing markets, such as processing of large language models (LLMs). Each of these markets presents distinct and substantial risks and, in many cases, requires us to develop new functionality or software to address the particular requirements of that market. If any of these markets do not develop as we currently anticipate, the technical requirements of these markets evolve in ways we do not anticipate, the development of such markets is delayed or impacted by factors outside of our control,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requires a substantial investment of our time and resources and we cannot assure you that we will secure design wins from these or other companies or that we will achieve meaningful revenue from the sales of our solutions into these markets. In addition, we face competition from larger competitors with greater resources and more history in these markets, which may put us at a competitive disadvantage to these larger competitors. If we fail to penetrate these or other new markets we are targeting, our financial condition would likely suffer. Moreover, if we are successful in achieving design wins in these new markets, it will likely take longer to generate revenue from such design wins than in our traditional markets.</w:t>
      </w:r>
    </w:p>
    <w:p>
      <w:pPr>
        <w:spacing w:after="0" w:line="193"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introduce new or enhanced solutions that meet market requirements on a timely basis, our ability to attract and retain customers could be impaired and our competitive position could be harmed.</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ind w:firstLine="509"/>
        <w:spacing w:after="0" w:line="253" w:lineRule="auto"/>
        <w:rPr>
          <w:sz w:val="20"/>
          <w:szCs w:val="20"/>
          <w:color w:val="auto"/>
        </w:rPr>
      </w:pPr>
      <w:r>
        <w:rPr>
          <w:rFonts w:ascii="Times New Roman" w:cs="Times New Roman" w:eastAsia="Times New Roman" w:hAnsi="Times New Roman"/>
          <w:sz w:val="18"/>
          <w:szCs w:val="18"/>
          <w:color w:val="auto"/>
        </w:rPr>
        <w:t>We operate in a dynamic environment characterized by rapidly changing technologies. To compete successfully, we must design, develop, market and sell enhanced solutions that provide increasingly higher levels of performance and functionality and that meet the technical and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applicable to our solutions; or the requirement of additional functionality included in video processors. In addition, some of the markets for our solutions are characterized by frequent introduction of next-generation and new products, short product life cycles, increasing demand for added functionality and significant price competition. As we develop and introduce new solutions, we also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19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need to establish and maintain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If we fail to introduce new or enhanced solutions that meet the needs of our customers or penetrate new markets in a timely fashion, we will lose market share, and our operating results will be adversely affected.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Impacts of the global supply chain challenges could adversely affect our business, financial condition, and results of operations.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During the COVID-19 global pandemic, various restrictions were put in place causing a temporary decline in demand for certain items. As restrictions began easing across the world, an increase in demand for products containing semiconductor chips exacerbated bottlenecks in the supply chain, resulting in a global semiconductor supply shortage impacting our industry, which resulted in a lengthening of the manufacturing lead time for our products and impacting the normal forecasting and ordering patterns of our customers. To the extent customers face supply chain issues with respect to other components needed to pair with our products in order to produce their end products, such customers delayed orders of our products or hold inventory of our products for longer periods of time, resulting in a decline in our revenue. With respect to our suppliers, we experienced supply constraints for certain chips from Samsung. While these supply chain challenges have largely subsided, we may in the future experience similar issues.</w:t>
      </w:r>
    </w:p>
    <w:p>
      <w:pPr>
        <w:spacing w:after="0" w:line="185"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 risks relating to the adoption, use or application of emerging technologies, including artificial intelligence, by our customers and in our business, could adversely impact our financial results and result in reputational harm and liability.</w:t>
      </w:r>
    </w:p>
    <w:p>
      <w:pPr>
        <w:spacing w:after="0" w:line="13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Many of our products support AI functionality implemented in our customers’ products, such as object detection, classification and tracking, image processing, and terrain mapping. Our latest generation of products also enable us to address computationally intense AI applications for deep fusion, deep planning, and large language models (LLMs) in edge devices. The adoption of AI solutions may not develop in the manner or in the time periods we anticipate and, as the markets for AI solutions are still developing, demand for these products may be unpredictable and vary significantly from one period to another. These factors may adversely impact demand for our AI related products. In addition, compliance with evolving government regulations worldwide related to AI may increase the costs related to the development of AI products and solutions and limit global adoption, which may also adversely impact demand for our AI related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Concerns relating to the responsible use of AI in our and our customers’ products may result in reputational and financial harm and liability. AI poses emerging ethical issues and presents risks and challenges that could affect its adoption, and therefore our business. If we or our customers enable or offer solutions that draw controversy due to their perceived or actual impact on society, such as AI solutions that have unintended consequences or are controversial, we may experience reputational harm, competitive harm, financial harm or legal liability.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Shortages in, or increased costs of, wafers and materials could adversely impact our gross margins and lead to reduced revenues.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Worldwide manufacturing capacity for silicon wafers is relatively inelastic. If the demand for silicon wafers or assembly material exceeds market supply, our supply of silicon wafers or assembly material could quickly become limited or prohibitively expensive. Silicon wafers constitute a material portion of our product cost and if we are unable to purchase wafers at favorable prices, our results of operations and financial condition will be adversely affected. The semiconductor industry recently experienced significant shortages of manufacturing capacity, which resulted in a lengthening of the manufacturing lead time for our products and which has at times harmed our revenue. While this capacity shortage has improved, lead times for our products remain longer than normal, which could negatively impact our ability to meet our customer’s demand for our products and have an adverse impact on our revenue, results of operations and customer relationships. We have also experienced, during times of supply chain capacity shortages, customers placing orders for our products that exceed their actual demand, which may lead to us manufacturing a surplus of products and could have a negative impact on our results of operations and cash reserves and lead to our customers having excess inventory.</w:t>
      </w:r>
    </w:p>
    <w:p>
      <w:pPr>
        <w:spacing w:after="0" w:line="184"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primary inventory warehouse is located in Hong Kong and may be affected by continued political, social, health and economic conditions in Hong Kong.</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operate a warehouse facility in Hong Kong through which the substantial majority of our finished SoCs are shipped to customers or our logistic partners. Hong Kong has experienced, and continues to experience, political unrest and social strife in addition to the impact of the COVID-19 pandemic. The Bureau of Industry and Security, or BIS, of the U.S. Department of Commerce, or Commerce, imposes on Hong Kong the same stringent export and reexport controls applicable to China, including licensing requirements such as those applicable to SoCs and semiconductor end-uses. It is possible that the U.S. government may take future measures to impose stricter export controls or duties on shipments made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addition, we could be forced to relocate our warehouse operations, either temporarily or permanently, to another potentially costlier location (or a location resulting in higher tax costs) or find alternative potentially costlier methods of shipping our finished SoCs to customers and logistic partners.</w:t>
      </w:r>
    </w:p>
    <w:p>
      <w:pPr>
        <w:spacing w:after="0" w:line="186"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focusing our development resources on addressing computer vision applications, primarily in the automotive and IoT markets. The application of computer vision functionality in these markets is relatively new, and we may be unable to predict the timing or development of these markets with accuracy. For example, a slower than expected adoption rate for AI technology in automotive or IP security camera applications could slow the demand for our new solutions. Similarly, changes in the projected growth rate for ADAS or autonomous driving technology in the automotive market due to government regulations or changes in consumer preferences could negatively impact demand for our solutions. If our key target markets do not grow, grow slower, or do not develop in ways that we currently expect, demand for our SoCs may not materialize as expected, and our business and operating results could suffer.</w:t>
      </w:r>
    </w:p>
    <w:p>
      <w:pPr>
        <w:spacing w:after="0" w:line="185" w:lineRule="exact"/>
        <w:rPr>
          <w:sz w:val="20"/>
          <w:szCs w:val="20"/>
          <w:color w:val="auto"/>
        </w:rPr>
      </w:pPr>
    </w:p>
    <w:p>
      <w:pPr>
        <w:ind w:right="4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2" w:name="page33"/>
    <w:bookmarkEnd w:id="32"/>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customers typically do not provide us with firm, long-term purchase commitments. A substantial majority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 As a result of a number of factors, including longer manufacturing times for our products and increased demand from customers during fiscal year 2023, we increased our inventory levels. These factors have substantially subsided and we expect conditions to return to more stability in future periods.</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changes in market conditions including reductions in market activity due to pandemics, adverse changes in our product order mix and fluctuating demand for our customers’ products.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p>
    <w:p>
      <w:pPr>
        <w:spacing w:after="0" w:line="18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w:t>
      </w:r>
    </w:p>
    <w:p>
      <w:pPr>
        <w:spacing w:after="0" w:line="179"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15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2024, the customers representing 10% or more of our revenue were WT Microelectronics Co., Ltd., or WT, which serves as our non-exclusive sales representative and fulfillment partner in Asia other than Japan, and Chicony Electronics Co., Ltd., or Chicony, one ODM which manufactures devices incorporating our solutions on behalf of multiple end-customers, accounted for approximately 53% and 14% of total revenue, respectively. For the three months ended April 30, 2024, the customers representing 10% or more of our revenue were WT and Chicony which accounted for approximately 62% and 13% of total revenue, respectively. In addition, we believe that revenue from our top 10 end customers, either directly or through a distributor or an ODM, accounted for approximately 51% of our total revenue in fiscal year 2024 and accounted for approximately 58% of our total revenue for the three months ended April 30, 2024. We believe that our operating results in the near term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192"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focused on selling our SoC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3" w:name="page34"/>
    <w:bookmarkEnd w:id="33"/>
    <w:p>
      <w:pPr>
        <w:ind w:firstLine="509"/>
        <w:spacing w:after="0" w:line="256" w:lineRule="auto"/>
        <w:rPr>
          <w:sz w:val="20"/>
          <w:szCs w:val="20"/>
          <w:color w:val="auto"/>
        </w:rPr>
      </w:pPr>
      <w:r>
        <w:rPr>
          <w:rFonts w:ascii="Times New Roman" w:cs="Times New Roman" w:eastAsia="Times New Roman" w:hAnsi="Times New Roman"/>
          <w:sz w:val="18"/>
          <w:szCs w:val="18"/>
          <w:color w:val="auto"/>
        </w:rPr>
        <w:t>Our customers generally take a considerable amount of time to evaluate our solutions. The typical time from early engagement by our sales force to actual product introduction runs from nine to 12 months for IoT markets and potentially significantly longer in the OEM automotive, robotics and industrial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83"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1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333333"/>
        </w:rPr>
        <w:t>Prior to purchasing our products, some of our customers, particularly in the automotive market, may require that our products and our third-party contractors undergo extensive qualification processes, which involve testing of our products in the customers’ systems, as well as testing for reliability of our products and our supply chain. This qualification process may take several months and qualification of a product by a customer does not assure any sales of the product to that customer. Even after successful qualification and sales of a product to a customer, a subsequent revision in our third party contractors’ manufacturing process or our selection of a new supplier may require a new qualification process,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 our products with customers in anticipation of sales. If we are unsuccessful or delayed in qualifying these products with a customer, sales of the products to the customer may be precluded or delayed, which may impede our growth and cause our business to suffer.</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expect competition to increase in the future, which could have an adverse effect on our revenue and market share.</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global semiconductor market in general, and the computer vision and video/image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greater resources, longer histories in these markets and established relationships with OEMs and ODMs. Increased competition could result in price pressure, reduced profitability and loss of market share, any of which could harm our business, revenue and operating results.</w:t>
      </w:r>
    </w:p>
    <w:p>
      <w:pPr>
        <w:spacing w:after="0" w:line="18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competitors range from large, international companies with greater resources offering a wide range of semiconductor products to smaller, nimble companies specializing in narrow markets. In the IoT market, our primary competitors include AMLogic Inc., Fuzhou Rockchip Electronics Co., Ltd., HiSilicon Technologies Co., Ltd., or HiSilicon, which is owned by Huawei Technologies Co., Ingenic Semiconductor Co., Ltd., Novatek Microelectronics Corp., or Novatek, NVIDIA Corporation, or NVIDIA, OmniVision Technologies, Inc., Qualcomm Incorporated, or Qualcomm, SigmaStar Technology Corp., and Socionext Inc. In the automotive camera market, we compete against Allwinner Technology Co., Ltd., Horizon Robotics Inc., iCatch Technology, Inc., Mobileye, a subsidiary of Intel Corporation, Novatek, NVIDIA, NXP Semiconductors N.V., Qualcomm, Renesas Electronics Corporation, and Texas Instruments. 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9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75"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market and technology trends and successfully develop solutions that meet market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the price points and performance metrics of competing products in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that of competing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identifying and penetrating new markets, applications and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access to leading design tools and product specifications at the same time as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relationships with key OEMs and ODMs;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effective implementation of video processing or radar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 operations in a timely and cost-efficient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design and application engineers with expertise in computer vision, video and image processing technologies and sales and marketing personnel.</w:t>
      </w:r>
    </w:p>
    <w:p>
      <w:pPr>
        <w:spacing w:after="0" w:line="162"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breach of our security systems may have a material adverse effect on our business.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security systems are designed to maintain the physical security of our facilities and information systems and protect our customers’, suppliers’ and employees’ confidential information. Accidental or willful security breaches or incidents or other unauthorized access by third parties to our facilities or our information systems or the existence of computer viruses or other malicious code or security vulnerabilities in our data or software could expose us to a risk of loss, unavailability, misappropriation and other unauthorized processing of proprietary and confidential information. The costs to us to eliminate or alleviate cyber or other security problems, bugs, viruses, ransomware and other malicious software programs and security vulnerabilities could be significant, and our efforts to address these problems may not be successful and could result in interruptions and delays that may impede our sales, product distribution, financial reporting or other critical functions. In addition, we could incur significant costs in notifying affected persons and entities and otherwise complying with the multitude of foreign, federal, state and local laws and regulations relating to the unauthorized access to, or use or disclosure of, personal information.</w:t>
      </w:r>
    </w:p>
    <w:p>
      <w:pPr>
        <w:spacing w:after="0" w:line="188"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Security breaches and incidents, computer malware and computer hacking attacks have become more prevalent and sophisticated. These threats are constantly evolving, making it increasingly difficult to successfully defend against or implement adequate preventive measures, and we may face difficulties or delays in identifying and otherwise responding to any security breach or incident. Moreover, remote work by our personnel and remote access to our systems have increased significantly, which also increases our cybersecurity risk profile. We expect to incur significant costs in an effort to detect and prevent security breaches and incidents, and we may face increased costs and requirements to expend substantial resources in the event of an actual or perceived security breach or incident. Our policies and security measures cannot guarantee security, and our IT infrastructure, including our networks and systems, may be vulnerable to security breaches and incidents, cyber-attacks, or fraud. Third parties have attempted, and will likely continue to attempt, to penetrate and/or infect our network and systems with malicious software and phishing attacks in an effort to gain access to our network and systems. Experienced computer programmers and hackers may be able to penetrate our security controls and misappropriate or compromise our confidential information or that of third parties or create system disruptions. Computer programmers and hackers also may be able to deploy viruses, worms and other malicious software programs that attack our information systems and cause disruptions of our business. For portions of our IT infrastructure, we rely on products and services provided by third parties. These third-party products and services relate to, among other things, human resources, electronic communication services and some finance functions, and we are, of necessity, dependent on the security systems of these third-party providers. These third-party service providers are subject to similar, and in certain cases greater, security threats than we face. These third-party providers may also experience breaches, incidents, and attacks compromising or otherwise impacting their products, and their products may contain security vulnerabilities, each of which could impact our systems, and unauthorized access to the systems of our cloud-based service providers, any other security breaches or incidents impacting such systems, or the existence of computer viruses, ransomware or other malicious code in their data or software could expose us to a risk of loss, misappropriation, unavailability and other unauthorized processing of information. Data security breaches and incidents may also result from non-technical means, including, for example, intentional malfeasance or negligence by an employee or contractor. Any data security breach or incident or theft, misuse, loss, unavailability or other unauthorized processing of this information, or the perception that any of these matters has occurred, could result in, among other things, damage to our reputation, allegations by our customers that we have not performed our contractual obligations, regulatory investigations and other proceedings, litigation by affected parties and possible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5" w:name="page36"/>
    <w:bookmarkEnd w:id="35"/>
    <w:p>
      <w:pPr>
        <w:ind w:right="20"/>
        <w:spacing w:after="0" w:line="254" w:lineRule="auto"/>
        <w:rPr>
          <w:sz w:val="20"/>
          <w:szCs w:val="20"/>
          <w:color w:val="auto"/>
        </w:rPr>
      </w:pPr>
      <w:r>
        <w:rPr>
          <w:rFonts w:ascii="Times New Roman" w:cs="Times New Roman" w:eastAsia="Times New Roman" w:hAnsi="Times New Roman"/>
          <w:sz w:val="18"/>
          <w:szCs w:val="18"/>
          <w:color w:val="auto"/>
        </w:rPr>
        <w:t>penalties, damages, and other liabilities, any of which could have a material adverse effect on our business, financial condition, our reputation, and our relationships with our customers and partners. We may also encounter or be subject to bugs, errors, or hacking or other events resulting in system interruptions or other disruptions, corruption or loss of data, an inability to accurately process or record transactions, and security or technical reliability issues. All of these could harm our ability to conduct core operating functions such as product development, customer support, processing purchase orders and invoices, processing payroll, product distribution, recording and reporting financial and management information on a timely and accurate basis, and could impact our internal control compliance efforts. Due to conflicts and geopolitical events such as the ongoing hostility between Russia and Ukraine, we and our vendors, contractors, and other third parties we work with are vulnerable to a heightened risk of cybersecurity attacks, phishing attacks, viruses, malware, ransomware, hacking or similar breaches and incidents from nation-state and affiliated actors, including attacks that could materially disrupt our supply chain and our systems and operations.</w:t>
      </w:r>
    </w:p>
    <w:p>
      <w:pPr>
        <w:spacing w:after="0" w:line="188" w:lineRule="exact"/>
        <w:rPr>
          <w:sz w:val="20"/>
          <w:szCs w:val="20"/>
          <w:color w:val="auto"/>
        </w:rPr>
      </w:pPr>
    </w:p>
    <w:p>
      <w:pPr>
        <w:ind w:right="260" w:firstLine="509"/>
        <w:spacing w:after="0" w:line="289" w:lineRule="auto"/>
        <w:rPr>
          <w:sz w:val="20"/>
          <w:szCs w:val="20"/>
          <w:color w:val="auto"/>
        </w:rPr>
      </w:pPr>
      <w:r>
        <w:rPr>
          <w:rFonts w:ascii="Times New Roman" w:cs="Times New Roman" w:eastAsia="Times New Roman" w:hAnsi="Times New Roman"/>
          <w:sz w:val="17"/>
          <w:szCs w:val="17"/>
          <w:color w:val="auto"/>
        </w:rPr>
        <w:t>Additionally, we cannot be certain that our insurance coverage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these results could adversely affect our business, financial condition, and operating results.</w:t>
      </w:r>
    </w:p>
    <w:p>
      <w:pPr>
        <w:spacing w:after="0" w:line="154"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requires substantial investment in research and development in order to bring to market new and enhanced solutions. Our research and development expense was $215.1 million, $204.9 million and $167.3 million in fiscal years 2024, 2023 and 2022, respectively. For the three months ended April 30, 2024, our research and development expense was $54.1 million. In general, we expect to increase our research and development expenditures in future periods as compared to prior periods as part of our strategy of focusing on the development of innovative computer vision, video and image processing solutions with increased functionality, and as we target key markets, such as the automotive OEM and robotics markets. We are unable to predict whether we will have sufficient resources to achieve the level of investment in research and development required to remain competitive. For example, development in the latest process nodes, such as 5 nanometer, or nm, or smaller, costs significantly more than required to develop in larger process nodes, such as 14 or 10nm.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of our key personnel could seriously harm our business.</w:t>
      </w:r>
    </w:p>
    <w:p>
      <w:pPr>
        <w:spacing w:after="0" w:line="22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hire, retain or motivate key personnel, we may not be able to grow effectively.</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performance largely depends on the talents and efforts of highly skilled individuals. Our future success depends on our continuing ability to identify, hire, develop, motivate, and retain highly skilled personnel for all areas of our organization. Our industry is characterized by high demand and intense competition for talent, particularly for engineering personnel.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employees. Our continued ability to compete effectively, and to grow our business, depends on our ability to attract new employees and to retain and motivate our existing employees.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6" w:name="page37"/>
    <w:bookmarkEnd w:id="36"/>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semiconductor solutions in our target markets have typically decreased over time and will likely do so in the future, which could harm our revenue and gross margins.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such as our new AI computer vision-based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 factors. We expect that we will have to address pricing pressures again in the future, particularly in markets experiencing consolidation, which could require us to reduce the prices of our SoC solutions and harm our operating results.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any future growth, we may not be able to execute our business plan and our operating results could suffer.</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growth successfully, we believe we must effectively, among other things:</w:t>
      </w:r>
    </w:p>
    <w:p>
      <w:pPr>
        <w:spacing w:after="0" w:line="72" w:lineRule="exact"/>
        <w:rPr>
          <w:sz w:val="20"/>
          <w:szCs w:val="20"/>
          <w:color w:val="auto"/>
        </w:rPr>
      </w:pPr>
    </w:p>
    <w:p>
      <w:pPr>
        <w:ind w:left="1020" w:right="3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train and manage additional qualified engineers for our research and development activities, particularly for the positions of semiconductor design and systems, AI computer vision development and applications engineering;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sales and business development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our administrative, financial and operational systems, procedures and controls;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information technology support for enterprise resource planning and design engineering by adapting and expanding our systems and tool capabilities, and properly training new hires as to their use;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able to secure sufficient manufacturing capacity.</w:t>
      </w:r>
    </w:p>
    <w:p>
      <w:pPr>
        <w:spacing w:after="0" w:line="2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likely to incur the costs associated with any increased investments earlier than some of the anticipated benefits, and the return on these investments, if any, may be lower, may develop more slowly than we expect or may not materialize. 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Deterioration of the financial conditions of our customers could adversely affect our operating results.</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Deterioration of the financial condition of our distributors or customers could adversely impact our collection of accounts receivable. For the fiscal year ended January 31, 2024, the customers representing 10% or more of revenue were WT and Chicony, which accounted for approximately 53% and</w:t>
      </w:r>
    </w:p>
    <w:p>
      <w:pPr>
        <w:ind w:right="20"/>
        <w:spacing w:after="0" w:line="252" w:lineRule="auto"/>
        <w:rPr>
          <w:sz w:val="20"/>
          <w:szCs w:val="20"/>
          <w:color w:val="auto"/>
        </w:rPr>
      </w:pPr>
      <w:r>
        <w:rPr>
          <w:rFonts w:ascii="Times New Roman" w:cs="Times New Roman" w:eastAsia="Times New Roman" w:hAnsi="Times New Roman"/>
          <w:sz w:val="18"/>
          <w:szCs w:val="18"/>
          <w:color w:val="auto"/>
        </w:rPr>
        <w:t>14% of total revenue, respectively. As of January 31, 2024, accounts receivable with WT and Chicony were approximately $10.3 million and $7.0 million, respectively. For the three months ended April 30, 2024, the customers representing 10% or more of revenue were WT and Chicony, which accounted for approximately 62% and 13% of total revenue, respectively. As of April 30, 2024, accounts receivable with WT and Chicony were approximately $13.8 million and $7.4 million, respectively.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and cash flows would be negatively impacted.</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Cyclical downturns have been characterized by diminished product demand, production overcapacity, high inventory levels and accelerated erosion of average selling prices, which could harm our business and operating results. We are dependent on the availability of third-party foundry and assembly capacity to manufacture and assemble our SoC solutions. None of our third-party foundry or assembly contractors has provided assurances that adequate capacity will be available to us in the future. The semiconductor industry recently experienced significant shortages of capacity, which resulted in a lengthening of the manufacturing lead time for our products. Such capacity shortages could negatively impact our ability to meet our customers’ demand for our products and have an adverse impact on our revenue, results of operations and customer relationships. We have also experienced, during times of supply chain capacity shortage, customers placing orders for our products that exceed their actual demand, which may lead to us manufacturing a surplus of products and could have a negative impact on our results of operations and cash reserves. Recent supply chain challenges have largely subsided and we expect conditions to return to more stability in future periods.</w:t>
      </w:r>
    </w:p>
    <w:p>
      <w:pPr>
        <w:spacing w:after="0" w:line="188" w:lineRule="exact"/>
        <w:rPr>
          <w:sz w:val="20"/>
          <w:szCs w:val="20"/>
          <w:color w:val="auto"/>
        </w:rPr>
      </w:pPr>
    </w:p>
    <w:p>
      <w:pPr>
        <w:jc w:val="both"/>
        <w:ind w:right="1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84"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We may face difficulties, delays and increased expense as we transition our products to new processes, such as the 4nm or 3nm process nodes,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5nm, we are increasingly dependent upon a very small number of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industry standards could make our video and image processing solutions obsolete, which would cause our operating results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suffer.</w:t>
      </w:r>
    </w:p>
    <w:p>
      <w:pPr>
        <w:spacing w:after="0" w:line="20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design our video and image processing solutions to conform to video compression standards, including MPEG-2, H.264 Advanced Video Coding (AVC) and H.265 High Efficiency Video Coding (HEVC), set by industry standards setting bodies such as ITU-T Video Coding Experts Group and the ISO/IEC Moving Picture Experts Group.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8" w:name="page39"/>
    <w:bookmarkEnd w:id="38"/>
    <w:p>
      <w:pPr>
        <w:ind w:right="320"/>
        <w:spacing w:after="0" w:line="282" w:lineRule="auto"/>
        <w:rPr>
          <w:sz w:val="20"/>
          <w:szCs w:val="20"/>
          <w:color w:val="auto"/>
        </w:rPr>
      </w:pPr>
      <w:r>
        <w:rPr>
          <w:rFonts w:ascii="Times New Roman" w:cs="Times New Roman" w:eastAsia="Times New Roman" w:hAnsi="Times New Roman"/>
          <w:sz w:val="18"/>
          <w:szCs w:val="18"/>
          <w:color w:val="auto"/>
        </w:rPr>
        <w:t>As a result, our sales would suffer, and we could be required to make significant expenditures to develop new SoC solutions to ensure compliance with relevant standards.</w:t>
      </w:r>
    </w:p>
    <w:p>
      <w:pPr>
        <w:spacing w:after="0" w:line="158"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or other widespread public health crises have had, and may in the future have, an adverse impact upon our business, results of operations, and financial condition.</w:t>
      </w:r>
    </w:p>
    <w:p>
      <w:pPr>
        <w:spacing w:after="0" w:line="22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 future pandemic, epidemic, health crisis, or other outbreak of disease, including the emergence of new COVID-19 variants, may negatively and materially impact our business, results of operations, and financial condition, due to:</w:t>
      </w:r>
    </w:p>
    <w:p>
      <w:pPr>
        <w:spacing w:after="0" w:line="5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economic recession or depression that could significantly reduce demand and/or prices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productivity in our product development, operations, marketing, sales, and other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mandates, guidance, or recommendations regarding shutdown, closures, or other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supply chain;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normal ordering patterns of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rate of losses on our accounts receivable due to credit defaults;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stock price.</w:t>
      </w:r>
    </w:p>
    <w:p>
      <w:pPr>
        <w:spacing w:after="0" w:line="225"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The COVID-19 pandemic created worldwide uncertainty and significantly and negatively impacted the global economy which caused significant uncertainty and volatility in global financial markets and the trading prices for the common stock of technology companies, including ours. The pandemic impacted our workforce and the operations of our customers and suppliers. In response to the pandemic and related government measures, we implemented safety measures to protect our employees and contractors at our locations around the world and may be required to take similar action in the future.</w:t>
      </w:r>
    </w:p>
    <w:p>
      <w:pPr>
        <w:spacing w:after="0" w:line="16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potential impact that a future pandemic, epidemic, health crisis, or other outbreak of disease, including the emergence of new COVID-19 variants, could have on our business, results of operations, and financial condition, and on the other risk factors described in this “Risk Factors” section, may be difficult to predict.</w:t>
      </w:r>
    </w:p>
    <w:p>
      <w:pPr>
        <w:spacing w:after="0" w:line="172"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research and development design centers and business development offices in China, Germany, Italy, Japan,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79"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and costs of managing international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collection of receivables from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contracts generally;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instability;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military conflicts, including the ongoing conflicts in Ukraine and the Middle East;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of our intellectual property and other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tariffs;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9" w:name="page40"/>
    <w:bookmarkEnd w:id="39"/>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fluctuations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on our ability to do business with certain companies or in certain countries as a result of international political conflicts;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standards and practices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pandemics, and natural disasters;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w:t>
      </w:r>
    </w:p>
    <w:p>
      <w:pPr>
        <w:spacing w:after="0" w:line="221"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acquisitions we may make in the future could disrupt our business, cause dilution to our shareholders, reduce our financial resources and harm our business.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Prior to our acquisition of Oculii in 2021, we had not made any acquisitions since our acquisition of VisLab S.r.l. in 2015. Our ability to make and successfully integrate acquisitions is largely unproven. Any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complexity of calculating our tax provision may result in errors that could result in restatements of our financial statements.</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incorporated in the Cayman Islands and our operations are subject to income and transaction taxes in the United States, China, Hong Kong, Germany, Italy, Japan,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The risk of errors may be exacerbated by the significant number of tax law changes recently enacted in the United States and other jurisdictions. Restatements are generally costly and could adversely impact our results of operations or have a negative impact on the trading price of our ordinary shares.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climate change-related policies and regulations may have a long-term impact on our business.</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Global climate change is causing, and is projected to continue to cause, an increase in the frequency and intensity of certain natural disasters. Additionally, adverse weather, such as drought, wildfires, severe storms, sea-level rise, flooding, heat waves and cold waves, may occur, more frequently and/or with greater intensity. Such extreme events are driving changes in market dynamics, and local, national and international policies and regulations, which could result in disruptions to us, our suppliers, customers, and employees. These disruptions could make it more difficult and costly for us to deliver our products, obtain components or other supplies through our supply chain, maintain, or resume operations or perform other critical corporate functions, and could reduce customer demand for our products.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0" w:name="page41"/>
    <w:bookmarkEnd w:id="40"/>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increasing concern over climate change could also result in shifting customer preferences. If we fail to manage changes in customer expectations in an effective manner, demand for our products could diminish, and our financial performance could suffer. Additionally, new laws or regulations enacted to address climate change that are more stringent than current legal or regulatory requirements may increase our compliance burdens and costs, including indirect costs that are passed on to us from our customers or suppliers. Climate change also may reduce the availability or increase the cost of insurance for negative impacts of natural disasters by contributing to an increase in the frequency and severity of such natural disasters. Ultimately, the impacts of climate change, whether involving physical risks (such as disruptions resulting from climate-related events) or transition risks (such as regulatory changes, changes in market dynamics or increased operating costs, including the cost of insurance) are expected to be widespread and unpredictable and may materially and adversely affect our business and financial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Performance or Results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on a quarterly and annual basis could cause the market price of our ordinary shares to decline.</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revenue and operating results have fluctuated significantly from period to period in the past and are likely to do so in the future. As a result, you should not rely on period-to-period comparisons of our operating results as an indication of our future performance. It is also possible that our normal seasonal patterns will be impacted by ongoing macroeconomic uncertainty, lingering effects of pandemics, supply chain disruptions and semiconductor capacity shortages, including the buildup of inventory by customers in response to such shortages, and continued high inflation. In future periods, our forecasted or actual revenue and results of operations may be below the expectations of analysts and investors, which could cause the market price of our ordinary shares to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affect our operating results include:</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sales cycles, product mix, and prices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forecasting, scheduling, rescheduling or cancellation of orders by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consumer or manufacturer preferences and any resultant change in demand for our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 including new entrants or pricing pressures;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customers’ ability to manufacture and ship products that incorporate our solutions caused by internal and external factors beyond our control;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define, design and release new solutions in a timely manner that meet our customers’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availability of adequate manufacturing capacity from our manufacturing subcontractors;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manufacturing costs, including wafer, test and assembly costs, mask costs, manufacturing yields and product quality and reliability;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announcements by our competitors or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research and development and related new products expenditures;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inventory for excess quantities and technological obsolescence;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investment or other asset values;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and changes in accounting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share price, which may lead to higher stock-based compensation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effective tax rate;</w:t>
      </w:r>
    </w:p>
    <w:p>
      <w:pPr>
        <w:spacing w:after="0" w:line="117" w:lineRule="exact"/>
        <w:rPr>
          <w:rFonts w:ascii="Times New Roman" w:cs="Times New Roman" w:eastAsia="Times New Roman" w:hAnsi="Times New Roman"/>
          <w:sz w:val="18"/>
          <w:szCs w:val="18"/>
          <w:color w:val="auto"/>
        </w:rPr>
      </w:pPr>
    </w:p>
    <w:p>
      <w:pPr>
        <w:ind w:left="1020" w:right="260" w:hanging="503"/>
        <w:spacing w:after="0" w:line="312"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socioeconomic and political conditions in the countries where we operate or where our products are sold or used, including recent macroeconomic volatility, pandemics or widespread public health problems, U.S.-China relations and the conditions in Hong Kong; and</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especially related to intellectual property.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1" w:name="page42"/>
    <w:bookmarkEnd w:id="41"/>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Moreover, the semiconductor industry has historically been cyclical in nature, reflecting overall economic conditions as well as budgeting and buying patterns of consumers. For example, the semiconductor industry recently experienced significant shortages of capacity, which resulted in a lengthening of the manufacturing lead time for our products and could be impacting the normal forecasting and ordering patterns of our customers. In recent periods, some customers have indicated they are reducing their inventory levels as lead times for semiconductor chips and other components used by customers shrink, which has reduced, and may continue to reduce, such customers’ demand for our products in future periods.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profitability and cash flows, or incur losses.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do not generate revenue growth, we may not be able to execute our business plan and our operating results could suffer.</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believe that our future revenue growth, if any, will significantly depend on our ability to expand within our existing IoT camera markets, such as the existing professional and home security and monitoring camera markets, and successfully penetrate new markets, such as the OEM automotive, robotics and industrial markets, with our new AI computer vision-based SoC solutions. We believe that executing upon our business plan requires us to continue to develop new SoCs and new software to address the particular requirements of these markets. Accordingly, we continue to invest in the development of new technology and solutions and expect our research and development expenditures to increase compared to prior periods. If we are unable to generate or maintain adequate revenue growth, our financial results could suffer and we may not be able to continue to invest in the development of new technology and solutions required to be successful.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accurately predicting our future revenue and appropriately budgeting our expenses.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rapidly evolving nature of the markets in which we sell our solutions, combined with substantial uncertainty concerning how these markets may develop, the considerable amount of time our customers generally take to evaluate our solutions, and other factors beyond our control, limits our ability to accurately forecast quarterly or annual revenue. In the recent years, we expanded our staffing and increased our expenditures in anticipation of future revenue growth. If our revenue does not increase as anticipated, we could incur significant losses and declines in our cash reserves due to our higher expense levels if we are not able to decrease our expenses in a timely manner to offset any shortfall in future revenue. Continued or persistent losses may require us to obtain additional capital that may not be available on reasonable terms or at all.</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to financial accounting standards may affect our results of operations and could cause us to change our business practices.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179"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may adversely affect our operating results.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customers located outside the United States, primarily in Asia. Sales to customers in Asia accounted for approximately 79%, 79% and 86% of our total revenue in fiscal years 2024, 2023 and 2022, respectively. For the three months ended April 30, 2024, sales to customers in Asia accounted for approximately 85% of our total revenue.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between the New Taiwan Dollar and the U.S. dollar, and between the Eurozone Euro and the U.S. dollar, have been volatile in the recent past and these currency fluctuations may make it difficult for us to predict our operating results.</w:t>
      </w:r>
    </w:p>
    <w:p>
      <w:pPr>
        <w:spacing w:after="0" w:line="18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our future capital needs, and we may not be able to obtain additional financing to fund our operations.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88" w:lineRule="exact"/>
        <w:rPr>
          <w:sz w:val="20"/>
          <w:szCs w:val="20"/>
          <w:color w:val="auto"/>
        </w:rPr>
      </w:pPr>
    </w:p>
    <w:p>
      <w:pPr>
        <w:ind w:right="6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marketable securities portfolio could experience a decline in market value or otherwise become illiquid, which could materially and adversely affect our financial results.</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of April 30, 2024, we had approximately $97.0 million in money market funds and debt security investments and $12.9 million in fixed deposit accounts. The debt security investments consisted of commercial paper, corporate bonds, asset-backed securities and U.S. government securities.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pandemics or widespread public health problems, the Eurozone crisis and the U.S. debt ceiling crisis, which affected various sectors of the financial markets and led to global credit and liquidity issues. For example, in March 2023, Silicon Valley Bank (SVB) was closed and the Federal Deposit Insurance Corporation (FDIC) was appointed as receiver. At the time of closing on March 10, 2023, we had cash deposits with SVB of approximately $17.0 million. We also had cash equivalents and marketable debt security investments residing in custodial accounts held by U.S. Bank for which SVB Asset Management was the investment advisor until March 15, 2023. While we were able to recover all deposited amounts from SVB, there can be no assurance that our current or future banks will not face similar risks as SVB or that we will be able to recover in full our deposits in the event of similar closures. We regularly maintain cash balances that are not insured or are in excess of the FDIC’s insurance limit. If the global financial markets continue to experience volatility or deteriorate, our investment portfolio may be impacted and some or all of our investments may become illiquid or otherwise experience loss which could adversely impact our financial results and position. To the extent that we increase the amount of our security investments in the future, these risks would be exacerbated.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In recent years, we experienced supply constraints at our primary foundry and assembly vendor resulting from industry wide supply chain challenges. These conditions have weakened and we expect conditions to stabilize in future periods.</w:t>
      </w:r>
    </w:p>
    <w:p>
      <w:pPr>
        <w:spacing w:after="0" w:line="1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10nm or 5nm.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88"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incorporate components supplied by multiple third parties, and a supply shortage or delay in delivery of these components could delay orders for our solutions by our customers.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customers purchase components used in the manufacture of their products from various sources of supply, often involving several specialized components, including lenses, sensors, microcontrollers, power management integrated circuits (PMICs), Wi-Fi chips,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For example, the semiconductor industry recently experienced shortages of certain devices, including microcontrollers, PMICs, Wi-Fi chips, which impacted our customers’ ability to build their products and negatively impact our customers’ demand for our solutions.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ind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3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Sigurd Corporation or King Yuan Electronics Co., Ltd. under the supervision of our engineers. We depend on these third parties to supply us with material of a requested quantity in a timely manner that meets our standards for yield, cost and manufacturing quality. Availability of capacity within our supply chain tightened during fiscal year 2023, which at times limited the volume of products we can produce, negatively impacting our business and operations, and similar capacity constraints may adversely affect our business in the future.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19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179" w:lineRule="exact"/>
        <w:rPr>
          <w:sz w:val="20"/>
          <w:szCs w:val="20"/>
          <w:color w:val="auto"/>
        </w:rPr>
      </w:pPr>
    </w:p>
    <w:p>
      <w:pPr>
        <w:ind w:right="5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sell a significant percentage of our solutions through a single distributor, WT, which serves as our non-exclusive sales representative and fulfillment partner in Asia other than Japan. Approximately 53%, 57% and 62% of our revenue was derived from sales through WT for the fiscal years ended January 31, 2024, 2023 and 2022, respectively, and approximately 62% of our revenue was derived from sales through WT for the three months ended April 30, 2024. We anticipate that a significant portion of our revenue will continue to be derived from sales through WT in the foreseeable future. Our current agreement with WT is effective until January 2026, unless it is terminated earlier by either party for any or no reason with 60 days written notice or by failure of the breaching party to cure a material breach within 30 days following written notice of such material breach by the non-breaching party. Our agreement with WT will automatically renew for additional successive 12-month terms unless at least 60 days before the end of the then-current term either party provides written notice to the other party that it elects not to renew the agreement. Termination of the relationship with WT, either by us or by WT,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WT, or any successor or other distributors we do business with, may face issues obtaining credit, which could impair their ability to make timely payments to us.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distributors' product inventories.</w:t>
      </w:r>
    </w:p>
    <w:p>
      <w:pPr>
        <w:spacing w:after="0" w:line="229"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In accordance with ASC 606,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5" w:name="page46"/>
    <w:bookmarkEnd w:id="45"/>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In recent periods, some end customers have indicated they are seeking to reduce their inventory levels, which may reduce such customers’ demand for our products, including products purchased through our distributors, in future periods and harm our financial results.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foundry vendors do not achieve satisfactory yields or quality, our reputation and customer relationships could be harmed.</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188"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As a result, we may not be able to meet customer needs during such a transition, which could delay shipments, cause production delays, result in a decline in our sales and damage our customer relationships.</w:t>
      </w:r>
    </w:p>
    <w:p>
      <w:pPr>
        <w:spacing w:after="0" w:line="169"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15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ind w:right="5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84"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disruption to the operations of our third-party contractors and their suppliers could cause significant delays in the production or shipment of our products.</w:t>
      </w:r>
    </w:p>
    <w:p>
      <w:pPr>
        <w:spacing w:after="0" w:line="15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A disruption in the availability of image sensors from Sony Corporation as a result of the 2016 Kumamoto, Japan earthquake impacted our customers’ ability to build or launch cameras and, as a result, negatively impacted the timing and scope of demand for our SoCs in fiscal year 2017. Similarly, a severe cold storm in Texas in February 2021 disrupted the manufacturing of some of our products at Samsung’s Texas facility for several weeks.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including high inflation, recessionary concerns and trade restrictions, may have an impact on our business and financial condition in ways that we currently cannot predict.</w:t>
      </w:r>
    </w:p>
    <w:p>
      <w:pPr>
        <w:spacing w:after="0" w:line="15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operations and performance depend significantly on global, regional and U.S. economic and geopolitical conditions. Customer demand for our solutions may be negatively impacted by weak economic conditions, high inflation or recessionary environments in the US and other nations. Inflation or other deteriorations in global economic conditions may impact our operating expenses and third parties may demand pricing accommodations, which could harm our ability to meet customer demands or collect revenue or otherwise harm our business and financial results.</w:t>
      </w:r>
    </w:p>
    <w:p>
      <w:pPr>
        <w:spacing w:after="0" w:line="18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General trade tensions between the United States and China have been escalating, which has, in our view, created and will perpetuate an uncertain business environment. Tariffs on Chinese-origin products have continued to increase. Additionally, in 2022, the U.S. government announced new controls restricting the ability to send certain products and technology related to semiconductors, semiconductor manufacturing, advanced computing, supercomputing, and artificial intelligence to China, including Hong Kong, without an export license. In many cases, these licenses are subject to a policy of denial and will not be issued. These controls have continued to expand. While our current products are not restricted by these controls, such controls could impact our ability to export products to China in the future. It also is possible that the Chinese government will retaliate in ways that could impact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7" w:name="page48"/>
    <w:bookmarkEnd w:id="47"/>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If additional tariffs or trade restrictions are imposed on our SoC solutions or the products of our customers, or trade restrictions are imposed on our ability to conduct business with certain customers, there could be a negative impact on our operations and financial performance.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A large portion of our employee base is in China and impacts to our China offices could significantly harm our operations, make it difficult to support customers and negatively impact product development. The materialization of these risks could have a material adverse effect on our business and financial condition. Further, our business and performance are subject to economic conditions, and our suppliers, distributors, and customers may suffer their own financial and economic challenges.</w:t>
      </w:r>
    </w:p>
    <w:p>
      <w:pPr>
        <w:spacing w:after="0" w:line="188"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Russia’s ongoing conflict with Ukraine has triggered significant sanctions from U.S. and European leaders. Changes in U.S. trade policy could trigger retaliatory actions by Russia, its allies and other affected countries, including China, resulting in a trade war. For example, in addition to controls imposed on China discussed above, following Russia’s invasion of Ukraine, the United States and other countries imposed certain economic sanctions and severe export control restrictions against Russia and Belarus, as well as certain Russian nationals, which caused us to terminate certain business relationships in those countries. These sanctions and restrictions have continued to increase as the conflict has further escalated, and the United States and other countries could impose wider sanctions and export restrictions and take other actions in the future that could impact our business. Furthermore, if the conflict between Russia and Ukraine continues for a long period of time, or if other countries, including the U.S., become further involved in the conflict, we could face significant adverse effects to our business and financial condition. In addition, some of our customers and third-party partners have engineering teams located in Russian and/or Ukraine, whose operations have been and may continue to be disrupted by the ongoing conflict between the countries. If such disruption were to continue for an extended period, our customers could face delays in the launch of new products containing our solutions, resulting in delayed or decreased demand for our solutions.</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significant business operations in Taiwan, including 343 employees as of April 30, 2024, and many of our third-party manufacturing suppliers are located in Taiwan. Accordingly, our business, financial condition and results of operations may be affected by changes in governmental and economic policies in Taiwan, social instability and diplomatic and social developments in or affecting Taiwan due to its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to several China customers has been restricted.</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Several of our customers, including Hangzhou Hikvision Digital Technology Co., Ltd, or Hikvision, Zhejiang Dahua Technology Co., Ltd., or Dahua, and affiliates of Shenzhen Dajiang Baiwang Technology Co., Ltd., have been added to the BIS Entity List, which imposes limitations on the supply of U.S. controlled items to the listed entities. In October 2022, BIS imposed additional restrictions on transactions with Dahua involving items subject to BIS export regulations. Notwithstanding our ability to continue to supply some SoC products to some affiliates of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any of our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spacing w:after="0" w:line="186"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8" w:name="page49"/>
    <w:bookmarkEnd w:id="48"/>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warranty and product liability claims and to product recalls.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laws, regulations and other legal obligations related to privacy, data protection and cybersecurity.</w:t>
      </w:r>
    </w:p>
    <w:p>
      <w:pPr>
        <w:spacing w:after="0" w:line="229" w:lineRule="exact"/>
        <w:rPr>
          <w:sz w:val="20"/>
          <w:szCs w:val="20"/>
          <w:color w:val="auto"/>
        </w:rPr>
      </w:pPr>
    </w:p>
    <w:p>
      <w:pPr>
        <w:jc w:val="both"/>
        <w:ind w:right="80" w:firstLine="509"/>
        <w:spacing w:after="0" w:line="272" w:lineRule="auto"/>
        <w:rPr>
          <w:sz w:val="20"/>
          <w:szCs w:val="20"/>
          <w:color w:val="auto"/>
        </w:rPr>
      </w:pPr>
      <w:r>
        <w:rPr>
          <w:rFonts w:ascii="Times New Roman" w:cs="Times New Roman" w:eastAsia="Times New Roman" w:hAnsi="Times New Roman"/>
          <w:sz w:val="17"/>
          <w:szCs w:val="17"/>
          <w:color w:val="auto"/>
        </w:rPr>
        <w:t>The legislative and regulatory framework for privacy, data protection and cybersecurity issues worldwide is rapidly evolving and is likely to remain uncertain for the foreseeable future. We collect and otherwise process personal information and other data as part of our business processes and activities. This data is subject to a variety of U.S. and international laws and regulations, including oversight by various regulatory or other governmental bodies.</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Many foreign countries and governmental bodies, including China, the European Union and other relevant jurisdictions where we conduct business, have laws and regulations concerning the collection, use and other processing of personal information and other data obtained from their residents or by businesses operating within their jurisdictions that are more restrictive than those in the U.S. For example, the European Union has adopted the General Data Protection Regulation, or GDPR, which imposed stringent data protection requirements and provided for substantial penalties for noncompliance, including the potential for fines of up to €20 million or 4% of the annual global revenues of the noncompliant entity, whichever is greater. The United Kingdom has adopted legislation that substantially implements the GDPR and provides for a similar penalty structure. Similarly, California has adopted the California Consumer Privacy Act of 2018, or CCPA, which took effect in 2020. California has adopted a new law, the California Privacy Rights Act of 2020, or CPRA, that substantially expanded the CCPA as of January 1, 2023. The CCPA, as amended and modified by the CPRA, gives California residents the right to access, delete and opt out of certain sharing of their information, and imposes penalties for failure to comply. Numerous other U.S. states have proposed, and in certain cases enacted, similar general privacy legislation.</w:t>
      </w:r>
    </w:p>
    <w:p>
      <w:pPr>
        <w:spacing w:after="0" w:line="19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2021, the National People’s Congress passed the Data Security Law of the People’s Republic of China (Data Security Law) and China’s Personal Information Protection Law (PIPL). The Data Security Law is the first comprehensive data security legislation in China and aims to regulate a wide range of issues in relation to the collection, storage, processing, use, provision, transaction and publication of any kind of data. The PIPL is the first national-level law comprehensively regulating issues in relation to personal information protection in China. Significant uncertainty remains regarding how regulators will interpret and enforce these laws, but the Data Security Law contains provisions that allow substantial government oversight and include fines for failure to obtain required approval from China’s cyber and data protection regulators for cross-border personal information-related data transfers. PIPL authorizes enforcement by cybersecurity authorities and other regulators, and provides for fines and other remedies for noncompliance.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Aspects of these laws remain unclear, resulting in further uncertainty and potentially requiring us to modify our data practices and policies and to incur substantial additional costs and expenses in an effort to comply. Because the interpretation and application of many laws and regulations relating to privacy, data protection, and data security, along with industry standards, are uncertain, it is possible that these laws and regulations may be interpreted and applied in a manner that is inconsistent with our data management practices or the features of our products or solutions, and we could face fines, lawsuits, regulatory investigations, and other claims and penalties, and we could be required to fundamentally change our products or our business practices, which could have an adverse effect on our business. Any inability, or perceived inability, to adequately address privacy and data protection concerns, or to comply with applicable laws, regulations, policies, industry standards, contractual obligations or other legal obligations, even if unfounded, could result in additional cost and liability to us, inhibit sales, damage our reputation and adversely affect our business.</w:t>
      </w:r>
    </w:p>
    <w:p>
      <w:pPr>
        <w:spacing w:after="0" w:line="188"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188" w:lineRule="exact"/>
        <w:rPr>
          <w:sz w:val="20"/>
          <w:szCs w:val="20"/>
          <w:color w:val="auto"/>
        </w:rPr>
      </w:pPr>
    </w:p>
    <w:p>
      <w:pPr>
        <w:ind w:right="6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9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76"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ind w:right="3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5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Global Select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4" w:lineRule="exact"/>
        <w:rPr>
          <w:sz w:val="20"/>
          <w:szCs w:val="20"/>
          <w:color w:val="auto"/>
        </w:rPr>
      </w:pPr>
    </w:p>
    <w:p>
      <w:pPr>
        <w:ind w:right="1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Failure to achieve and maintain effective internal control over financial reporting in accordance with Section 404 of the Sarbanes-Oxley Act of 2002 could materially and adversely affect our business, results of operations, financial condition, and stock price.</w:t>
      </w:r>
    </w:p>
    <w:p>
      <w:pPr>
        <w:spacing w:after="0" w:line="175"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dedication of internal resources.</w:t>
      </w:r>
    </w:p>
    <w:p>
      <w:pPr>
        <w:spacing w:after="0" w:line="1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a material weakness was identified in our internal control over financial reporting as of January 31, 2024. We did not design and maintain effective controls over the accounting for income taxes. Specifically, we did not have tax personnel with the appropriate skills and level of experience to assess complicated tax matters, and we did not properly identify, risk assess, design and maintain effective controls related to the income tax provision, including controls related to the evaluation of tax deductions and recognition and measurement of deferred tax assets. This material weakness resulted in immaterial errors to the provision for income taxes, deferred tax assets, income taxes payable, and income tax disclosures which were adjusted in our consolidated financial statements for the fiscal year ended January 31, 2024. Additionally, this material weakness could result in a misstatement of the aforementioned account balances or disclosures that would result in a material misstatement in our annual or interim consolidated financial statements that would not be prevented or detected.</w:t>
      </w:r>
    </w:p>
    <w:p>
      <w:pPr>
        <w:spacing w:after="0" w:line="19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material weakness did not result in a material misstatement to the fiscal year 2024 consolidated financial statements. As a result of this material weakness, our management concluded that our internal control over financial reporting was not effective based on the framework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issued by the Committee of Sponsoring Organizations of the Treadway Commission. We are actively engaged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implementing a remediation plan designed to address this material weakness. If our remedial measures are insufficient to address the material weakness, or if additional material weaknesses or significant deficiencies in our internal control are discovered or occur in the future, our consolidated financial statements may contain material misstatements and we could be required to restate our financial results.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Even if this material weakness is quickly remedied, or if we or our auditors discover an additional material weakness in our internal controls, the market’s confidence in our financial statements could decline and our stock price may be harmed. In addition, our failure to maintain effective controls over financial reporting could subject us to sanctions or investigations by The Nasdaq Global Select Market, the SEC, or other regulatory authorities. Irrespective of compliance with Section 404, this and any other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tax returns could adversely affect our results.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ind w:firstLine="509"/>
        <w:spacing w:after="0" w:line="253" w:lineRule="auto"/>
        <w:rPr>
          <w:sz w:val="20"/>
          <w:szCs w:val="20"/>
          <w:color w:val="auto"/>
        </w:rPr>
      </w:pPr>
      <w:r>
        <w:rPr>
          <w:rFonts w:ascii="Times New Roman" w:cs="Times New Roman" w:eastAsia="Times New Roman" w:hAnsi="Times New Roman"/>
          <w:sz w:val="18"/>
          <w:szCs w:val="18"/>
          <w:color w:val="auto"/>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transfer pricing adjustments, re-organization or restructuring of our businesses, changes in our corporate structure, including the effect of acquisitions on our legal structure, by tax costs related to intercompany realignments, tax effects of share-based compensation, expiration of or lapses in tax incentives, or by changes in tax laws, regulations, accounting principles or interpretations thereof. For example, changes in tax laws, including the U.S. federal tax legislation commonly referred to as the Tax Cuts and Jobs Act of 2017, or Tax Act, as well as other factors, could cause us to experience fluctuations in our tax obligations and effective tax rates and otherwise adversely affect our tax positions and/or our tax liabilities. 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In August 2022, the U.S. enacted the Inflation Reduction Act of 2022, or IRA, which includes a new 15% corporate minimum tax as well as a 1% excise tax on the fair value of corporate stock repurchases made by U.S. corporations and certain foreign corporations after December 31, 2022. We do not expect the IRA to have a material impact on our financial statements.</w:t>
      </w:r>
    </w:p>
    <w:p>
      <w:pPr>
        <w:spacing w:after="0" w:line="190" w:lineRule="exact"/>
        <w:rPr>
          <w:sz w:val="20"/>
          <w:szCs w:val="20"/>
          <w:color w:val="auto"/>
        </w:rPr>
      </w:pPr>
    </w:p>
    <w:p>
      <w:pPr>
        <w:ind w:right="240" w:firstLine="509"/>
        <w:spacing w:after="0" w:line="289" w:lineRule="auto"/>
        <w:rPr>
          <w:sz w:val="20"/>
          <w:szCs w:val="20"/>
          <w:color w:val="auto"/>
        </w:rPr>
      </w:pPr>
      <w:r>
        <w:rPr>
          <w:rFonts w:ascii="Times New Roman" w:cs="Times New Roman" w:eastAsia="Times New Roman" w:hAnsi="Times New Roman"/>
          <w:sz w:val="17"/>
          <w:szCs w:val="17"/>
          <w:color w:val="auto"/>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54"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159"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operations are subject to certain taxes, such as income and transaction taxes, in the Cayman Islands, the United States, China, Hong Kong, Japan, Italy, Germany,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over the last several years, the Organization for Economic Co-operation and Development (OECD) has been working on a Base Erosion and Profit Shifting Project and has been issuing guidelines and proposals covering a number of issues, including country-by-country reporting, permanent establishment rules, transfer pricing rules and tax treaties. Many of these changes have been or are in the process of being adopted by numerous countries and could materially and adversely affect our provision for income taxes. In 2021, more than 140 countries tentatively signed on to a framework that imposes a global minimum tax of 15%. The Council of the European Union has adopted this initiative, which has been implemented into the domestic laws of some jurisdictions for fiscal years starting on or after December 31, 2023 for multinationals that meet the annual threshold of at least EUR 750 million of consolidated revenues. Additional changes to global tax laws are likely to occur, and such changes may adversely affect our effective tax rate, operating results, and cash flow.</w:t>
      </w:r>
    </w:p>
    <w:p>
      <w:pPr>
        <w:spacing w:after="0" w:line="19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December 2018, the Cayman Islands passed the International Tax Co-Operation (Economic Substance) Law, 2018, which requires Cayman Islands companies carrying on one or more relevant activities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87"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ind w:firstLine="509"/>
        <w:spacing w:after="0" w:line="256" w:lineRule="auto"/>
        <w:rPr>
          <w:sz w:val="20"/>
          <w:szCs w:val="20"/>
          <w:color w:val="auto"/>
        </w:rPr>
      </w:pPr>
      <w:r>
        <w:rPr>
          <w:rFonts w:ascii="Times New Roman" w:cs="Times New Roman" w:eastAsia="Times New Roman" w:hAnsi="Times New Roman"/>
          <w:sz w:val="18"/>
          <w:szCs w:val="18"/>
          <w:color w:val="auto"/>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U.S. federal income tax consequences for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w:t>
      </w:r>
    </w:p>
    <w:p>
      <w:pPr>
        <w:spacing w:after="0" w:line="20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Based on the current and anticipated valuation of our assets and the composition of our income and assets, we do not expect to be considered a passive foreign investment company, or PFIC, for U.S. federal income tax purposes for our 2025 fiscal year or the foreseeable future. However, a separate determination must be made at the close of each taxable year as to whether we are a PFIC for that taxable year, and we cannot assure you that we will not be a PFIC for our 2026 fiscal year or any future taxable year. Under current law, a non-U.S. corporation will be considered a PFIC for any taxable year if either (a) 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183"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United States federal income tax classification, or that of our subsidiaries, could result in adverse tax consequences to our 10% or greater U.S. shareholders.</w:t>
      </w:r>
    </w:p>
    <w:p>
      <w:pPr>
        <w:spacing w:after="0" w:line="15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Tax Act may have changed the consequences to U.S. shareholders that own, or are considered to own, as a result of certain attribution rules, 10% or more of the voting power or value of the stock of a non-U.S. corporation (a 10% U.S. shareholder) under the U.S. federal income tax law applicable to owners of U.S. controlled foreign corporations, or CFCs.</w:t>
      </w:r>
    </w:p>
    <w:p>
      <w:pPr>
        <w:spacing w:after="0" w:line="176"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Prior to the Tax Act, we did not believe that we, or any of our non-U.S. subsidiaries, were considered a CFC, which is a determination made daily based on whether the 10% U.S. shareholders together own, or are considered to own under the attribution rules, more than 50% of the voting power or value of a non-U.S. corporation. Under the Tax Act, however, because our group includes one or more U.S. subsidiaries, certain of our non-U.S. subsidiaries may be classified as CFCs with respect to any single 10% U.S. shareholder, even without regard to whether 10% U.S. shareholders together own, directly or indirectly, more than 50% of the voting power or value of the Company. Our 10% or greater U.S. shareholders should consult their individual tax advisors for advice regarding the Tax Act’s revision to the U.S. federal income tax law applicable to owners of CFCs.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6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159"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8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83"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and positions, which has resulted in protracted and expensive litigation for many companies. We and certain of our customers have received, and in the future may receive, communications from others alleging our infringement of their patents, trade secrets or other intellectual property rights. In addition, we and certain of our end customers have been the subject of lawsuits alleging infringement of intellectual property rights by our solutions or products incorporating our solutions, including the assertion that the alleged infringement may be attributable, at least in part, to our technology. Such lawsuits could subject us to significant liability for damages and invalidate our proprietary rights, though this has not occurred to date. Any potential intellectual property litigation also could force us to do one or more of the following:</w:t>
      </w:r>
    </w:p>
    <w:p>
      <w:pPr>
        <w:spacing w:after="0" w:line="81"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products or using technology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the party whose intellectual property rights we may be found to be infringing;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against others.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Any significant impairment of our intellectual property rights from any litigation we face could harm our business and our ability to compete.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4" w:name="page55"/>
    <w:bookmarkEnd w:id="54"/>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15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88"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volatile, which could cause the value of your investment to decline.</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market price of our ordinary shares has historically been highly volatile, and has been particularly volatile in recent years. For example, since February 1, 2020, the trading price of our common stock ranged from a low of $36.02 to a high of $227.59 and was $45.97 at the close of trading on April 30, 2024. The trading price of our ordinary shares is likely to remain volatile and could be subject to wide fluctuations in price in response to various factors, some of which are beyond our control. These factors include:</w:t>
      </w:r>
    </w:p>
    <w:p>
      <w:pPr>
        <w:spacing w:after="0" w:line="72"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including our ability to meet our future revenue and operating profit or loss projections;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or those of other semiconductor or comparable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economic performance or market valuations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developments in the semiconductor industry as a whole;</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conditions related to the banking industry or caused by pandemics and high inflation, and slow or negative market growth;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geopolitical activities affecting markets we address;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new products, significant contracts or orders, commercial relationships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and enhanced solutions on a timely basis;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5" w:name="page56"/>
    <w:bookmarkEnd w:id="55"/>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conditions in the markets where we sell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22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8" w:lineRule="exact"/>
        <w:rPr>
          <w:sz w:val="20"/>
          <w:szCs w:val="20"/>
          <w:color w:val="auto"/>
        </w:rPr>
      </w:pPr>
    </w:p>
    <w:p>
      <w:pPr>
        <w:ind w:right="6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not meet or exceed our guidance and investor expectations, which would likely cause our stock price to decline.</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 Similarly, if our guidance does not meet or exceed expectations of investors or securities analysts, the trading price of our ordinary shares is likely to decline.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ordinary shares could decrease as a result of dilution of existing shareholders from new shares being sold in the market.</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our ordinary shares in the public market, or the perception that these sales might occur, could cause the market price of our ordinary shares to decline. In the past, we have issued stock options to employees and we regularly issue restricted stock units (RSUs) to employees, which settle as ordinary shares upon vesting. These shares can be freely sold in the public market upon issuance and vesting, subject to restrictions provided under the terms of the applicable plan and/or the option agreements entered into with option holders. 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183"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ordinary shares and, consequently, a shareholder’s ability to achieve a return on its investment will depend on appreciation in the price of our ordinary shares.</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15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5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our board of directors or due to the resignation or departure of an existing board member;</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of cumulative voting in the election of directors which would otherwise allow less than a majority of shareholders to elect director candidates;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advance notice of nominations for election to our board of directors or for proposing matters that can be acted upon at a shareholders’ meeting;</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the rights of shareholders to call a special meeting of shareholders and to take action by written consent in lieu of a meeting;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face difficulties in protecting their interests because we are incorporated under Cayman Islands law.</w:t>
      </w:r>
    </w:p>
    <w:p>
      <w:pPr>
        <w:spacing w:after="0" w:line="22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Subject to limited exceptions, under Cayman Islands law, a minority shareholder may not bring a derivative action against the board of directors.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7" w:name="page58"/>
    <w:bookmarkEnd w:id="57"/>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operations are interrupted, our business and reputation could suffer.</w:t>
      </w:r>
    </w:p>
    <w:p>
      <w:pPr>
        <w:spacing w:after="0" w:line="22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Our operations and those of our manufacturers are vulnerable to interruption caused by technical breakdowns, computer hardware and software malfunctions, software viruses, infrastructure failures, pandemics, and regional health issues, earthquakes, fires, severe storms, floods and other negative impacts from climate change, power losses, telecommunications failures, terrorist attacks, wars, Internet failures and other events beyond our control. Our operations could also be disrupted by geopolitical conditions, particularly in Taiwan or China, where the majority of our employees are located. Any disruption in our services or operations could result in a reduction in revenue, delay product development and R&amp;D, or result in a claim for substantial damages against us, regardless of whether we are responsible for that failure. If remote or work from home conditions were to continue for an extended period of time,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90"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or industry analysts downgrade our ordinary shares, publish negative research or reports or fail to publish reports about our business, our stock price and trading volume could decline.</w:t>
      </w:r>
    </w:p>
    <w:p>
      <w:pPr>
        <w:spacing w:after="0" w:line="15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22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During our fiscal quarter ending April 30, 2024, no director or officer, as defined in Rule 16a-1(f), adopted or terminated a “Rule 10b5-1 trading arrangement” or a “non-Rule 10b5-1 trading arrangement,” each as defined in Regulation S-K Item 408.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920" w:type="dxa"/>
            <w:vAlign w:val="bottom"/>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3"/>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76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7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gridSpan w:val="8"/>
          </w:tcPr>
          <w:p>
            <w:pPr>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Amended and Restated Memorandum of Association and Second Amended and Restated Articles of Association of the Registrant.</w:t>
              </w:r>
            </w:hyperlink>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10.1(2)*</w:t>
            </w:r>
          </w:p>
        </w:tc>
        <w:tc>
          <w:tcPr>
            <w:tcW w:w="10040" w:type="dxa"/>
            <w:vAlign w:val="bottom"/>
            <w:gridSpan w:val="8"/>
          </w:tcPr>
          <w:p>
            <w:pPr>
              <w:spacing w:after="0"/>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Description of Executive Bonus Plan for Fiscal Year 2025.</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640" w:type="dxa"/>
            <w:vAlign w:val="bottom"/>
          </w:tcPr>
          <w:p>
            <w:pPr>
              <w:spacing w:after="0"/>
              <w:rPr>
                <w:sz w:val="24"/>
                <w:szCs w:val="24"/>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Under Rule 13a-14(a) and 15d-14(a) of the Securities Exchange Act of 1934, as</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shd w:val="clear" w:color="auto" w:fill="0000FF"/>
          </w:tcPr>
          <w:p>
            <w:pPr>
              <w:spacing w:after="0" w:line="20" w:lineRule="exact"/>
              <w:rPr>
                <w:sz w:val="1"/>
                <w:szCs w:val="1"/>
                <w:color w:val="auto"/>
              </w:rPr>
            </w:pPr>
          </w:p>
        </w:tc>
        <w:tc>
          <w:tcPr>
            <w:tcW w:w="6480" w:type="dxa"/>
            <w:vAlign w:val="bottom"/>
            <w:gridSpan w:val="5"/>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640" w:type="dxa"/>
            <w:vAlign w:val="bottom"/>
          </w:tcPr>
          <w:p>
            <w:pPr>
              <w:spacing w:after="0"/>
              <w:rPr>
                <w:sz w:val="24"/>
                <w:szCs w:val="24"/>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Under Rule 13a-14(a) and 15d-14(a) of the Securities Exchange Act of 1934, as</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Borders>
              <w:right w:val="single" w:sz="8" w:color="0000FF"/>
            </w:tcBorders>
            <w:gridSpan w:val="2"/>
            <w:shd w:val="clear" w:color="auto" w:fill="0000FF"/>
          </w:tcPr>
          <w:p>
            <w:pPr>
              <w:spacing w:after="0" w:line="20" w:lineRule="exact"/>
              <w:rPr>
                <w:sz w:val="1"/>
                <w:szCs w:val="1"/>
                <w:color w:val="auto"/>
              </w:rPr>
            </w:pPr>
          </w:p>
        </w:tc>
        <w:tc>
          <w:tcPr>
            <w:tcW w:w="6480" w:type="dxa"/>
            <w:vAlign w:val="bottom"/>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9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32.1±</w:t>
            </w:r>
          </w:p>
        </w:tc>
        <w:tc>
          <w:tcPr>
            <w:tcW w:w="640" w:type="dxa"/>
            <w:vAlign w:val="bottom"/>
          </w:tcPr>
          <w:p>
            <w:pPr>
              <w:spacing w:after="0"/>
              <w:rPr>
                <w:sz w:val="24"/>
                <w:szCs w:val="24"/>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and Principal Financial Officer Required Under Rule 13a-14(b) of the Securities Exchange Act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Borders>
              <w:right w:val="single" w:sz="8" w:color="0000FF"/>
            </w:tcBorders>
            <w:gridSpan w:val="2"/>
            <w:shd w:val="clear" w:color="auto" w:fill="0000FF"/>
          </w:tcPr>
          <w:p>
            <w:pPr>
              <w:spacing w:after="0" w:line="20" w:lineRule="exact"/>
              <w:rPr>
                <w:sz w:val="1"/>
                <w:szCs w:val="1"/>
                <w:color w:val="auto"/>
              </w:rPr>
            </w:pPr>
          </w:p>
        </w:tc>
        <w:tc>
          <w:tcPr>
            <w:tcW w:w="6920" w:type="dxa"/>
            <w:vAlign w:val="bottom"/>
            <w:gridSpan w:val="6"/>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 1934, as amended, and 18 U.S.C. §1350.</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3120" w:type="dxa"/>
            <w:vAlign w:val="bottom"/>
            <w:tcBorders>
              <w:right w:val="single" w:sz="8" w:color="0000EE"/>
            </w:tcBorders>
            <w:gridSpan w:val="2"/>
            <w:shd w:val="clear" w:color="auto" w:fill="0000FF"/>
          </w:tcPr>
          <w:p>
            <w:pPr>
              <w:spacing w:after="0" w:line="20" w:lineRule="exact"/>
              <w:rPr>
                <w:sz w:val="1"/>
                <w:szCs w:val="1"/>
                <w:color w:val="auto"/>
              </w:rPr>
            </w:pPr>
          </w:p>
        </w:tc>
        <w:tc>
          <w:tcPr>
            <w:tcW w:w="69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9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Schema Linkbase Document</w:t>
            </w:r>
          </w:p>
        </w:tc>
        <w:tc>
          <w:tcPr>
            <w:tcW w:w="0" w:type="dxa"/>
            <w:vAlign w:val="bottom"/>
          </w:tcPr>
          <w:p>
            <w:pPr>
              <w:spacing w:after="0"/>
              <w:rPr>
                <w:sz w:val="1"/>
                <w:szCs w:val="1"/>
                <w:color w:val="auto"/>
              </w:rPr>
            </w:pPr>
          </w:p>
        </w:tc>
      </w:tr>
      <w:tr>
        <w:trPr>
          <w:trHeight w:val="391"/>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Labels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40" w:right="340" w:hanging="1139"/>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April 30, 2024,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83121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223" w:lineRule="exact"/>
        <w:rPr>
          <w:sz w:val="20"/>
          <w:szCs w:val="20"/>
          <w:color w:val="auto"/>
        </w:rPr>
      </w:pPr>
    </w:p>
    <w:p>
      <w:pPr>
        <w:ind w:left="1140" w:right="380" w:hanging="1139"/>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registration statement on Form S-1 (No. 333-174838) Amendment No. 3 as filed with the Securities and Exchange Commission on September 12, 2012.</w:t>
      </w:r>
    </w:p>
    <w:p>
      <w:pPr>
        <w:ind w:left="1140" w:hanging="113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filed on February 28, 2024.</w:t>
      </w:r>
    </w:p>
    <w:p>
      <w:pPr>
        <w:spacing w:after="0" w:line="36" w:lineRule="exact"/>
        <w:rPr>
          <w:sz w:val="20"/>
          <w:szCs w:val="20"/>
          <w:color w:val="auto"/>
        </w:rPr>
      </w:pPr>
    </w:p>
    <w:p>
      <w:pPr>
        <w:ind w:left="1140" w:hanging="1139"/>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compensation plans or arrangements in which directors or executive officers are eligible to participate.</w:t>
      </w:r>
    </w:p>
    <w:p>
      <w:pPr>
        <w:spacing w:after="0" w:line="36" w:lineRule="exact"/>
        <w:rPr>
          <w:sz w:val="20"/>
          <w:szCs w:val="20"/>
          <w:color w:val="auto"/>
        </w:rPr>
      </w:pPr>
    </w:p>
    <w:p>
      <w:pPr>
        <w:ind w:left="1140" w:hanging="1139"/>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33-8238 and 34-47986, Final Rule:</w:t>
      </w:r>
    </w:p>
    <w:p>
      <w:pPr>
        <w:spacing w:after="0" w:line="27" w:lineRule="exact"/>
        <w:rPr>
          <w:rFonts w:ascii="Times New Roman" w:cs="Times New Roman" w:eastAsia="Times New Roman" w:hAnsi="Times New Roman"/>
          <w:sz w:val="18"/>
          <w:szCs w:val="18"/>
          <w:color w:val="auto"/>
        </w:rPr>
      </w:pPr>
    </w:p>
    <w:p>
      <w:pPr>
        <w:ind w:left="114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Reports on Internal Control Over Financial Reporting and Certification of Disclosure in Exchange Act Periodic Reports, the certifications furnished in Exhibits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1" w:right="359" w:bottom="1440" w:gutter="0" w:footer="0" w:header="0"/>
        </w:sectPr>
      </w:pPr>
    </w:p>
    <w:bookmarkStart w:id="59" w:name="page60"/>
    <w:bookmarkEnd w:id="59"/>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0" w:lineRule="exact"/>
        <w:rPr>
          <w:sz w:val="20"/>
          <w:szCs w:val="20"/>
          <w:color w:val="auto"/>
        </w:rPr>
      </w:pPr>
    </w:p>
    <w:p>
      <w:pPr>
        <w:ind w:left="20"/>
        <w:spacing w:after="0"/>
        <w:tabs>
          <w:tab w:leader="none" w:pos="5760" w:val="left"/>
          <w:tab w:leader="none" w:pos="7980" w:val="left"/>
        </w:tabs>
        <w:rPr>
          <w:sz w:val="20"/>
          <w:szCs w:val="20"/>
          <w:color w:val="auto"/>
        </w:rPr>
      </w:pPr>
      <w:r>
        <w:rPr>
          <w:rFonts w:ascii="Times New Roman" w:cs="Times New Roman" w:eastAsia="Times New Roman" w:hAnsi="Times New Roman"/>
          <w:sz w:val="18"/>
          <w:szCs w:val="18"/>
          <w:color w:val="auto"/>
        </w:rPr>
        <w:t>Date: June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26035</wp:posOffset>
            </wp:positionV>
            <wp:extent cx="31292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3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Feng-Ming Wang</w:t>
      </w:r>
    </w:p>
    <w:p>
      <w:pPr>
        <w:spacing w:after="0" w:line="109"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91" w:lineRule="exact"/>
        <w:rPr>
          <w:sz w:val="20"/>
          <w:szCs w:val="20"/>
          <w:color w:val="auto"/>
        </w:rPr>
      </w:pPr>
    </w:p>
    <w:p>
      <w:pPr>
        <w:ind w:left="20"/>
        <w:spacing w:after="0"/>
        <w:tabs>
          <w:tab w:leader="none" w:pos="5760" w:val="left"/>
          <w:tab w:leader="none" w:pos="8080" w:val="left"/>
        </w:tabs>
        <w:rPr>
          <w:sz w:val="20"/>
          <w:szCs w:val="20"/>
          <w:color w:val="auto"/>
        </w:rPr>
      </w:pPr>
      <w:r>
        <w:rPr>
          <w:rFonts w:ascii="Times New Roman" w:cs="Times New Roman" w:eastAsia="Times New Roman" w:hAnsi="Times New Roman"/>
          <w:sz w:val="18"/>
          <w:szCs w:val="18"/>
          <w:color w:val="auto"/>
        </w:rPr>
        <w:t>Date: June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26035</wp:posOffset>
            </wp:positionV>
            <wp:extent cx="31292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3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John A. Young</w:t>
      </w:r>
    </w:p>
    <w:p>
      <w:pPr>
        <w:spacing w:after="0" w:line="109"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0" w:lineRule="exact"/>
        <w:rPr>
          <w:sz w:val="20"/>
          <w:szCs w:val="20"/>
          <w:color w:val="auto"/>
        </w:rPr>
      </w:pPr>
    </w:p>
    <w:p>
      <w:pPr>
        <w:spacing w:after="0" w:line="23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80" w:firstLine="517"/>
        <w:spacing w:after="0" w:line="282" w:lineRule="auto"/>
        <w:tabs>
          <w:tab w:leader="none" w:pos="7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17"/>
        <w:spacing w:after="0" w:line="266" w:lineRule="auto"/>
        <w:tabs>
          <w:tab w:leader="none" w:pos="7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6, 2024</w:t>
      </w:r>
    </w:p>
    <w:p>
      <w:pPr>
        <w:spacing w:after="0" w:line="23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26035</wp:posOffset>
            </wp:positionV>
            <wp:extent cx="306006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Feng-Ming Wang</w:t>
      </w:r>
    </w:p>
    <w:p>
      <w:pPr>
        <w:spacing w:after="0" w:line="3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9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Young,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80" w:firstLine="517"/>
        <w:spacing w:after="0" w:line="282" w:lineRule="auto"/>
        <w:tabs>
          <w:tab w:leader="none" w:pos="7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17"/>
        <w:spacing w:after="0" w:line="266" w:lineRule="auto"/>
        <w:tabs>
          <w:tab w:leader="none" w:pos="7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6, 2024</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John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22860</wp:posOffset>
            </wp:positionV>
            <wp:extent cx="327469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John A. Young</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 Feng-Ming Wang, certify, pursuant to 18 U.S.C. Section 1350, as adopted pursuant to Section 906 of the Sarbanes-Oxley Act of 2002, that the Quarterly Report of Ambarella, Inc. on Form 10-Q for the fiscal quarter ended April 30, 2024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6, 2024</w:t>
      </w:r>
    </w:p>
    <w:p>
      <w:pPr>
        <w:spacing w:after="0" w:line="293" w:lineRule="exact"/>
        <w:rPr>
          <w:sz w:val="20"/>
          <w:szCs w:val="20"/>
          <w:color w:val="auto"/>
        </w:rPr>
      </w:pPr>
    </w:p>
    <w:tbl>
      <w:tblPr>
        <w:tblLayout w:type="fixed"/>
        <w:tblInd w:w="6440" w:type="dxa"/>
        <w:tblCellMar>
          <w:top w:w="0" w:type="dxa"/>
          <w:left w:w="0" w:type="dxa"/>
          <w:bottom w:w="0" w:type="dxa"/>
          <w:right w:w="0" w:type="dxa"/>
        </w:tblCellMar>
      </w:tblPr>
      <w:tr>
        <w:trPr>
          <w:trHeight w:val="24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Feng-Ming Wang</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Feng-Ming Wang</w:t>
            </w: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1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 John A. Young, certify, pursuant to 18 U.S.C. Section 1350, as adopted pursuant to Section 906 of the Sarbanes-Oxley Act of 2002, that the Quarterly Report of Ambarella, Inc. on Form 10-Q for the fiscal quarter ended April 30, 2024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6, 2024</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8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A. Young</w:t>
            </w:r>
          </w:p>
        </w:tc>
      </w:tr>
      <w:tr>
        <w:trPr>
          <w:trHeight w:val="234"/>
        </w:trPr>
        <w:tc>
          <w:tcPr>
            <w:tcW w:w="728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John A. Young</w:t>
            </w:r>
          </w:p>
        </w:tc>
      </w:tr>
      <w:tr>
        <w:trPr>
          <w:trHeight w:val="238"/>
        </w:trPr>
        <w:tc>
          <w:tcPr>
            <w:tcW w:w="728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208"/>
        </w:trPr>
        <w:tc>
          <w:tcPr>
            <w:tcW w:w="72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0"/>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04"/>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80" Type="http://schemas.openxmlformats.org/officeDocument/2006/relationships/hyperlink" Target="https://www.sec.gov/Archives/edgar/data/0001280263/000119312512389774/d193541dex32.htm" TargetMode="External"/><Relationship Id="rId281" Type="http://schemas.openxmlformats.org/officeDocument/2006/relationships/hyperlink" Target="https://www.sec.gov/ix?doc=/Archives/edgar/data/1280263/000119312524050958/d793563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2024-06-06T13:06:50Z</dcterms:created>
  <dcterms:modified xsi:type="dcterms:W3CDTF">2024-06-06T13:06:50Z</dcterms:modified>
</cp:coreProperties>
</file>