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640" w:right="160" w:hanging="619"/>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40" w:right="140" w:hanging="619"/>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45"/>
        </w:trPr>
        <w:tc>
          <w:tcPr>
            <w:tcW w:w="3220" w:type="dxa"/>
            <w:vAlign w:val="bottom"/>
            <w:gridSpan w:val="3"/>
          </w:tcPr>
          <w:p>
            <w:pPr>
              <w:ind w:left="440"/>
              <w:spacing w:after="0"/>
              <w:rPr>
                <w:sz w:val="20"/>
                <w:szCs w:val="20"/>
                <w:color w:val="auto"/>
              </w:rPr>
            </w:pPr>
            <w:r>
              <w:rPr>
                <w:rFonts w:ascii="Arial" w:cs="Arial" w:eastAsia="Arial" w:hAnsi="Arial"/>
                <w:sz w:val="18"/>
                <w:szCs w:val="18"/>
                <w:b w:val="1"/>
                <w:bCs w:val="1"/>
                <w:color w:val="auto"/>
                <w:w w:val="89"/>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3"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5960" w:type="dxa"/>
            <w:vAlign w:val="bottom"/>
          </w:tcPr>
          <w:p>
            <w:pPr>
              <w:jc w:val="center"/>
              <w:ind w:right="3499"/>
              <w:spacing w:after="0"/>
              <w:rPr>
                <w:sz w:val="20"/>
                <w:szCs w:val="20"/>
                <w:color w:val="auto"/>
              </w:rPr>
            </w:pPr>
            <w:r>
              <w:rPr>
                <w:rFonts w:ascii="Arial" w:cs="Arial" w:eastAsia="Arial" w:hAnsi="Arial"/>
                <w:sz w:val="18"/>
                <w:szCs w:val="18"/>
                <w:b w:val="1"/>
                <w:bCs w:val="1"/>
                <w:color w:val="auto"/>
                <w:w w:val="91"/>
              </w:rPr>
              <w:t>Cayman Islands</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98-0459628</w:t>
            </w:r>
          </w:p>
        </w:tc>
      </w:tr>
      <w:tr>
        <w:trPr>
          <w:trHeight w:val="153"/>
        </w:trPr>
        <w:tc>
          <w:tcPr>
            <w:tcW w:w="5960" w:type="dxa"/>
            <w:vAlign w:val="bottom"/>
          </w:tcPr>
          <w:p>
            <w:pPr>
              <w:jc w:val="center"/>
              <w:ind w:right="3499"/>
              <w:spacing w:after="0" w:line="153" w:lineRule="exact"/>
              <w:rPr>
                <w:sz w:val="20"/>
                <w:szCs w:val="20"/>
                <w:color w:val="auto"/>
              </w:rPr>
            </w:pPr>
            <w:r>
              <w:rPr>
                <w:rFonts w:ascii="Arial" w:cs="Arial" w:eastAsia="Arial" w:hAnsi="Arial"/>
                <w:sz w:val="14"/>
                <w:szCs w:val="14"/>
                <w:b w:val="1"/>
                <w:bCs w:val="1"/>
                <w:color w:val="auto"/>
                <w:w w:val="92"/>
              </w:rPr>
              <w:t>(State or other jurisdiction of</w:t>
            </w:r>
          </w:p>
        </w:tc>
        <w:tc>
          <w:tcPr>
            <w:tcW w:w="1500" w:type="dxa"/>
            <w:vAlign w:val="bottom"/>
          </w:tcPr>
          <w:p>
            <w:pPr>
              <w:jc w:val="center"/>
              <w:ind w:left="26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60" w:type="dxa"/>
            <w:vAlign w:val="bottom"/>
          </w:tcPr>
          <w:p>
            <w:pPr>
              <w:jc w:val="center"/>
              <w:ind w:right="3499"/>
              <w:spacing w:after="0"/>
              <w:rPr>
                <w:sz w:val="20"/>
                <w:szCs w:val="20"/>
                <w:color w:val="auto"/>
              </w:rPr>
            </w:pPr>
            <w:r>
              <w:rPr>
                <w:rFonts w:ascii="Arial" w:cs="Arial" w:eastAsia="Arial" w:hAnsi="Arial"/>
                <w:sz w:val="14"/>
                <w:szCs w:val="14"/>
                <w:b w:val="1"/>
                <w:bCs w:val="1"/>
                <w:color w:val="auto"/>
                <w:w w:val="93"/>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5960" w:type="dxa"/>
            <w:vAlign w:val="bottom"/>
          </w:tcPr>
          <w:p>
            <w:pPr>
              <w:jc w:val="center"/>
              <w:ind w:right="3499"/>
              <w:spacing w:after="0"/>
              <w:rPr>
                <w:sz w:val="20"/>
                <w:szCs w:val="20"/>
                <w:color w:val="auto"/>
              </w:rPr>
            </w:pPr>
            <w:r>
              <w:rPr>
                <w:rFonts w:ascii="Arial" w:cs="Arial" w:eastAsia="Arial" w:hAnsi="Arial"/>
                <w:sz w:val="18"/>
                <w:szCs w:val="18"/>
                <w:b w:val="1"/>
                <w:bCs w:val="1"/>
                <w:color w:val="auto"/>
                <w:w w:val="89"/>
              </w:rPr>
              <w:t>3101 Jay Street</w:t>
            </w:r>
          </w:p>
        </w:tc>
        <w:tc>
          <w:tcPr>
            <w:tcW w:w="1500" w:type="dxa"/>
            <w:vAlign w:val="bottom"/>
          </w:tcPr>
          <w:p>
            <w:pPr>
              <w:spacing w:after="0"/>
              <w:rPr>
                <w:sz w:val="24"/>
                <w:szCs w:val="24"/>
                <w:color w:val="auto"/>
              </w:rPr>
            </w:pPr>
          </w:p>
        </w:tc>
      </w:tr>
      <w:tr>
        <w:trPr>
          <w:trHeight w:val="234"/>
        </w:trPr>
        <w:tc>
          <w:tcPr>
            <w:tcW w:w="5960" w:type="dxa"/>
            <w:vAlign w:val="bottom"/>
          </w:tcPr>
          <w:p>
            <w:pPr>
              <w:jc w:val="center"/>
              <w:ind w:right="3499"/>
              <w:spacing w:after="0"/>
              <w:rPr>
                <w:sz w:val="20"/>
                <w:szCs w:val="20"/>
                <w:color w:val="auto"/>
              </w:rPr>
            </w:pPr>
            <w:r>
              <w:rPr>
                <w:rFonts w:ascii="Arial" w:cs="Arial" w:eastAsia="Arial" w:hAnsi="Arial"/>
                <w:sz w:val="18"/>
                <w:szCs w:val="18"/>
                <w:b w:val="1"/>
                <w:bCs w:val="1"/>
                <w:color w:val="auto"/>
                <w:w w:val="94"/>
              </w:rPr>
              <w:t>Santa Clara, California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95054</w:t>
            </w:r>
          </w:p>
        </w:tc>
      </w:tr>
      <w:tr>
        <w:trPr>
          <w:trHeight w:val="190"/>
        </w:trPr>
        <w:tc>
          <w:tcPr>
            <w:tcW w:w="5960" w:type="dxa"/>
            <w:vAlign w:val="bottom"/>
          </w:tcPr>
          <w:p>
            <w:pPr>
              <w:jc w:val="center"/>
              <w:ind w:right="3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5960" w:type="dxa"/>
            <w:vAlign w:val="bottom"/>
          </w:tcPr>
          <w:p>
            <w:pPr>
              <w:jc w:val="right"/>
              <w:ind w:right="1339"/>
              <w:spacing w:after="0"/>
              <w:rPr>
                <w:sz w:val="20"/>
                <w:szCs w:val="20"/>
                <w:color w:val="auto"/>
              </w:rPr>
            </w:pPr>
            <w:r>
              <w:rPr>
                <w:rFonts w:ascii="Arial" w:cs="Arial" w:eastAsia="Arial" w:hAnsi="Arial"/>
                <w:sz w:val="18"/>
                <w:szCs w:val="18"/>
                <w:b w:val="1"/>
                <w:bCs w:val="1"/>
                <w:color w:val="auto"/>
              </w:rPr>
              <w:t>(408) 734-8888</w:t>
            </w:r>
          </w:p>
        </w:tc>
        <w:tc>
          <w:tcPr>
            <w:tcW w:w="1500" w:type="dxa"/>
            <w:vAlign w:val="bottom"/>
          </w:tcPr>
          <w:p>
            <w:pPr>
              <w:spacing w:after="0"/>
              <w:rPr>
                <w:sz w:val="24"/>
                <w:szCs w:val="24"/>
                <w:color w:val="auto"/>
              </w:rPr>
            </w:pPr>
          </w:p>
        </w:tc>
      </w:tr>
      <w:tr>
        <w:trPr>
          <w:trHeight w:val="186"/>
        </w:trPr>
        <w:tc>
          <w:tcPr>
            <w:tcW w:w="5960" w:type="dxa"/>
            <w:vAlign w:val="bottom"/>
          </w:tcPr>
          <w:p>
            <w:pPr>
              <w:jc w:val="center"/>
              <w:ind w:left="19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40"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6"/>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60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May 31, 2023 was 39,602,437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tcPr>
          <w:p>
            <w:pPr>
              <w:spacing w:after="0"/>
              <w:rPr>
                <w:sz w:val="14"/>
                <w:szCs w:val="14"/>
                <w:color w:val="auto"/>
              </w:rPr>
            </w:pPr>
          </w:p>
        </w:tc>
      </w:tr>
      <w:tr>
        <w:trPr>
          <w:trHeight w:val="466"/>
        </w:trPr>
        <w:tc>
          <w:tcPr>
            <w:tcW w:w="10520" w:type="dxa"/>
            <w:vAlign w:val="bottom"/>
            <w:gridSpan w:val="16"/>
          </w:tcPr>
          <w:p>
            <w:pPr>
              <w:spacing w:after="0"/>
              <w:rPr>
                <w:sz w:val="20"/>
                <w:szCs w:val="20"/>
                <w:color w:val="auto"/>
              </w:rPr>
            </w:pPr>
            <w:r>
              <w:rPr>
                <w:rFonts w:ascii="Arial" w:cs="Arial" w:eastAsia="Arial" w:hAnsi="Arial"/>
                <w:sz w:val="18"/>
                <w:szCs w:val="18"/>
                <w:b w:val="1"/>
                <w:bCs w:val="1"/>
                <w:color w:val="0000FF"/>
              </w:rPr>
              <w:t>PART I. FINANCIAL INFORMATION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5"/>
          </w:tcPr>
          <w:p>
            <w:pPr>
              <w:spacing w:after="0"/>
              <w:rPr>
                <w:sz w:val="20"/>
                <w:szCs w:val="20"/>
                <w:color w:val="auto"/>
              </w:rPr>
            </w:pPr>
            <w:r>
              <w:rPr>
                <w:rFonts w:ascii="Arial" w:cs="Arial" w:eastAsia="Arial" w:hAnsi="Arial"/>
                <w:sz w:val="18"/>
                <w:szCs w:val="18"/>
                <w:color w:val="0000FF"/>
              </w:rPr>
              <w:t>Financial Statements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1"/>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Balance Sheets at April 30, 2023 and January 31, 2023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Operations for the three months ended April 30, 2023 and 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w w:val="97"/>
              </w:rPr>
              <w:t>Unaudited Condensed Consolidated Statements of Comprehensive Loss for the three months ended April 30, 2023 and 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w w:val="97"/>
              </w:rPr>
              <w:t>Unaudited Condensed Consolidated Statements of Shareholders’ Equity for the three months ended April 30, 2023 and 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1"/>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Cash Flows for the three months ended April 30, 2023 and 2022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493"/>
        </w:trPr>
        <w:tc>
          <w:tcPr>
            <w:tcW w:w="10520" w:type="dxa"/>
            <w:vAlign w:val="bottom"/>
            <w:gridSpan w:val="16"/>
          </w:tcPr>
          <w:p>
            <w:pPr>
              <w:spacing w:after="0"/>
              <w:rPr>
                <w:sz w:val="20"/>
                <w:szCs w:val="20"/>
                <w:color w:val="auto"/>
              </w:rPr>
            </w:pPr>
            <w:r>
              <w:rPr>
                <w:rFonts w:ascii="Arial" w:cs="Arial" w:eastAsia="Arial" w:hAnsi="Arial"/>
                <w:sz w:val="18"/>
                <w:szCs w:val="18"/>
                <w:b w:val="1"/>
                <w:bCs w:val="1"/>
                <w:color w:val="0000FF"/>
              </w:rPr>
              <w:t>PART II. OTHER INFORMATION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760" w:type="dxa"/>
            <w:vAlign w:val="bottom"/>
            <w:gridSpan w:val="9"/>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1"/>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15"/>
          </w:tcPr>
          <w:p>
            <w:pPr>
              <w:spacing w:after="0"/>
              <w:rPr>
                <w:sz w:val="20"/>
                <w:szCs w:val="20"/>
                <w:color w:val="auto"/>
              </w:rPr>
            </w:pPr>
            <w:r>
              <w:rPr>
                <w:rFonts w:ascii="Arial" w:cs="Arial" w:eastAsia="Arial" w:hAnsi="Arial"/>
                <w:sz w:val="18"/>
                <w:szCs w:val="18"/>
                <w:color w:val="0000FF"/>
              </w:rPr>
              <w:t>Risk Factors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60" w:type="dxa"/>
            <w:vAlign w:val="bottom"/>
            <w:gridSpan w:val="1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72"/>
        </w:trPr>
        <w:tc>
          <w:tcPr>
            <w:tcW w:w="780" w:type="dxa"/>
            <w:vAlign w:val="bottom"/>
          </w:tcPr>
          <w:p>
            <w:pPr>
              <w:spacing w:after="0"/>
              <w:rPr>
                <w:sz w:val="20"/>
                <w:szCs w:val="20"/>
                <w:color w:val="auto"/>
              </w:rPr>
            </w:pPr>
            <w:r>
              <w:rPr>
                <w:rFonts w:ascii="Arial" w:cs="Arial" w:eastAsia="Arial" w:hAnsi="Arial"/>
                <w:sz w:val="18"/>
                <w:szCs w:val="18"/>
                <w:color w:val="0000FF"/>
                <w:w w:val="85"/>
              </w:rPr>
              <w:t>Signatures</w:t>
            </w:r>
          </w:p>
        </w:tc>
        <w:tc>
          <w:tcPr>
            <w:tcW w:w="5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7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768"/>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31,</w:t>
            </w:r>
          </w:p>
        </w:tc>
      </w:tr>
      <w:tr>
        <w:trPr>
          <w:trHeight w:val="228"/>
        </w:trPr>
        <w:tc>
          <w:tcPr>
            <w:tcW w:w="7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127,741</w:t>
            </w:r>
          </w:p>
        </w:tc>
        <w:tc>
          <w:tcPr>
            <w:tcW w:w="3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113,541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debt securities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99,647</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93,322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51,987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41,223</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6,077</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304,521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304,632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Deferred tax assets, non-current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303,625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303,625</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40" w:type="dxa"/>
            <w:vAlign w:val="bottom"/>
          </w:tcPr>
          <w:p>
            <w:pPr>
              <w:spacing w:after="0"/>
              <w:rPr>
                <w:sz w:val="21"/>
                <w:szCs w:val="21"/>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704,781</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710,195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25,625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17,845</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3,539</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3,619</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Deferred revenue, current</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21"/>
                <w:szCs w:val="21"/>
                <w:color w:val="auto"/>
              </w:rPr>
            </w:pPr>
          </w:p>
        </w:tc>
      </w:tr>
      <w:tr>
        <w:trPr>
          <w:trHeight w:val="237"/>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80,149</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104,107</w:t>
            </w:r>
          </w:p>
        </w:tc>
        <w:tc>
          <w:tcPr>
            <w:tcW w:w="14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Preference shares, $0.00045 par value per share, 20,000,000 shares authorized and no shares issued</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 at April 30, 2023 and January 31, 2023, respectively</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w w:val="96"/>
              </w:rPr>
              <w:t>Ordinary shares, $0.00045 par value per share, 200,000,000 shares authorized; 39,591,203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w w:val="97"/>
              </w:rPr>
              <w:t>39,043,000 shares issued and outstanding at April 30, 2023 and January 31, 2023,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607,971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572,076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0"/>
                <w:szCs w:val="20"/>
                <w:color w:val="auto"/>
              </w:rPr>
            </w:pP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(382 )</w:t>
            </w:r>
          </w:p>
        </w:tc>
        <w:tc>
          <w:tcPr>
            <w:tcW w:w="28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(492 )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(1,416 )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606,191</w:t>
            </w:r>
          </w:p>
        </w:tc>
        <w:tc>
          <w:tcPr>
            <w:tcW w:w="3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606,088</w:t>
            </w:r>
          </w:p>
        </w:tc>
        <w:tc>
          <w:tcPr>
            <w:tcW w:w="140" w:type="dxa"/>
            <w:vAlign w:val="bottom"/>
            <w:tcBorders>
              <w:top w:val="single" w:sz="8" w:color="CFF0FC"/>
            </w:tcBorders>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704,781</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710,195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-4705350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-4705350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-3453765</wp:posOffset>
            </wp:positionV>
            <wp:extent cx="13030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-1877060</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-1877060</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-351155</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 April 30,</w:t>
            </w:r>
          </w:p>
        </w:tc>
      </w:tr>
      <w:tr>
        <w:trPr>
          <w:trHeight w:val="169"/>
        </w:trPr>
        <w:tc>
          <w:tcPr>
            <w:tcW w:w="77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62,142</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90,305</w:t>
            </w:r>
          </w:p>
        </w:tc>
        <w:tc>
          <w:tcPr>
            <w:tcW w:w="140" w:type="dxa"/>
            <w:vAlign w:val="bottom"/>
            <w:shd w:val="clear" w:color="auto" w:fill="CFF0FC"/>
          </w:tcPr>
          <w:p>
            <w:pPr>
              <w:spacing w:after="0"/>
              <w:rPr>
                <w:sz w:val="20"/>
                <w:szCs w:val="20"/>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w:t>
            </w:r>
          </w:p>
        </w:tc>
        <w:tc>
          <w:tcPr>
            <w:tcW w:w="140" w:type="dxa"/>
            <w:vAlign w:val="bottom"/>
          </w:tcPr>
          <w:p>
            <w:pPr>
              <w:spacing w:after="0"/>
              <w:rPr>
                <w:sz w:val="21"/>
                <w:szCs w:val="21"/>
                <w:color w:val="auto"/>
              </w:rPr>
            </w:pPr>
          </w:p>
        </w:tc>
      </w:tr>
      <w:tr>
        <w:trPr>
          <w:trHeight w:val="237"/>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37,519</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56,547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2"/>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54,441</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46,690</w:t>
            </w:r>
          </w:p>
        </w:tc>
        <w:tc>
          <w:tcPr>
            <w:tcW w:w="140" w:type="dxa"/>
            <w:vAlign w:val="bottom"/>
            <w:shd w:val="clear" w:color="auto" w:fill="CFF0FC"/>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20,355</w:t>
            </w:r>
          </w:p>
        </w:tc>
        <w:tc>
          <w:tcPr>
            <w:tcW w:w="140" w:type="dxa"/>
            <w:vAlign w:val="bottom"/>
          </w:tcPr>
          <w:p>
            <w:pPr>
              <w:spacing w:after="0"/>
              <w:rPr>
                <w:sz w:val="21"/>
                <w:szCs w:val="21"/>
                <w:color w:val="auto"/>
              </w:rPr>
            </w:pPr>
          </w:p>
        </w:tc>
      </w:tr>
      <w:tr>
        <w:trPr>
          <w:trHeight w:val="237"/>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73,061</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 xml:space="preserve">(35,542 </w:t>
            </w:r>
            <w:r>
              <w:rPr>
                <w:rFonts w:ascii="Arial" w:cs="Arial" w:eastAsia="Arial" w:hAnsi="Arial"/>
                <w:sz w:val="18"/>
                <w:szCs w:val="18"/>
                <w:color w:val="auto"/>
                <w:highlight w:val="white"/>
              </w:rPr>
              <w:t>)</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(10,498 )</w:t>
            </w:r>
          </w:p>
        </w:tc>
      </w:tr>
      <w:tr>
        <w:trPr>
          <w:trHeight w:val="249"/>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2"/>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 xml:space="preserve">(34,256 </w:t>
            </w:r>
            <w:r>
              <w:rPr>
                <w:rFonts w:ascii="Arial" w:cs="Arial" w:eastAsia="Arial" w:hAnsi="Arial"/>
                <w:sz w:val="18"/>
                <w:szCs w:val="18"/>
                <w:color w:val="auto"/>
                <w:highlight w:val="white"/>
              </w:rPr>
              <w:t>)</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(10,412 )</w:t>
            </w:r>
          </w:p>
        </w:tc>
      </w:tr>
      <w:tr>
        <w:trPr>
          <w:trHeight w:val="247"/>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 xml:space="preserve">(35,902 </w:t>
            </w:r>
            <w:r>
              <w:rPr>
                <w:rFonts w:ascii="Arial" w:cs="Arial" w:eastAsia="Arial" w:hAnsi="Arial"/>
                <w:sz w:val="18"/>
                <w:szCs w:val="18"/>
                <w:color w:val="auto"/>
                <w:highlight w:val="white"/>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(10,822 )</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attributable to ordinary shareholders: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(0.91 )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(0.29 )</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w w:val="97"/>
              </w:rPr>
              <w:t>Weighted-average shares used to compute net loss per share attributable to ordinary shareholders: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89"/>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39,340,791</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37,715,338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77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39,340,791</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37,715,338</w:t>
            </w:r>
          </w:p>
        </w:tc>
        <w:tc>
          <w:tcPr>
            <w:tcW w:w="14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-2485390</wp:posOffset>
            </wp:positionV>
            <wp:extent cx="857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-2485390</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-1851025</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-1534160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-1216660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-539115</wp:posOffset>
            </wp:positionV>
            <wp:extent cx="124333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124333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3330" cy="20574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(35,902</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(10,822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unrealized gains on investments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(35,792</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(10,822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-350520</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880" w:type="dxa"/>
            <w:vAlign w:val="bottom"/>
            <w:gridSpan w:val="3"/>
          </w:tcPr>
          <w:p>
            <w:pPr>
              <w:jc w:val="right"/>
              <w:ind w:right="431"/>
              <w:spacing w:after="0"/>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5"/>
                <w:szCs w:val="15"/>
                <w:color w:val="auto"/>
              </w:rPr>
            </w:pPr>
          </w:p>
        </w:tc>
        <w:tc>
          <w:tcPr>
            <w:tcW w:w="1020" w:type="dxa"/>
            <w:vAlign w:val="bottom"/>
            <w:gridSpan w:val="2"/>
            <w:vMerge w:val="restart"/>
          </w:tcPr>
          <w:p>
            <w:pPr>
              <w:jc w:val="center"/>
              <w:ind w:right="348"/>
              <w:spacing w:after="0"/>
              <w:rPr>
                <w:sz w:val="20"/>
                <w:szCs w:val="20"/>
                <w:color w:val="auto"/>
              </w:rPr>
            </w:pPr>
            <w:r>
              <w:rPr>
                <w:rFonts w:ascii="Arial" w:cs="Arial" w:eastAsia="Arial" w:hAnsi="Arial"/>
                <w:sz w:val="13"/>
                <w:szCs w:val="13"/>
                <w:b w:val="1"/>
                <w:bCs w:val="1"/>
                <w:color w:val="auto"/>
                <w:w w:val="87"/>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880" w:type="dxa"/>
            <w:vAlign w:val="bottom"/>
            <w:gridSpan w:val="3"/>
            <w:vMerge w:val="restart"/>
          </w:tcPr>
          <w:p>
            <w:pPr>
              <w:jc w:val="right"/>
              <w:ind w:right="331"/>
              <w:spacing w:after="0"/>
              <w:rPr>
                <w:sz w:val="20"/>
                <w:szCs w:val="20"/>
                <w:color w:val="auto"/>
              </w:rPr>
            </w:pPr>
            <w:r>
              <w:rPr>
                <w:rFonts w:ascii="Arial" w:cs="Arial" w:eastAsia="Arial" w:hAnsi="Arial"/>
                <w:sz w:val="13"/>
                <w:szCs w:val="13"/>
                <w:b w:val="1"/>
                <w:bCs w:val="1"/>
                <w:color w:val="auto"/>
              </w:rPr>
              <w:t>Ordinary Shares</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188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91"/>
              <w:spacing w:after="0"/>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3"/>
                <w:szCs w:val="13"/>
                <w:color w:val="auto"/>
              </w:rPr>
            </w:pPr>
          </w:p>
        </w:tc>
        <w:tc>
          <w:tcPr>
            <w:tcW w:w="1160" w:type="dxa"/>
            <w:vAlign w:val="bottom"/>
            <w:gridSpan w:val="3"/>
          </w:tcPr>
          <w:p>
            <w:pPr>
              <w:jc w:val="center"/>
              <w:ind w:right="208"/>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020" w:type="dxa"/>
            <w:vAlign w:val="bottom"/>
            <w:gridSpan w:val="2"/>
          </w:tcPr>
          <w:p>
            <w:pPr>
              <w:jc w:val="center"/>
              <w:ind w:right="328"/>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228"/>
              <w:spacing w:after="0" w:line="124"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1"/>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Balance--January 31, 2023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39,043,000</w:t>
            </w:r>
          </w:p>
        </w:tc>
        <w:tc>
          <w:tcPr>
            <w:tcW w:w="28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ind w:right="53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572,076</w:t>
            </w:r>
          </w:p>
        </w:tc>
        <w:tc>
          <w:tcPr>
            <w:tcW w:w="2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34,486</w:t>
            </w: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606,088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Arial" w:cs="Arial" w:eastAsia="Arial" w:hAnsi="Arial"/>
                <w:sz w:val="14"/>
                <w:szCs w:val="14"/>
                <w:color w:val="auto"/>
              </w:rPr>
              <w:t>Issuance of shares through employee equity plans</w:t>
            </w:r>
          </w:p>
        </w:tc>
        <w:tc>
          <w:tcPr>
            <w:tcW w:w="920" w:type="dxa"/>
            <w:vAlign w:val="bottom"/>
          </w:tcPr>
          <w:p>
            <w:pPr>
              <w:jc w:val="right"/>
              <w:spacing w:after="0"/>
              <w:rPr>
                <w:sz w:val="20"/>
                <w:szCs w:val="20"/>
                <w:color w:val="auto"/>
              </w:rPr>
            </w:pPr>
            <w:r>
              <w:rPr>
                <w:rFonts w:ascii="Arial" w:cs="Arial" w:eastAsia="Arial" w:hAnsi="Arial"/>
                <w:sz w:val="14"/>
                <w:szCs w:val="14"/>
                <w:color w:val="auto"/>
              </w:rPr>
              <w:t>467,996</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5,198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shares through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80,207</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26,249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gain - net of tax</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4"/>
                <w:szCs w:val="14"/>
                <w:color w:val="auto"/>
              </w:rPr>
              <w:t>(35,902 )</w:t>
            </w:r>
          </w:p>
        </w:tc>
        <w:tc>
          <w:tcPr>
            <w:tcW w:w="2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(35,902 )</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Balance--April 30, 2023</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39,591,203</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31"/>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607,971</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w:t>
            </w:r>
          </w:p>
        </w:tc>
        <w:tc>
          <w:tcPr>
            <w:tcW w:w="280" w:type="dxa"/>
            <w:vAlign w:val="bottom"/>
            <w:tcBorders>
              <w:bottom w:val="single" w:sz="8" w:color="CFF0FC"/>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(1,416</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606,191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3754755" cy="1019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54755" cy="10198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Balance--January 31, 2022</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Issuance of shares through employee equity plans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Issuance of shares through employee stock purchase plan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Stock-based compensation expense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Balance--April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1"/>
              <w:spacing w:after="0"/>
              <w:rPr>
                <w:sz w:val="20"/>
                <w:szCs w:val="20"/>
                <w:color w:val="auto"/>
              </w:rPr>
            </w:pPr>
            <w:r>
              <w:rPr>
                <w:rFonts w:ascii="Arial" w:cs="Arial" w:eastAsia="Arial" w:hAnsi="Arial"/>
                <w:sz w:val="13"/>
                <w:szCs w:val="13"/>
                <w:b w:val="1"/>
                <w:bCs w:val="1"/>
                <w:color w:val="auto"/>
                <w:w w:val="88"/>
              </w:rPr>
              <w:t>Accumulated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80" w:type="dxa"/>
            <w:vAlign w:val="bottom"/>
            <w:gridSpan w:val="3"/>
          </w:tcPr>
          <w:p>
            <w:pPr>
              <w:jc w:val="right"/>
              <w:ind w:right="431"/>
              <w:spacing w:after="0"/>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Arial" w:cs="Arial" w:eastAsia="Arial" w:hAnsi="Arial"/>
                <w:sz w:val="13"/>
                <w:szCs w:val="13"/>
                <w:b w:val="1"/>
                <w:bCs w:val="1"/>
                <w:color w:val="auto"/>
                <w:w w:val="94"/>
              </w:rPr>
              <w:t>Additional</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11"/>
              <w:spacing w:after="0"/>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87"/>
              </w:rPr>
              <w:t>Retained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880" w:type="dxa"/>
            <w:vAlign w:val="bottom"/>
            <w:gridSpan w:val="3"/>
            <w:vMerge w:val="restart"/>
          </w:tcPr>
          <w:p>
            <w:pPr>
              <w:jc w:val="right"/>
              <w:ind w:right="331"/>
              <w:spacing w:after="0"/>
              <w:rPr>
                <w:sz w:val="20"/>
                <w:szCs w:val="20"/>
                <w:color w:val="auto"/>
              </w:rPr>
            </w:pPr>
            <w:r>
              <w:rPr>
                <w:rFonts w:ascii="Arial" w:cs="Arial" w:eastAsia="Arial" w:hAnsi="Arial"/>
                <w:sz w:val="13"/>
                <w:szCs w:val="13"/>
                <w:b w:val="1"/>
                <w:bCs w:val="1"/>
                <w:color w:val="auto"/>
              </w:rPr>
              <w:t>Ordinary Shares</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91"/>
              <w:spacing w:after="0"/>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3"/>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jc w:val="right"/>
              <w:ind w:right="211"/>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1"/>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1"/>
              <w:spacing w:after="0"/>
              <w:rPr>
                <w:sz w:val="20"/>
                <w:szCs w:val="20"/>
                <w:color w:val="auto"/>
              </w:rPr>
            </w:pPr>
            <w:r>
              <w:rPr>
                <w:rFonts w:ascii="Arial" w:cs="Arial" w:eastAsia="Arial" w:hAnsi="Arial"/>
                <w:sz w:val="13"/>
                <w:szCs w:val="13"/>
                <w:b w:val="1"/>
                <w:bCs w:val="1"/>
                <w:color w:val="auto"/>
                <w:w w:val="78"/>
              </w:rPr>
              <w:t>Loss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37,302,818</w:t>
            </w:r>
          </w:p>
        </w:tc>
        <w:tc>
          <w:tcPr>
            <w:tcW w:w="280" w:type="dxa"/>
            <w:vAlign w:val="bottom"/>
          </w:tcPr>
          <w:p>
            <w:pPr>
              <w:spacing w:after="0"/>
              <w:rPr>
                <w:sz w:val="14"/>
                <w:szCs w:val="14"/>
                <w:color w:val="auto"/>
              </w:rPr>
            </w:pPr>
          </w:p>
        </w:tc>
        <w:tc>
          <w:tcPr>
            <w:tcW w:w="6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447,287</w:t>
            </w:r>
          </w:p>
        </w:tc>
        <w:tc>
          <w:tcPr>
            <w:tcW w:w="2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99,872</w:t>
            </w:r>
          </w:p>
        </w:tc>
        <w:tc>
          <w:tcPr>
            <w:tcW w:w="26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547,176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Arial" w:cs="Arial" w:eastAsia="Arial" w:hAnsi="Arial"/>
                <w:sz w:val="14"/>
                <w:szCs w:val="14"/>
                <w:color w:val="auto"/>
              </w:rPr>
              <w:t>736,516</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8,589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rPr>
                <w:sz w:val="20"/>
                <w:szCs w:val="20"/>
                <w:color w:val="auto"/>
              </w:rPr>
            </w:pPr>
            <w:r>
              <w:rPr>
                <w:rFonts w:ascii="Arial" w:cs="Arial" w:eastAsia="Arial" w:hAnsi="Arial"/>
                <w:sz w:val="14"/>
                <w:szCs w:val="14"/>
                <w:color w:val="auto"/>
              </w:rPr>
              <w:t>43,545</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26,155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(10,822 )</w:t>
            </w: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(10,822 )</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38,082,879</w:t>
            </w:r>
          </w:p>
        </w:tc>
        <w:tc>
          <w:tcPr>
            <w:tcW w:w="2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485,281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89,050</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574,348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-591185</wp:posOffset>
            </wp:positionV>
            <wp:extent cx="7132320" cy="111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-367665</wp:posOffset>
            </wp:positionV>
            <wp:extent cx="7132320" cy="111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-136525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40"/>
          </w:cols>
          <w:pgMar w:left="320" w:top="121"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w w:val="96"/>
              </w:rPr>
              <w:t>(35,902 )</w:t>
            </w:r>
          </w:p>
        </w:tc>
        <w:tc>
          <w:tcPr>
            <w:tcW w:w="960" w:type="dxa"/>
            <w:vAlign w:val="bottom"/>
          </w:tcPr>
          <w:p>
            <w:pPr>
              <w:jc w:val="right"/>
              <w:ind w:right="777"/>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6"/>
              </w:rPr>
              <w:t>(10,822 )</w:t>
            </w: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5,824</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4,608</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Amortization (accretion) of premium (discount) on marketable debt securities, net</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(369 )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27,265</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27,041</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income taxes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846</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1,370</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Other non-cash items,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22,162</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16,299</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Inventories</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(737 )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3,696</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960" w:type="dxa"/>
            <w:vAlign w:val="bottom"/>
          </w:tcPr>
          <w:p>
            <w:pPr>
              <w:spacing w:after="0"/>
              <w:rPr>
                <w:sz w:val="19"/>
                <w:szCs w:val="19"/>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rPr>
              <w:t>(810 )</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(2,731 )</w:t>
            </w: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Other non-current assets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w:t>
            </w:r>
          </w:p>
        </w:tc>
        <w:tc>
          <w:tcPr>
            <w:tcW w:w="140" w:type="dxa"/>
            <w:vAlign w:val="bottom"/>
            <w:shd w:val="clear" w:color="auto" w:fill="CFF0FC"/>
          </w:tcPr>
          <w:p>
            <w:pPr>
              <w:spacing w:after="0"/>
              <w:rPr>
                <w:sz w:val="20"/>
                <w:szCs w:val="20"/>
                <w:color w:val="auto"/>
              </w:rPr>
            </w:pP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7,780</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(2,865 )</w:t>
            </w: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and other current liabilities</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(2,613 )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(2,515 )</w:t>
            </w: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Income taxes payable</w:t>
            </w:r>
          </w:p>
        </w:tc>
        <w:tc>
          <w:tcPr>
            <w:tcW w:w="960" w:type="dxa"/>
            <w:vAlign w:val="bottom"/>
          </w:tcPr>
          <w:p>
            <w:pPr>
              <w:spacing w:after="0"/>
              <w:rPr>
                <w:sz w:val="19"/>
                <w:szCs w:val="19"/>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rPr>
              <w:t>(493 )</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236</w:t>
            </w:r>
          </w:p>
        </w:tc>
        <w:tc>
          <w:tcPr>
            <w:tcW w:w="140" w:type="dxa"/>
            <w:vAlign w:val="bottom"/>
          </w:tcPr>
          <w:p>
            <w:pPr>
              <w:spacing w:after="0"/>
              <w:rPr>
                <w:sz w:val="19"/>
                <w:szCs w:val="19"/>
                <w:color w:val="auto"/>
              </w:rPr>
            </w:pPr>
          </w:p>
        </w:tc>
      </w:tr>
      <w:tr>
        <w:trPr>
          <w:trHeight w:val="236"/>
        </w:trPr>
        <w:tc>
          <w:tcPr>
            <w:tcW w:w="764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Deferred revenue</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(152 )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(450 )</w:t>
            </w:r>
          </w:p>
        </w:tc>
      </w:tr>
      <w:tr>
        <w:trPr>
          <w:trHeight w:val="223"/>
        </w:trPr>
        <w:tc>
          <w:tcPr>
            <w:tcW w:w="764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960" w:type="dxa"/>
            <w:vAlign w:val="bottom"/>
          </w:tcPr>
          <w:p>
            <w:pPr>
              <w:spacing w:after="0"/>
              <w:rPr>
                <w:sz w:val="19"/>
                <w:szCs w:val="19"/>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rPr>
              <w:t>(968 )</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(1,069 )</w:t>
            </w:r>
          </w:p>
        </w:tc>
      </w:tr>
      <w:tr>
        <w:trPr>
          <w:trHeight w:val="234"/>
        </w:trPr>
        <w:tc>
          <w:tcPr>
            <w:tcW w:w="7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Other long-term liabilities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640" w:type="dxa"/>
            <w:vAlign w:val="bottom"/>
          </w:tcPr>
          <w:p>
            <w:pPr>
              <w:ind w:left="560"/>
              <w:spacing w:after="0"/>
              <w:rPr>
                <w:sz w:val="20"/>
                <w:szCs w:val="20"/>
                <w:color w:val="auto"/>
              </w:rPr>
            </w:pPr>
            <w:r>
              <w:rPr>
                <w:rFonts w:ascii="Arial" w:cs="Arial" w:eastAsia="Arial" w:hAnsi="Arial"/>
                <w:sz w:val="17"/>
                <w:szCs w:val="17"/>
                <w:color w:val="auto"/>
              </w:rPr>
              <w:t>Net cash provided by operating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22,025</w:t>
            </w:r>
          </w:p>
        </w:tc>
        <w:tc>
          <w:tcPr>
            <w:tcW w:w="3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33,560</w:t>
            </w:r>
          </w:p>
        </w:tc>
        <w:tc>
          <w:tcPr>
            <w:tcW w:w="140" w:type="dxa"/>
            <w:vAlign w:val="bottom"/>
          </w:tcPr>
          <w:p>
            <w:pPr>
              <w:spacing w:after="0"/>
              <w:rPr>
                <w:sz w:val="19"/>
                <w:szCs w:val="19"/>
                <w:color w:val="auto"/>
              </w:rPr>
            </w:pPr>
          </w:p>
        </w:tc>
      </w:tr>
      <w:tr>
        <w:trPr>
          <w:trHeight w:val="225"/>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3"/>
        </w:trPr>
        <w:tc>
          <w:tcPr>
            <w:tcW w:w="7640" w:type="dxa"/>
            <w:vAlign w:val="bottom"/>
          </w:tcPr>
          <w:p>
            <w:pPr>
              <w:ind w:left="200"/>
              <w:spacing w:after="0"/>
              <w:rPr>
                <w:sz w:val="20"/>
                <w:szCs w:val="20"/>
                <w:color w:val="auto"/>
              </w:rPr>
            </w:pPr>
            <w:r>
              <w:rPr>
                <w:rFonts w:ascii="Arial" w:cs="Arial" w:eastAsia="Arial" w:hAnsi="Arial"/>
                <w:sz w:val="17"/>
                <w:szCs w:val="17"/>
                <w:color w:val="auto"/>
              </w:rPr>
              <w:t>Purchase of investments</w:t>
            </w:r>
          </w:p>
        </w:tc>
        <w:tc>
          <w:tcPr>
            <w:tcW w:w="960" w:type="dxa"/>
            <w:vAlign w:val="bottom"/>
          </w:tcPr>
          <w:p>
            <w:pPr>
              <w:spacing w:after="0"/>
              <w:rPr>
                <w:sz w:val="19"/>
                <w:szCs w:val="19"/>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w w:val="96"/>
              </w:rPr>
              <w:t>(19,790 )</w:t>
            </w:r>
          </w:p>
        </w:tc>
        <w:tc>
          <w:tcPr>
            <w:tcW w:w="960" w:type="dxa"/>
            <w:vAlign w:val="bottom"/>
          </w:tcPr>
          <w:p>
            <w:pPr>
              <w:spacing w:after="0"/>
              <w:rPr>
                <w:sz w:val="19"/>
                <w:szCs w:val="19"/>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Sales of investments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1,468</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r>
      <w:tr>
        <w:trPr>
          <w:trHeight w:val="261"/>
        </w:trPr>
        <w:tc>
          <w:tcPr>
            <w:tcW w:w="7640" w:type="dxa"/>
            <w:vAlign w:val="bottom"/>
          </w:tcPr>
          <w:p>
            <w:pPr>
              <w:ind w:left="200"/>
              <w:spacing w:after="0"/>
              <w:rPr>
                <w:sz w:val="20"/>
                <w:szCs w:val="20"/>
                <w:color w:val="auto"/>
              </w:rPr>
            </w:pPr>
            <w:r>
              <w:rPr>
                <w:rFonts w:ascii="Arial" w:cs="Arial" w:eastAsia="Arial" w:hAnsi="Arial"/>
                <w:sz w:val="17"/>
                <w:szCs w:val="17"/>
                <w:color w:val="auto"/>
              </w:rPr>
              <w:t>Maturities of investments</w:t>
            </w:r>
          </w:p>
        </w:tc>
        <w:tc>
          <w:tcPr>
            <w:tcW w:w="9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12,410</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r>
      <w:tr>
        <w:trPr>
          <w:trHeight w:val="238"/>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 of tangible and intangible assets</w:t>
            </w:r>
          </w:p>
        </w:tc>
        <w:tc>
          <w:tcPr>
            <w:tcW w:w="9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75"/>
              <w:spacing w:after="0"/>
              <w:rPr>
                <w:sz w:val="20"/>
                <w:szCs w:val="20"/>
                <w:color w:val="auto"/>
              </w:rPr>
            </w:pPr>
            <w:r>
              <w:rPr>
                <w:rFonts w:ascii="Arial" w:cs="Arial" w:eastAsia="Arial" w:hAnsi="Arial"/>
                <w:sz w:val="17"/>
                <w:szCs w:val="17"/>
                <w:color w:val="auto"/>
              </w:rPr>
              <w:t>(2,298 )</w:t>
            </w:r>
          </w:p>
        </w:tc>
        <w:tc>
          <w:tcPr>
            <w:tcW w:w="9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(4,701 )</w:t>
            </w:r>
          </w:p>
        </w:tc>
      </w:tr>
      <w:tr>
        <w:trPr>
          <w:trHeight w:val="228"/>
        </w:trPr>
        <w:tc>
          <w:tcPr>
            <w:tcW w:w="7640" w:type="dxa"/>
            <w:vAlign w:val="bottom"/>
          </w:tcPr>
          <w:p>
            <w:pPr>
              <w:ind w:left="200"/>
              <w:spacing w:after="0"/>
              <w:rPr>
                <w:sz w:val="20"/>
                <w:szCs w:val="20"/>
                <w:color w:val="auto"/>
              </w:rPr>
            </w:pPr>
            <w:r>
              <w:rPr>
                <w:rFonts w:ascii="Arial" w:cs="Arial" w:eastAsia="Arial" w:hAnsi="Arial"/>
                <w:sz w:val="17"/>
                <w:szCs w:val="17"/>
                <w:color w:val="auto"/>
              </w:rPr>
              <w:t>Escrow claim associated with business acquisition</w:t>
            </w:r>
          </w:p>
        </w:tc>
        <w:tc>
          <w:tcPr>
            <w:tcW w:w="960" w:type="dxa"/>
            <w:vAlign w:val="bottom"/>
          </w:tcPr>
          <w:p>
            <w:pPr>
              <w:spacing w:after="0"/>
              <w:rPr>
                <w:sz w:val="19"/>
                <w:szCs w:val="19"/>
                <w:color w:val="auto"/>
              </w:rPr>
            </w:pPr>
          </w:p>
        </w:tc>
        <w:tc>
          <w:tcPr>
            <w:tcW w:w="94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749</w:t>
            </w:r>
          </w:p>
        </w:tc>
        <w:tc>
          <w:tcPr>
            <w:tcW w:w="140" w:type="dxa"/>
            <w:vAlign w:val="bottom"/>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(8,210</w:t>
            </w:r>
          </w:p>
        </w:tc>
        <w:tc>
          <w:tcPr>
            <w:tcW w:w="340" w:type="dxa"/>
            <w:vAlign w:val="bottom"/>
            <w:tcBorders>
              <w:bottom w:val="single" w:sz="8" w:color="CFF0FC"/>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(3,952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4"/>
        </w:trPr>
        <w:tc>
          <w:tcPr>
            <w:tcW w:w="76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2,592</w:t>
            </w: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1,876</w:t>
            </w:r>
          </w:p>
        </w:tc>
        <w:tc>
          <w:tcPr>
            <w:tcW w:w="140" w:type="dxa"/>
            <w:vAlign w:val="bottom"/>
            <w:shd w:val="clear" w:color="auto" w:fill="CFF0FC"/>
          </w:tcPr>
          <w:p>
            <w:pPr>
              <w:spacing w:after="0"/>
              <w:rPr>
                <w:sz w:val="20"/>
                <w:szCs w:val="20"/>
                <w:color w:val="auto"/>
              </w:rPr>
            </w:pPr>
          </w:p>
        </w:tc>
      </w:tr>
      <w:tr>
        <w:trPr>
          <w:trHeight w:val="228"/>
        </w:trPr>
        <w:tc>
          <w:tcPr>
            <w:tcW w:w="7640" w:type="dxa"/>
            <w:vAlign w:val="bottom"/>
          </w:tcPr>
          <w:p>
            <w:pPr>
              <w:ind w:left="200"/>
              <w:spacing w:after="0"/>
              <w:rPr>
                <w:sz w:val="20"/>
                <w:szCs w:val="20"/>
                <w:color w:val="auto"/>
              </w:rPr>
            </w:pPr>
            <w:r>
              <w:rPr>
                <w:rFonts w:ascii="Arial" w:cs="Arial" w:eastAsia="Arial" w:hAnsi="Arial"/>
                <w:sz w:val="17"/>
                <w:szCs w:val="17"/>
                <w:color w:val="auto"/>
              </w:rPr>
              <w:t>Long-term financing payment for intangible assets</w:t>
            </w:r>
          </w:p>
        </w:tc>
        <w:tc>
          <w:tcPr>
            <w:tcW w:w="960" w:type="dxa"/>
            <w:vAlign w:val="bottom"/>
          </w:tcPr>
          <w:p>
            <w:pPr>
              <w:spacing w:after="0"/>
              <w:rPr>
                <w:sz w:val="19"/>
                <w:szCs w:val="19"/>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7"/>
                <w:szCs w:val="17"/>
                <w:color w:val="auto"/>
              </w:rPr>
              <w:t>(2,207 )</w:t>
            </w:r>
          </w:p>
        </w:tc>
        <w:tc>
          <w:tcPr>
            <w:tcW w:w="9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(1,888 )</w:t>
            </w:r>
          </w:p>
        </w:tc>
      </w:tr>
      <w:tr>
        <w:trPr>
          <w:trHeight w:val="223"/>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Net cash provided by (used in)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385</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14,200</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29,596</w:t>
            </w:r>
          </w:p>
        </w:tc>
        <w:tc>
          <w:tcPr>
            <w:tcW w:w="140" w:type="dxa"/>
            <w:vAlign w:val="bottom"/>
          </w:tcPr>
          <w:p>
            <w:pPr>
              <w:spacing w:after="0"/>
              <w:rPr>
                <w:sz w:val="18"/>
                <w:szCs w:val="18"/>
                <w:color w:val="auto"/>
              </w:rPr>
            </w:pPr>
          </w:p>
        </w:tc>
      </w:tr>
      <w:tr>
        <w:trPr>
          <w:trHeight w:val="234"/>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113,549</w:t>
            </w: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171,053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5"/>
        </w:trPr>
        <w:tc>
          <w:tcPr>
            <w:tcW w:w="76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127,749</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200,649</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7"/>
                <w:szCs w:val="17"/>
                <w:color w:val="auto"/>
              </w:rPr>
              <w:t>Cash paid for income taxes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disclosure of noncash investing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30"/>
        </w:trPr>
        <w:tc>
          <w:tcPr>
            <w:tcW w:w="7640" w:type="dxa"/>
            <w:vAlign w:val="bottom"/>
          </w:tcPr>
          <w:p>
            <w:pPr>
              <w:ind w:left="200"/>
              <w:spacing w:after="0"/>
              <w:rPr>
                <w:sz w:val="20"/>
                <w:szCs w:val="20"/>
                <w:color w:val="auto"/>
              </w:rPr>
            </w:pPr>
            <w:r>
              <w:rPr>
                <w:rFonts w:ascii="Arial" w:cs="Arial" w:eastAsia="Arial" w:hAnsi="Arial"/>
                <w:sz w:val="17"/>
                <w:szCs w:val="17"/>
                <w:color w:val="auto"/>
              </w:rPr>
              <w:t>Unpaid liabilities related to tangible and intangible assets purchases</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w:t>
            </w:r>
          </w:p>
        </w:tc>
        <w:tc>
          <w:tcPr>
            <w:tcW w:w="34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1,549</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-2931160</wp:posOffset>
            </wp:positionV>
            <wp:extent cx="8572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-2931160</wp:posOffset>
            </wp:positionV>
            <wp:extent cx="8572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-1713865</wp:posOffset>
            </wp:positionV>
            <wp:extent cx="857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-1713865</wp:posOffset>
            </wp:positionV>
            <wp:extent cx="8572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-1113790</wp:posOffset>
            </wp:positionV>
            <wp:extent cx="857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-1113790</wp:posOffset>
            </wp:positionV>
            <wp:extent cx="8572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-814070</wp:posOffset>
            </wp:positionV>
            <wp:extent cx="8572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-814070</wp:posOffset>
            </wp:positionV>
            <wp:extent cx="8572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20" w:right="6240" w:hanging="512"/>
        <w:spacing w:after="0" w:line="377" w:lineRule="auto"/>
        <w:tabs>
          <w:tab w:leader="none" w:pos="1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1"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2023 fiscal year filed with the SEC on March 31, 2023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20" w:firstLine="509"/>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2023.</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00" w:firstLine="509"/>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ind w:right="140" w:firstLine="554"/>
        <w:spacing w:after="0" w:line="255" w:lineRule="auto"/>
        <w:rPr>
          <w:sz w:val="20"/>
          <w:szCs w:val="20"/>
          <w:color w:val="auto"/>
        </w:rPr>
      </w:pPr>
      <w:r>
        <w:rPr>
          <w:rFonts w:ascii="Arial" w:cs="Arial" w:eastAsia="Arial" w:hAnsi="Arial"/>
          <w:sz w:val="18"/>
          <w:szCs w:val="18"/>
          <w:color w:val="auto"/>
        </w:rPr>
        <w:t>A substantial portion of the Company’s revenue is derived from sales through its two major distributors, WT Microelectronics Co., Ltd., formerly Wintech Microelectronics Co., Ltd., or WT, which serves as its non-exclusive sales representative in Asia other than Japan, and Hakuto Co., Ltd., or Hakuto, a Japan distributor, and directly to one ODM customer, Chicony Electronics Co., Ltd., or Chicony, and directly to one OEM customer, Motorola Solutions Inc., or Motorola.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92"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commercial paper, corporate bonds, asset-backed securities and U.S. government securities which management assesses to be highly liquid. The Company does not hold or issue financial instruments for trading purposes.</w:t>
      </w:r>
    </w:p>
    <w:p>
      <w:pPr>
        <w:spacing w:after="0" w:line="178"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April 30, 2023 and January 31, 2023,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211"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40"/>
              <w:spacing w:after="0" w:line="133" w:lineRule="exact"/>
              <w:rPr>
                <w:sz w:val="20"/>
                <w:szCs w:val="20"/>
                <w:color w:val="auto"/>
              </w:rPr>
            </w:pPr>
            <w:r>
              <w:rPr>
                <w:rFonts w:ascii="Arial" w:cs="Arial" w:eastAsia="Arial" w:hAnsi="Arial"/>
                <w:sz w:val="14"/>
                <w:szCs w:val="14"/>
                <w:b w:val="1"/>
                <w:bCs w:val="1"/>
                <w:color w:val="auto"/>
                <w:w w:val="95"/>
              </w:rPr>
              <w:t>January 31,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5"/>
              </w:rPr>
              <w:t>January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127,741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113,541</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200,639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171,043</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as presented in the condensed</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127,749</w:t>
            </w:r>
          </w:p>
        </w:tc>
        <w:tc>
          <w:tcPr>
            <w:tcW w:w="24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113,549</w:t>
            </w:r>
          </w:p>
        </w:tc>
        <w:tc>
          <w:tcPr>
            <w:tcW w:w="240" w:type="dxa"/>
            <w:vAlign w:val="bottom"/>
            <w:vMerge w:val="restart"/>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200,649</w:t>
            </w:r>
          </w:p>
        </w:tc>
        <w:tc>
          <w:tcPr>
            <w:tcW w:w="24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consolidated statements of cash flows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vMerge w:val="continue"/>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266573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65730" cy="1968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firstLine="554"/>
        <w:spacing w:after="0" w:line="286" w:lineRule="auto"/>
        <w:rPr>
          <w:sz w:val="20"/>
          <w:szCs w:val="20"/>
          <w:color w:val="auto"/>
        </w:rPr>
      </w:pPr>
      <w:r>
        <w:rPr>
          <w:rFonts w:ascii="Arial" w:cs="Arial" w:eastAsia="Arial" w:hAnsi="Arial"/>
          <w:sz w:val="17"/>
          <w:szCs w:val="17"/>
          <w:color w:val="auto"/>
        </w:rPr>
        <w:t>The Company invests a portion of its cash in money market funds and debt securities that are denominated in United States dollars. The debt security investment portfolio consists of commercial paper, corporate bonds, asset-backed securities and U.S. government securities. All of the investments are classified as available-for-sale securities and reported at fair value in the condensed consolidated balance sheets as follows: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14"/>
                <w:szCs w:val="14"/>
                <w:b w:val="1"/>
                <w:bCs w:val="1"/>
                <w:color w:val="auto"/>
              </w:rPr>
              <w:t>As of April 30, 2023</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98"/>
              <w:spacing w:after="0" w:line="160"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1"/>
              <w:spacing w:after="0" w:line="160"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3"/>
                <w:szCs w:val="13"/>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(211 )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18,678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(149 )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(184 )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102,685</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(544 )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4"/>
                <w:szCs w:val="14"/>
                <w:b w:val="1"/>
                <w:bCs w:val="1"/>
                <w:color w:val="auto"/>
              </w:rPr>
              <w:t>As of January 31, 2023</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61"/>
              <w:spacing w:after="0" w:line="133"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1"/>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18,333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23,472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7"/>
                <w:szCs w:val="17"/>
                <w:color w:val="auto"/>
              </w:rPr>
              <w:t>(224 )</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18,753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1"/>
              <w:spacing w:after="0"/>
              <w:rPr>
                <w:sz w:val="20"/>
                <w:szCs w:val="20"/>
                <w:color w:val="auto"/>
              </w:rPr>
            </w:pPr>
            <w:r>
              <w:rPr>
                <w:rFonts w:ascii="Arial" w:cs="Arial" w:eastAsia="Arial" w:hAnsi="Arial"/>
                <w:sz w:val="17"/>
                <w:szCs w:val="17"/>
                <w:color w:val="auto"/>
              </w:rPr>
              <w:t>(149 )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33,256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7"/>
                <w:szCs w:val="17"/>
                <w:color w:val="auto"/>
              </w:rPr>
              <w:t>(235 )</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101,686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-1739900</wp:posOffset>
            </wp:positionV>
            <wp:extent cx="85725" cy="342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-1739900</wp:posOffset>
            </wp:positionV>
            <wp:extent cx="7747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-1739900</wp:posOffset>
            </wp:positionV>
            <wp:extent cx="76835" cy="342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-1739900</wp:posOffset>
            </wp:positionV>
            <wp:extent cx="77470" cy="942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94297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30, 2023, there were no debt securities with unrealized losses for more than twelve months.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7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100" w:type="dxa"/>
            <w:vAlign w:val="bottom"/>
            <w:shd w:val="clear" w:color="auto" w:fill="CFF0FC"/>
          </w:tcPr>
          <w:p>
            <w:pPr>
              <w:spacing w:after="0"/>
              <w:rPr>
                <w:sz w:val="23"/>
                <w:szCs w:val="23"/>
                <w:color w:val="auto"/>
              </w:rPr>
            </w:pPr>
          </w:p>
        </w:tc>
      </w:tr>
      <w:tr>
        <w:trPr>
          <w:trHeight w:val="256"/>
        </w:trPr>
        <w:tc>
          <w:tcPr>
            <w:tcW w:w="4820" w:type="dxa"/>
            <w:vAlign w:val="bottom"/>
          </w:tcPr>
          <w:p>
            <w:pPr>
              <w:spacing w:after="0"/>
              <w:rPr>
                <w:sz w:val="20"/>
                <w:szCs w:val="20"/>
                <w:color w:val="auto"/>
              </w:rPr>
            </w:pPr>
            <w:r>
              <w:rPr>
                <w:rFonts w:ascii="Arial" w:cs="Arial" w:eastAsia="Arial" w:hAnsi="Arial"/>
                <w:sz w:val="18"/>
                <w:szCs w:val="18"/>
                <w:color w:val="auto"/>
              </w:rPr>
              <w:t>Included in marketable debt securities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99,647</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93,322</w:t>
            </w:r>
          </w:p>
        </w:tc>
        <w:tc>
          <w:tcPr>
            <w:tcW w:w="100" w:type="dxa"/>
            <w:vAlign w:val="bottom"/>
          </w:tcPr>
          <w:p>
            <w:pPr>
              <w:spacing w:after="0"/>
              <w:rPr>
                <w:sz w:val="22"/>
                <w:szCs w:val="22"/>
                <w:color w:val="auto"/>
              </w:rPr>
            </w:pP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April 30, 2023 and January 31, 2023 were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7"/>
                <w:szCs w:val="17"/>
                <w:color w:val="auto"/>
              </w:rPr>
            </w:pPr>
          </w:p>
        </w:tc>
      </w:tr>
      <w:tr>
        <w:trPr>
          <w:trHeight w:val="237"/>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r>
      <w:tr>
        <w:trPr>
          <w:trHeight w:val="27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48,016</w:t>
            </w:r>
          </w:p>
        </w:tc>
        <w:tc>
          <w:tcPr>
            <w:tcW w:w="100" w:type="dxa"/>
            <w:vAlign w:val="bottom"/>
            <w:shd w:val="clear" w:color="auto" w:fill="CFF0FC"/>
          </w:tcPr>
          <w:p>
            <w:pPr>
              <w:spacing w:after="0"/>
              <w:rPr>
                <w:sz w:val="23"/>
                <w:szCs w:val="23"/>
                <w:color w:val="auto"/>
              </w:rPr>
            </w:pPr>
          </w:p>
        </w:tc>
      </w:tr>
      <w:tr>
        <w:trPr>
          <w:trHeight w:val="263"/>
        </w:trPr>
        <w:tc>
          <w:tcPr>
            <w:tcW w:w="4820" w:type="dxa"/>
            <w:vAlign w:val="bottom"/>
          </w:tcPr>
          <w:p>
            <w:pPr>
              <w:spacing w:after="0"/>
              <w:rPr>
                <w:sz w:val="20"/>
                <w:szCs w:val="20"/>
                <w:color w:val="auto"/>
              </w:rPr>
            </w:pPr>
            <w:r>
              <w:rPr>
                <w:rFonts w:ascii="Arial" w:cs="Arial" w:eastAsia="Arial" w:hAnsi="Arial"/>
                <w:sz w:val="18"/>
                <w:szCs w:val="18"/>
                <w:color w:val="auto"/>
              </w:rPr>
              <w:t>Due in 1 - 5 years</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65,696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52,414</w:t>
            </w:r>
          </w:p>
        </w:tc>
        <w:tc>
          <w:tcPr>
            <w:tcW w:w="100" w:type="dxa"/>
            <w:vAlign w:val="bottom"/>
          </w:tcPr>
          <w:p>
            <w:pPr>
              <w:spacing w:after="0"/>
              <w:rPr>
                <w:sz w:val="22"/>
                <w:szCs w:val="22"/>
                <w:color w:val="auto"/>
              </w:rPr>
            </w:pPr>
          </w:p>
        </w:tc>
      </w:tr>
      <w:tr>
        <w:trPr>
          <w:trHeight w:val="26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5 - 7 years</w:t>
            </w:r>
          </w:p>
        </w:tc>
        <w:tc>
          <w:tcPr>
            <w:tcW w:w="18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6"/>
        </w:trPr>
        <w:tc>
          <w:tcPr>
            <w:tcW w:w="482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102,303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101,194</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6858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months ended April 30, 2023, and 2022, respectively.</w:t>
      </w:r>
    </w:p>
    <w:p>
      <w:pPr>
        <w:spacing w:after="0" w:line="16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Interest income, including amortization of premiums and accretion of discounts related to the investments, as well as realized gains and losses from sales of the investments are recorded in other income, net, in the condensed consolidated statements of operations. For the three months ended April 30, 2023, interest income and realized gains and losses, net, was approximately $1.0 million.</w:t>
      </w:r>
    </w:p>
    <w:p>
      <w:pPr>
        <w:sectPr>
          <w:pgSz w:w="11900" w:h="16838" w:orient="portrait"/>
          <w:cols w:equalWidth="0" w:num="1">
            <w:col w:w="11180"/>
          </w:cols>
          <w:pgMar w:left="320" w:top="121" w:right="399" w:bottom="1440" w:gutter="0" w:footer="0" w:header="0"/>
        </w:sectPr>
      </w:pP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0" w:name="page11"/>
    <w:bookmarkEnd w:id="10"/>
    <w:p>
      <w:pPr>
        <w:jc w:val="both"/>
        <w:ind w:right="220" w:firstLine="509"/>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240" w:firstLine="509"/>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April 30, 2023 and January 31, 2023, respectively:</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As of April 30, 2023</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18,560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102,303</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100,642</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As of January 31, 2023</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49"/>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cash equivalents and marketable debt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101,194</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7,872</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93,322</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-1704975</wp:posOffset>
            </wp:positionV>
            <wp:extent cx="85725"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-1704975</wp:posOffset>
            </wp:positionV>
            <wp:extent cx="77470"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-1704975</wp:posOffset>
            </wp:positionV>
            <wp:extent cx="76835"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-1704975</wp:posOffset>
            </wp:positionV>
            <wp:extent cx="77470" cy="746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74612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at April 30, 2023 and January 31, 2023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April 30, 2023</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January 31, 2023</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69"/>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1700" w:type="dxa"/>
            <w:vAlign w:val="bottom"/>
            <w:gridSpan w:val="3"/>
          </w:tcPr>
          <w:p>
            <w:pPr>
              <w:jc w:val="right"/>
              <w:ind w:right="1055"/>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2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Finished goods</w:t>
            </w:r>
          </w:p>
        </w:tc>
        <w:tc>
          <w:tcPr>
            <w:tcW w:w="2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2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40,486</w:t>
            </w:r>
          </w:p>
        </w:tc>
        <w:tc>
          <w:tcPr>
            <w:tcW w:w="10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9"/>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-513715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-496570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-513715</wp:posOffset>
            </wp:positionV>
            <wp:extent cx="59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-496570</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Depreciation expense was approximately $1.1 million and $0.9 million for the three months ended April 30, 2023 and 2022, respectively. Property and equipment at April 30, 2023 and January 31, 2023 consisted of the following:</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April 30, 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7"/>
                <w:szCs w:val="17"/>
                <w:color w:val="auto"/>
              </w:rPr>
            </w:pPr>
          </w:p>
        </w:tc>
      </w:tr>
      <w:tr>
        <w:trPr>
          <w:trHeight w:val="169"/>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1600" w:type="dxa"/>
            <w:vAlign w:val="bottom"/>
            <w:gridSpan w:val="3"/>
          </w:tcPr>
          <w:p>
            <w:pPr>
              <w:jc w:val="center"/>
              <w:ind w:right="952"/>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20,733</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Tools and equipment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0"/>
                <w:szCs w:val="20"/>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34,780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(23,501 )</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(22,363 )</w:t>
            </w:r>
          </w:p>
        </w:tc>
      </w:tr>
      <w:tr>
        <w:trPr>
          <w:trHeight w:val="237"/>
        </w:trPr>
        <w:tc>
          <w:tcPr>
            <w:tcW w:w="48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11,279</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tcBorders>
              <w:top w:val="single" w:sz="8" w:color="CFF0FC"/>
            </w:tcBorders>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-505460</wp:posOffset>
            </wp:positionV>
            <wp:extent cx="6032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-505460</wp:posOffset>
            </wp:positionV>
            <wp:extent cx="5969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603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in a business combination.</w:t>
      </w:r>
    </w:p>
    <w:p>
      <w:pPr>
        <w:spacing w:after="0" w:line="6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Intangible assets primarily consist of software licenses as well as developed technology, customer relationships and trade name that were acquired from business combinations.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enters into certain software license agreements with third parties from time-to-time. The software licenses consist of noncancelable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on-premise internal-use software and software with alternative use that is to be sold, leased or otherwise marketed as part of a product. The licenses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capitalized as intangible assets, and the corresponding future payments have been recorded as liabilities at net present value. As of April 30,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was recorded in accrued and other current liabilities and $8.4 million was recorded in other long-term liabilities in the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intangible assets as of April 30, 2023 and January 31, 2023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As of April 30, 2023</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1"/>
              </w:rPr>
              <w:t>As of January 31, 2023</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6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8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(8,835 )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(6,319 )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(4,689 )</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(3,932 )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(2,200 )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(1,833 )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(536 )</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(447 )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9"/>
              </w:rPr>
              <w:t>Total intangible assets,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71,795</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The amortization expense associated with software licenses was approximately $2.6 million and $1.6 million for the three months ended April 30, 2023 and 2022, respectively. The amortization expense associated with acquisition-related intangible assets, including developed technology, customer relationships and trade name, was approximately $1.2 million and $1.2 million for the three months ended April 30, 2023 and 2022, respectively. The expected future amortization expense related to these intangible assets as of April 30, 2023 is as follows:</w:t>
      </w: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35"/>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April 30, 2023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42"/>
        </w:trPr>
        <w:tc>
          <w:tcPr>
            <w:tcW w:w="1140" w:type="dxa"/>
            <w:vAlign w:val="bottom"/>
          </w:tcPr>
          <w:p>
            <w:pPr>
              <w:spacing w:after="0"/>
              <w:rPr>
                <w:sz w:val="12"/>
                <w:szCs w:val="12"/>
                <w:color w:val="auto"/>
              </w:rPr>
            </w:pPr>
          </w:p>
        </w:tc>
        <w:tc>
          <w:tcPr>
            <w:tcW w:w="3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w:t>
            </w: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7"/>
        </w:trPr>
        <w:tc>
          <w:tcPr>
            <w:tcW w:w="1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140" w:type="dxa"/>
            <w:vAlign w:val="bottom"/>
            <w:tcBorders>
              <w:right w:val="single" w:sz="8" w:color="CFF0FC"/>
            </w:tcBorders>
          </w:tcPr>
          <w:p>
            <w:pPr>
              <w:spacing w:after="0"/>
              <w:rPr>
                <w:sz w:val="21"/>
                <w:szCs w:val="21"/>
                <w:color w:val="auto"/>
              </w:rPr>
            </w:pPr>
          </w:p>
        </w:tc>
        <w:tc>
          <w:tcPr>
            <w:tcW w:w="3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2024 (9 months remaining)</w:t>
            </w:r>
          </w:p>
        </w:tc>
        <w:tc>
          <w:tcPr>
            <w:tcW w:w="3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10,401</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2025</w:t>
            </w:r>
          </w:p>
        </w:tc>
        <w:tc>
          <w:tcPr>
            <w:tcW w:w="29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Borders>
              <w:right w:val="single" w:sz="8" w:color="CFF0FC"/>
            </w:tcBorders>
          </w:tcPr>
          <w:p>
            <w:pPr>
              <w:spacing w:after="0"/>
              <w:rPr>
                <w:sz w:val="21"/>
                <w:szCs w:val="21"/>
                <w:color w:val="auto"/>
              </w:rPr>
            </w:pPr>
          </w:p>
        </w:tc>
        <w:tc>
          <w:tcPr>
            <w:tcW w:w="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296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10,118</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2027</w:t>
            </w:r>
          </w:p>
        </w:tc>
        <w:tc>
          <w:tcPr>
            <w:tcW w:w="29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Borders>
              <w:right w:val="single" w:sz="8" w:color="CFF0FC"/>
            </w:tcBorders>
          </w:tcPr>
          <w:p>
            <w:pPr>
              <w:spacing w:after="0"/>
              <w:rPr>
                <w:sz w:val="21"/>
                <w:szCs w:val="21"/>
                <w:color w:val="auto"/>
              </w:rPr>
            </w:pPr>
          </w:p>
        </w:tc>
        <w:tc>
          <w:tcPr>
            <w:tcW w:w="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2028</w:t>
            </w:r>
          </w:p>
        </w:tc>
        <w:tc>
          <w:tcPr>
            <w:tcW w:w="2960" w:type="dxa"/>
            <w:vAlign w:val="bottom"/>
            <w:shd w:val="clear" w:color="auto" w:fill="CFF0FC"/>
          </w:tcPr>
          <w:p>
            <w:pPr>
              <w:spacing w:after="0"/>
              <w:rPr>
                <w:sz w:val="21"/>
                <w:szCs w:val="21"/>
                <w:color w:val="auto"/>
              </w:rPr>
            </w:pPr>
          </w:p>
        </w:tc>
        <w:tc>
          <w:tcPr>
            <w:tcW w:w="3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3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Borders>
              <w:right w:val="single" w:sz="8" w:color="CFF0FC"/>
            </w:tcBorders>
          </w:tcPr>
          <w:p>
            <w:pPr>
              <w:spacing w:after="0"/>
              <w:rPr>
                <w:sz w:val="24"/>
                <w:szCs w:val="24"/>
                <w:color w:val="auto"/>
              </w:rPr>
            </w:pPr>
          </w:p>
        </w:tc>
        <w:tc>
          <w:tcPr>
            <w:tcW w:w="36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future amortization expenses:</w:t>
            </w:r>
          </w:p>
        </w:tc>
        <w:tc>
          <w:tcPr>
            <w:tcW w:w="36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55,535</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9"/>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80" w:type="dxa"/>
            <w:vAlign w:val="bottom"/>
          </w:tcPr>
          <w:p>
            <w:pPr>
              <w:jc w:val="right"/>
              <w:ind w:right="26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-513715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80" w:firstLine="509"/>
        <w:spacing w:after="0" w:line="263" w:lineRule="auto"/>
        <w:rPr>
          <w:sz w:val="20"/>
          <w:szCs w:val="20"/>
          <w:color w:val="auto"/>
        </w:rPr>
      </w:pPr>
      <w:r>
        <w:rPr>
          <w:rFonts w:ascii="Arial" w:cs="Arial" w:eastAsia="Arial" w:hAnsi="Arial"/>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months ended April 30, 2023 and 2022,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April 30, 2023 and January 31, 2023 consisted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7"/>
                <w:szCs w:val="17"/>
                <w:color w:val="auto"/>
              </w:rPr>
            </w:pPr>
          </w:p>
        </w:tc>
      </w:tr>
      <w:tr>
        <w:trPr>
          <w:trHeight w:val="169"/>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160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22,152</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Accrued product development costs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15,473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current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21"/>
                <w:szCs w:val="21"/>
                <w:color w:val="auto"/>
              </w:rPr>
            </w:pP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20" w:firstLine="450"/>
        <w:spacing w:after="0" w:line="263" w:lineRule="auto"/>
        <w:rPr>
          <w:sz w:val="20"/>
          <w:szCs w:val="20"/>
          <w:color w:val="auto"/>
        </w:rPr>
      </w:pPr>
      <w:r>
        <w:rPr>
          <w:rFonts w:ascii="Arial" w:cs="Arial" w:eastAsia="Arial" w:hAnsi="Arial"/>
          <w:sz w:val="18"/>
          <w:szCs w:val="18"/>
          <w:color w:val="auto"/>
        </w:rPr>
        <w:t>The timing of SoC development and payments to outside foundries resulted in the fluctuation of accrued product development costs. Approximately $5.6 million of annual bonus was paid in the first quarter of fiscal year 2024, of which $1.1 million was paid in cash and $4.5 million was settled with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right="40" w:firstLine="469"/>
        <w:spacing w:after="0" w:line="263" w:lineRule="auto"/>
        <w:rPr>
          <w:sz w:val="20"/>
          <w:szCs w:val="20"/>
          <w:color w:val="auto"/>
        </w:rPr>
      </w:pPr>
      <w:r>
        <w:rPr>
          <w:rFonts w:ascii="Arial" w:cs="Arial" w:eastAsia="Arial" w:hAnsi="Arial"/>
          <w:sz w:val="18"/>
          <w:szCs w:val="18"/>
          <w:color w:val="auto"/>
        </w:rPr>
        <w:t>The Company enters into various operating leases for its worldwide facilities. The operating lease expense was approximately $0.9 million and $0.9 million for the three months ended April 30, 2023 and 2022, respectively. The Company's short-term leases and finance leases were not material as of April 30, 2023 and January 31, 2023, respectively.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the operating leases is as follows: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220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r>
      <w:tr>
        <w:trPr>
          <w:trHeight w:val="169"/>
        </w:trPr>
        <w:tc>
          <w:tcPr>
            <w:tcW w:w="6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jc w:val="right"/>
              <w:ind w:right="36"/>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968</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21"/>
                <w:szCs w:val="21"/>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8"/>
                <w:szCs w:val="18"/>
                <w:color w:val="auto"/>
              </w:rPr>
              <w:t>Supplemental non-cash information related to lease liabilities arising from obtaining</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640" w:type="dxa"/>
            <w:vAlign w:val="bottom"/>
          </w:tcPr>
          <w:p>
            <w:pPr>
              <w:jc w:val="right"/>
              <w:ind w:right="45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r>
    </w:tbl>
    <w:p>
      <w:pPr>
        <w:spacing w:after="0" w:line="215"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As of April 30, 2023, the weighted average remaining lease term is 2.39 years, and the weighted average discount rate is 3.59 percent. Future minimum lease payments for the lease liabilities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4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April 30, 2023</w:t>
            </w:r>
          </w:p>
        </w:tc>
        <w:tc>
          <w:tcPr>
            <w:tcW w:w="1120" w:type="dxa"/>
            <w:vAlign w:val="bottom"/>
          </w:tcPr>
          <w:p>
            <w:pPr>
              <w:spacing w:after="0"/>
              <w:rPr>
                <w:sz w:val="16"/>
                <w:szCs w:val="16"/>
                <w:color w:val="auto"/>
              </w:rPr>
            </w:pPr>
          </w:p>
        </w:tc>
      </w:tr>
      <w:tr>
        <w:trPr>
          <w:trHeight w:val="142"/>
        </w:trPr>
        <w:tc>
          <w:tcPr>
            <w:tcW w:w="1140" w:type="dxa"/>
            <w:vAlign w:val="bottom"/>
          </w:tcPr>
          <w:p>
            <w:pPr>
              <w:spacing w:after="0"/>
              <w:rPr>
                <w:sz w:val="12"/>
                <w:szCs w:val="12"/>
                <w:color w:val="auto"/>
              </w:rPr>
            </w:pPr>
          </w:p>
        </w:tc>
        <w:tc>
          <w:tcPr>
            <w:tcW w:w="4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Fiscal Year</w:t>
            </w:r>
          </w:p>
        </w:tc>
        <w:tc>
          <w:tcPr>
            <w:tcW w:w="2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right"/>
              <w:ind w:right="835"/>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7"/>
        </w:trPr>
        <w:tc>
          <w:tcPr>
            <w:tcW w:w="1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140" w:type="dxa"/>
            <w:vAlign w:val="bottom"/>
            <w:tcBorders>
              <w:right w:val="single" w:sz="8" w:color="CFF0FC"/>
            </w:tcBorders>
          </w:tcPr>
          <w:p>
            <w:pPr>
              <w:spacing w:after="0"/>
              <w:rPr>
                <w:sz w:val="21"/>
                <w:szCs w:val="21"/>
                <w:color w:val="auto"/>
              </w:rPr>
            </w:pPr>
          </w:p>
        </w:tc>
        <w:tc>
          <w:tcPr>
            <w:tcW w:w="40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2024 (9 months remaining)</w:t>
            </w:r>
          </w:p>
        </w:tc>
        <w:tc>
          <w:tcPr>
            <w:tcW w:w="264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2025</w:t>
            </w:r>
          </w:p>
        </w:tc>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Borders>
              <w:right w:val="single" w:sz="8" w:color="CFF0FC"/>
            </w:tcBorders>
          </w:tcPr>
          <w:p>
            <w:pPr>
              <w:spacing w:after="0"/>
              <w:rPr>
                <w:sz w:val="21"/>
                <w:szCs w:val="21"/>
                <w:color w:val="auto"/>
              </w:rPr>
            </w:pPr>
          </w:p>
        </w:tc>
        <w:tc>
          <w:tcPr>
            <w:tcW w:w="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3320" w:type="dxa"/>
            <w:vAlign w:val="bottom"/>
            <w:shd w:val="clear" w:color="auto" w:fill="CFF0FC"/>
          </w:tcPr>
          <w:p>
            <w:pPr>
              <w:spacing w:after="0"/>
              <w:rPr>
                <w:sz w:val="21"/>
                <w:szCs w:val="21"/>
                <w:color w:val="auto"/>
              </w:rPr>
            </w:pPr>
          </w:p>
        </w:tc>
        <w:tc>
          <w:tcPr>
            <w:tcW w:w="2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2027</w:t>
            </w:r>
          </w:p>
        </w:tc>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Borders>
              <w:right w:val="single" w:sz="8" w:color="CFF0FC"/>
            </w:tcBorders>
          </w:tcPr>
          <w:p>
            <w:pPr>
              <w:spacing w:after="0"/>
              <w:rPr>
                <w:sz w:val="21"/>
                <w:szCs w:val="21"/>
                <w:color w:val="auto"/>
              </w:rPr>
            </w:pPr>
          </w:p>
        </w:tc>
        <w:tc>
          <w:tcPr>
            <w:tcW w:w="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2028</w:t>
            </w:r>
          </w:p>
        </w:tc>
        <w:tc>
          <w:tcPr>
            <w:tcW w:w="3320" w:type="dxa"/>
            <w:vAlign w:val="bottom"/>
            <w:shd w:val="clear" w:color="auto" w:fill="CFF0FC"/>
          </w:tcPr>
          <w:p>
            <w:pPr>
              <w:spacing w:after="0"/>
              <w:rPr>
                <w:sz w:val="21"/>
                <w:szCs w:val="21"/>
                <w:color w:val="auto"/>
              </w:rPr>
            </w:pPr>
          </w:p>
        </w:tc>
        <w:tc>
          <w:tcPr>
            <w:tcW w:w="2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2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37"/>
        </w:trPr>
        <w:tc>
          <w:tcPr>
            <w:tcW w:w="1140" w:type="dxa"/>
            <w:vAlign w:val="bottom"/>
            <w:tcBorders>
              <w:right w:val="single" w:sz="8" w:color="CFF0FC"/>
            </w:tcBorders>
          </w:tcPr>
          <w:p>
            <w:pPr>
              <w:spacing w:after="0"/>
              <w:rPr>
                <w:sz w:val="20"/>
                <w:szCs w:val="20"/>
                <w:color w:val="auto"/>
              </w:rPr>
            </w:pPr>
          </w:p>
        </w:tc>
        <w:tc>
          <w:tcPr>
            <w:tcW w:w="40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Total future annual minimum lease payments</w:t>
            </w:r>
          </w:p>
        </w:tc>
        <w:tc>
          <w:tcPr>
            <w:tcW w:w="214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8,011</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Less: interest</w:t>
            </w:r>
          </w:p>
        </w:tc>
        <w:tc>
          <w:tcPr>
            <w:tcW w:w="2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(281 )</w:t>
            </w:r>
          </w:p>
        </w:tc>
        <w:tc>
          <w:tcPr>
            <w:tcW w:w="1120" w:type="dxa"/>
            <w:vAlign w:val="bottom"/>
          </w:tcPr>
          <w:p>
            <w:pPr>
              <w:spacing w:after="0"/>
              <w:rPr>
                <w:sz w:val="22"/>
                <w:szCs w:val="22"/>
                <w:color w:val="auto"/>
              </w:rPr>
            </w:pPr>
          </w:p>
        </w:tc>
      </w:tr>
      <w:tr>
        <w:trPr>
          <w:trHeight w:val="277"/>
        </w:trPr>
        <w:tc>
          <w:tcPr>
            <w:tcW w:w="1140" w:type="dxa"/>
            <w:vAlign w:val="bottom"/>
            <w:tcBorders>
              <w:right w:val="single" w:sz="8" w:color="CFF0FC"/>
            </w:tcBorders>
          </w:tcPr>
          <w:p>
            <w:pPr>
              <w:spacing w:after="0"/>
              <w:rPr>
                <w:sz w:val="24"/>
                <w:szCs w:val="24"/>
                <w:color w:val="auto"/>
              </w:rPr>
            </w:pPr>
          </w:p>
        </w:tc>
        <w:tc>
          <w:tcPr>
            <w:tcW w:w="400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lease liabilities</w:t>
            </w:r>
          </w:p>
        </w:tc>
        <w:tc>
          <w:tcPr>
            <w:tcW w:w="21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844"/>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40" w:type="dxa"/>
            <w:vAlign w:val="bottom"/>
          </w:tcPr>
          <w:p>
            <w:pPr>
              <w:jc w:val="right"/>
              <w:ind w:right="147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-659130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-642620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April 30, 2023 and January 31, 2023 consisted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April 30, 2023</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7"/>
                <w:szCs w:val="17"/>
                <w:color w:val="auto"/>
              </w:rPr>
            </w:pPr>
          </w:p>
        </w:tc>
      </w:tr>
      <w:tr>
        <w:trPr>
          <w:trHeight w:val="169"/>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160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w w:val="71"/>
              </w:rPr>
              <w:t>thousands)</w:t>
            </w: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9,614</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left="520" w:right="9380" w:hanging="512"/>
        <w:spacing w:after="0" w:line="453" w:lineRule="auto"/>
        <w:tabs>
          <w:tab w:leader="none" w:pos="191"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the Company’s initial public offering, or IPO, a total of 20,000,000 preference shares, with a $0.00045 par value per share, were authorized.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preference shares issued and outstanding as of April 30, 2023 and January 31, 2023, respectively.</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of April 30, 2023 and January 31, 2023, the following ordinary shares were reserved for future issuance under the Company’s equity plans and employee stock purchase plan:</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7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7"/>
              </w:rPr>
              <w:t>As of</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700" w:type="dxa"/>
            <w:vAlign w:val="bottom"/>
            <w:gridSpan w:val="3"/>
          </w:tcPr>
          <w:p>
            <w:pPr>
              <w:ind w:left="260"/>
              <w:spacing w:after="0"/>
              <w:rPr>
                <w:sz w:val="20"/>
                <w:szCs w:val="20"/>
                <w:color w:val="auto"/>
              </w:rPr>
            </w:pPr>
            <w:r>
              <w:rPr>
                <w:rFonts w:ascii="Arial" w:cs="Arial" w:eastAsia="Arial" w:hAnsi="Arial"/>
                <w:sz w:val="14"/>
                <w:szCs w:val="14"/>
                <w:b w:val="1"/>
                <w:bCs w:val="1"/>
                <w:color w:val="auto"/>
              </w:rPr>
              <w:t>April 30, 2023</w:t>
            </w:r>
          </w:p>
        </w:tc>
        <w:tc>
          <w:tcPr>
            <w:tcW w:w="128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January 31, 2023</w:t>
            </w:r>
          </w:p>
        </w:tc>
        <w:tc>
          <w:tcPr>
            <w:tcW w:w="100" w:type="dxa"/>
            <w:vAlign w:val="bottom"/>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5,354,592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5,822,819</w:t>
            </w:r>
          </w:p>
        </w:tc>
        <w:tc>
          <w:tcPr>
            <w:tcW w:w="100" w:type="dxa"/>
            <w:vAlign w:val="bottom"/>
            <w:shd w:val="clear" w:color="auto" w:fill="CFF0FC"/>
          </w:tcPr>
          <w:p>
            <w:pPr>
              <w:spacing w:after="0"/>
              <w:rPr>
                <w:sz w:val="21"/>
                <w:szCs w:val="2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2,906,196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2,986,403</w:t>
            </w:r>
          </w:p>
        </w:tc>
        <w:tc>
          <w:tcPr>
            <w:tcW w:w="100" w:type="dxa"/>
            <w:vAlign w:val="bottom"/>
          </w:tcPr>
          <w:p>
            <w:pPr>
              <w:spacing w:after="0"/>
              <w:rPr>
                <w:sz w:val="20"/>
                <w:szCs w:val="20"/>
                <w:color w:val="auto"/>
              </w:rPr>
            </w:pPr>
          </w:p>
        </w:tc>
      </w:tr>
    </w:tbl>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On May 27, 2022, the Company</w:t>
      </w:r>
      <w:r>
        <w:rPr>
          <w:rFonts w:ascii="Arial" w:cs="Arial" w:eastAsia="Arial" w:hAnsi="Arial"/>
          <w:sz w:val="16"/>
          <w:szCs w:val="16"/>
          <w:color w:val="auto"/>
        </w:rPr>
        <w:t>’</w:t>
      </w:r>
      <w:r>
        <w:rPr>
          <w:rFonts w:ascii="Arial" w:cs="Arial" w:eastAsia="Arial" w:hAnsi="Arial"/>
          <w:sz w:val="18"/>
          <w:szCs w:val="18"/>
          <w:color w:val="auto"/>
        </w:rPr>
        <w:t>s Board of Directors approved an extension of the current share repurchase program for an additional twelve months ending June 30, 2023. There were no ordinary shares repurchased in the three months ended April 30, 2023. As of April 30, 2023, there was approximately $49.0 million available for repurchases under the current repurchase program through June 30, 2023.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9"/>
              </w:rPr>
              <w:t>Three Months Ended April 30,</w:t>
            </w:r>
          </w:p>
        </w:tc>
        <w:tc>
          <w:tcPr>
            <w:tcW w:w="10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1"/>
              </w:rPr>
              <w:t>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941</w:t>
            </w:r>
          </w:p>
        </w:tc>
        <w:tc>
          <w:tcPr>
            <w:tcW w:w="6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1"/>
                <w:szCs w:val="21"/>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27,265</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As of April 30, 2023, approximately $1.0 million of stock-based compensation expense was accrued in accrued and other current liabilities in the condensed consolidated balance sheets. Total unrecognized compensation cost related to unvested stock options at April 30, 2023 was $13.3 million and is expected to be recognized over a weighted-average period of 1.70 years. Total unrecognized compensation cost related to unvested restricted stock units at April 30, 2023 was $201.5 million and is expected to be recognized over a weighted-average period of 2.46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right="400" w:firstLine="509"/>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employee stock purchase plan awards for the periods indicated:</w:t>
      </w:r>
    </w:p>
    <w:p>
      <w:pPr>
        <w:spacing w:after="0" w:line="20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Three Months Ended April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89"/>
              </w:rPr>
              <w:t>2023</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 awards:</w:t>
            </w: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Volatility</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0"/>
                <w:szCs w:val="20"/>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4.73 %</w:t>
            </w:r>
          </w:p>
        </w:tc>
        <w:tc>
          <w:tcPr>
            <w:tcW w:w="100" w:type="dxa"/>
            <w:vAlign w:val="bottom"/>
          </w:tcPr>
          <w:p>
            <w:pPr>
              <w:spacing w:after="0"/>
              <w:rPr>
                <w:sz w:val="21"/>
                <w:szCs w:val="21"/>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8"/>
                <w:szCs w:val="18"/>
                <w:color w:val="auto"/>
              </w:rPr>
              <w:t>0.86 %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Expected term (years)</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6520" w:type="dxa"/>
            <w:vAlign w:val="bottom"/>
            <w:gridSpan w:val="6"/>
          </w:tcPr>
          <w:p>
            <w:pPr>
              <w:ind w:left="520"/>
              <w:spacing w:after="0"/>
              <w:rPr>
                <w:sz w:val="20"/>
                <w:szCs w:val="20"/>
                <w:color w:val="auto"/>
              </w:rPr>
            </w:pPr>
            <w:r>
              <w:rPr>
                <w:rFonts w:ascii="Arial" w:cs="Arial" w:eastAsia="Arial" w:hAnsi="Arial"/>
                <w:sz w:val="18"/>
                <w:szCs w:val="18"/>
                <w:color w:val="auto"/>
                <w:w w:val="96"/>
              </w:rPr>
              <w:t>The following table summarizes stock option activities for the period indicated:</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Option Outstanding</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Intrinsic</w:t>
            </w:r>
          </w:p>
        </w:tc>
        <w:tc>
          <w:tcPr>
            <w:tcW w:w="26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Value Of</w:t>
            </w:r>
          </w:p>
        </w:tc>
        <w:tc>
          <w:tcPr>
            <w:tcW w:w="26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95"/>
              </w:rPr>
              <w:t>Intrinsic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8"/>
              </w:rPr>
              <w:t>Grant-date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Exercised</w:t>
            </w:r>
          </w:p>
        </w:tc>
        <w:tc>
          <w:tcPr>
            <w:tcW w:w="260" w:type="dxa"/>
            <w:vAlign w:val="bottom"/>
          </w:tcPr>
          <w:p>
            <w:pPr>
              <w:spacing w:after="0"/>
              <w:rPr>
                <w:sz w:val="15"/>
                <w:szCs w:val="15"/>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5"/>
                <w:szCs w:val="15"/>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(in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(in</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84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6"/>
                <w:szCs w:val="16"/>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thousands)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at January 31, 2023</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484,791</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(28,334 )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1,758</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Outstanding at April 30,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455,809</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43.37</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4.20</w:t>
            </w: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17,106</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Exercisable at April 30, 2023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361,063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-2691130</wp:posOffset>
            </wp:positionV>
            <wp:extent cx="570928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-2382520</wp:posOffset>
            </wp:positionV>
            <wp:extent cx="570928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9285" cy="15430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-316865</wp:posOffset>
            </wp:positionV>
            <wp:extent cx="8572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8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28, 2023 was $61.98, as reported by The NASDAQ Global Market. The intrinsic value of exercised options is calculated based on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unit activities for the period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9"/>
              </w:rPr>
              <w:t>Grant-Date</w:t>
            </w:r>
          </w:p>
        </w:tc>
        <w:tc>
          <w:tcPr>
            <w:tcW w:w="100" w:type="dxa"/>
            <w:vAlign w:val="bottom"/>
          </w:tcPr>
          <w:p>
            <w:pPr>
              <w:spacing w:after="0"/>
              <w:rPr>
                <w:sz w:val="15"/>
                <w:szCs w:val="15"/>
                <w:color w:val="auto"/>
              </w:rPr>
            </w:pPr>
          </w:p>
        </w:tc>
      </w:tr>
      <w:tr>
        <w:trPr>
          <w:trHeight w:val="185"/>
        </w:trPr>
        <w:tc>
          <w:tcPr>
            <w:tcW w:w="524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Unvested at January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2,573,359</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86.81</w:t>
            </w:r>
          </w:p>
        </w:tc>
        <w:tc>
          <w:tcPr>
            <w:tcW w:w="100" w:type="dxa"/>
            <w:vAlign w:val="bottom"/>
            <w:shd w:val="clear" w:color="auto" w:fill="CFF0FC"/>
          </w:tcPr>
          <w:p>
            <w:pPr>
              <w:spacing w:after="0"/>
              <w:rPr>
                <w:sz w:val="20"/>
                <w:szCs w:val="20"/>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419,517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(439,662 )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(63,023 )</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Unvested at April 30,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2,490,191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1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2023, the aggregate intrinsic value of unvested restricted stock units was $154.3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April 30,</w:t>
            </w:r>
          </w:p>
        </w:tc>
      </w:tr>
      <w:tr>
        <w:trPr>
          <w:trHeight w:val="25"/>
        </w:trPr>
        <w:tc>
          <w:tcPr>
            <w:tcW w:w="6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9"/>
        </w:trPr>
        <w:tc>
          <w:tcPr>
            <w:tcW w:w="6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69"/>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(in thousands, except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4"/>
              </w:rPr>
              <w:t>share</w:t>
            </w:r>
          </w:p>
        </w:tc>
        <w:tc>
          <w:tcPr>
            <w:tcW w:w="16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w w:val="99"/>
              </w:rPr>
              <w:t>and per share data)</w:t>
            </w:r>
          </w:p>
        </w:tc>
        <w:tc>
          <w:tcPr>
            <w:tcW w:w="120" w:type="dxa"/>
            <w:vAlign w:val="bottom"/>
          </w:tcPr>
          <w:p>
            <w:pPr>
              <w:spacing w:after="0"/>
              <w:rPr>
                <w:sz w:val="14"/>
                <w:szCs w:val="14"/>
                <w:color w:val="auto"/>
              </w:rPr>
            </w:pPr>
          </w:p>
        </w:tc>
      </w:tr>
      <w:tr>
        <w:trPr>
          <w:trHeight w:val="243"/>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(35,902 )</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(10,822 )</w:t>
            </w:r>
          </w:p>
        </w:tc>
      </w:tr>
      <w:tr>
        <w:trPr>
          <w:trHeight w:val="20"/>
        </w:trPr>
        <w:tc>
          <w:tcPr>
            <w:tcW w:w="6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6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Weighted-average ordinary shares - basic</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39,340,791</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37,715,338</w:t>
            </w:r>
          </w:p>
        </w:tc>
        <w:tc>
          <w:tcPr>
            <w:tcW w:w="120" w:type="dxa"/>
            <w:vAlign w:val="bottom"/>
          </w:tcPr>
          <w:p>
            <w:pPr>
              <w:spacing w:after="0"/>
              <w:rPr>
                <w:sz w:val="21"/>
                <w:szCs w:val="21"/>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2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39,340,791</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37,715,338</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Net loss per ordinary share: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9"/>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(0.91 )</w:t>
            </w:r>
          </w:p>
        </w:tc>
        <w:tc>
          <w:tcPr>
            <w:tcW w:w="3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(0.29 )</w:t>
            </w: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64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 xml:space="preserve">(0.91 </w:t>
            </w:r>
            <w:r>
              <w:rPr>
                <w:rFonts w:ascii="Arial" w:cs="Arial" w:eastAsia="Arial" w:hAnsi="Arial"/>
                <w:sz w:val="18"/>
                <w:szCs w:val="18"/>
                <w:color w:val="auto"/>
                <w:highlight w:val="white"/>
              </w:rPr>
              <w:t>)</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(0.29 )</w:t>
            </w:r>
          </w:p>
        </w:tc>
      </w:tr>
      <w:tr>
        <w:trPr>
          <w:trHeight w:val="20"/>
        </w:trPr>
        <w:tc>
          <w:tcPr>
            <w:tcW w:w="6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-539115</wp:posOffset>
            </wp:positionV>
            <wp:extent cx="128587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5875" cy="18034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-205105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-205105</wp:posOffset>
            </wp:positionV>
            <wp:extent cx="7747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5" w:name="page16"/>
    <w:bookmarkEnd w:id="15"/>
    <w:p>
      <w:pPr>
        <w:ind w:right="300" w:firstLine="509"/>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net loss per ordinary share as their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269,154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1,392,312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1,776,820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4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17,081</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1,678,547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76"/>
              </w:rPr>
              <w:t>thousands)</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5"/>
            <w:shd w:val="clear" w:color="auto" w:fill="CFF0FC"/>
          </w:tcPr>
          <w:p>
            <w:pPr>
              <w:jc w:val="right"/>
              <w:ind w:right="260"/>
              <w:spacing w:after="0"/>
              <w:rPr>
                <w:sz w:val="20"/>
                <w:szCs w:val="20"/>
                <w:color w:val="auto"/>
              </w:rPr>
            </w:pPr>
            <w:r>
              <w:rPr>
                <w:rFonts w:ascii="Arial" w:cs="Arial" w:eastAsia="Arial" w:hAnsi="Arial"/>
                <w:sz w:val="18"/>
                <w:szCs w:val="18"/>
                <w:color w:val="auto"/>
              </w:rPr>
              <w:t>(34,256 )   $</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(10,412 )</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-1704975</wp:posOffset>
            </wp:positionV>
            <wp:extent cx="7683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-1704975</wp:posOffset>
            </wp:positionV>
            <wp:extent cx="774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Company recorded an income tax provision of $1.6 million and $0.4 million for the three months ended April 30, 2023 and 2022, respectively. The increase in income tax expense for the three months ended April 30, 2023 was primarily due to a decrease in the proportion of profits generated in lower tax jurisdictions and a decrease in tax benefits from excess stock-based compensation deductions.</w:t>
      </w:r>
    </w:p>
    <w:p>
      <w:pPr>
        <w:spacing w:after="0" w:line="184"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The Company files federal and state income tax returns in the United States and in various foreign jurisdictions. The Company’s fiscal years 2020 through 2023 are generally open and subject to potential examination by U.S. federal tax authorities. The Company’s fiscal years 2019 through 2023 are generally open and subject to potential examination by state tax authorities. The Company’s fiscal years 2016 to 2023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April 30, 2023, the gross amount of unrecognized tax benefits was approximately $21.9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22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April 30, 2023 and January 31, 2023, total manufacturing purchase commitments were approximately $22.9 million and $43.6 million, respectively. The Company also reviews and assesses the need for any expected loss liabilities on quarterly basis for all products that it does not expect to sell for which it has committed purchases from suppliers. As of April 30, 2023 and January 31, 2023, the liabilities for these purchase commitments were approximately $3.4 million and $2.9 million, respectively, and were included in accrued and other current liabilities in the condensed consolidated balance sheets.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April 30, 2023, and no liabilities have been recorded for these obligations in the condensed consolidated balance sheets as of April 30, 2023 and January 31, 2023, respectively.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562"/>
        <w:spacing w:after="0" w:line="273" w:lineRule="auto"/>
        <w:rPr>
          <w:sz w:val="20"/>
          <w:szCs w:val="20"/>
          <w:color w:val="auto"/>
        </w:rPr>
      </w:pPr>
      <w:r>
        <w:rPr>
          <w:rFonts w:ascii="Arial" w:cs="Arial" w:eastAsia="Arial" w:hAnsi="Arial"/>
          <w:sz w:val="17"/>
          <w:szCs w:val="17"/>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April 30, 2023 and January 31, 2023, there were no accruals for contingent liabilities related to such matters recorded in the condensed consolidated balance sheets.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280" w:firstLine="554"/>
        <w:spacing w:after="0" w:line="301" w:lineRule="auto"/>
        <w:rPr>
          <w:sz w:val="20"/>
          <w:szCs w:val="20"/>
          <w:color w:val="auto"/>
        </w:rPr>
      </w:pPr>
      <w:r>
        <w:rPr>
          <w:rFonts w:ascii="Arial" w:cs="Arial" w:eastAsia="Arial" w:hAnsi="Arial"/>
          <w:sz w:val="16"/>
          <w:szCs w:val="16"/>
          <w:color w:val="auto"/>
        </w:rPr>
        <w:t>The Company operates in one operating and reporting segment related to the development and sales of low-power,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w w:val="71"/>
              </w:rPr>
              <w:t>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30,634</w:t>
            </w:r>
          </w:p>
        </w:tc>
        <w:tc>
          <w:tcPr>
            <w:tcW w:w="12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53,636</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15,605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21,555</w:t>
            </w:r>
          </w:p>
        </w:tc>
        <w:tc>
          <w:tcPr>
            <w:tcW w:w="12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w:t>
            </w:r>
          </w:p>
        </w:tc>
        <w:tc>
          <w:tcPr>
            <w:tcW w:w="120" w:type="dxa"/>
            <w:vAlign w:val="bottom"/>
            <w:shd w:val="clear" w:color="auto" w:fill="CFF0FC"/>
          </w:tcPr>
          <w:p>
            <w:pPr>
              <w:spacing w:after="0"/>
              <w:rPr>
                <w:sz w:val="21"/>
                <w:szCs w:val="2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North America other than United States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10,877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55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62,142</w:t>
            </w:r>
          </w:p>
        </w:tc>
        <w:tc>
          <w:tcPr>
            <w:tcW w:w="12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90,305</w:t>
            </w:r>
          </w:p>
        </w:tc>
        <w:tc>
          <w:tcPr>
            <w:tcW w:w="1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9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As of April 30, 2023, substantially all of the Company’s property and equipment were located in the Asia Pacific region, United States and Europe with approximate net amounts of $6.0 million, $3.9 million and $1.4 million, respectively. As of January 31, 2023, the net amount of these fixed assets located in these regions was approximately $6.3 million, $4.0 million and $1.5 million,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right="40" w:firstLine="554"/>
        <w:spacing w:after="0" w:line="255" w:lineRule="auto"/>
        <w:rPr>
          <w:sz w:val="20"/>
          <w:szCs w:val="20"/>
          <w:color w:val="auto"/>
        </w:rPr>
      </w:pPr>
      <w:r>
        <w:rPr>
          <w:rFonts w:ascii="Arial" w:cs="Arial" w:eastAsia="Arial" w:hAnsi="Arial"/>
          <w:sz w:val="18"/>
          <w:szCs w:val="18"/>
          <w:color w:val="auto"/>
        </w:rPr>
        <w:t>The customers representing 10% or more of revenue and accounts receivable were WT, Chicony and Motorola, which accounted for approximately 49%, 16% and 11% of total revenue for the three months ended April 30, 2023, respectively. For the three months ended April 30, 2022, the customers representing 10% or more of revenue and accounts receivable were WT, Chicony and Hakuto, which accounted for approximately 57%, 11% and 10% of total revenue, respectively. As of April 30, 2023, accounts receivable with WT, Chicony and Motorola were approximately $8.7 million, $9.9 million and $5.1 million, respectively. Accounts receivable with WT and Chicony were approximately $21.0 million and $9.4 million as of January 31, 2023, respectively.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May 26, 2023, the Company</w:t>
      </w:r>
      <w:r>
        <w:rPr>
          <w:rFonts w:ascii="Arial" w:cs="Arial" w:eastAsia="Arial" w:hAnsi="Arial"/>
          <w:sz w:val="16"/>
          <w:szCs w:val="16"/>
          <w:color w:val="auto"/>
        </w:rPr>
        <w:t>’</w:t>
      </w:r>
      <w:r>
        <w:rPr>
          <w:rFonts w:ascii="Arial" w:cs="Arial" w:eastAsia="Arial" w:hAnsi="Arial"/>
          <w:sz w:val="18"/>
          <w:szCs w:val="18"/>
          <w:color w:val="auto"/>
        </w:rPr>
        <w:t>s Board of Directors approved an extension of the Company's existing share repurchase program for an additional twelve months through June 30, 2024. The repurchase program does not obligate the Company to acquire any particular amount of ordinary shares, and it may be suspended at any time at the Company’s discretion. As of June 7, 2023, there was approximately $49.0 million available for repurchases under the repurchase program through June 30, 2024.</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2023 and management’s discussion and analysis of our financial condition and results of operations included in our Annual Report on Form 10-K for the 2023 fiscal year filed with the Securities and Exchange Commission, or SEC, on March 31, 2023.</w:t>
      </w:r>
    </w:p>
    <w:p>
      <w:pPr>
        <w:spacing w:after="0" w:line="188"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40" w:firstLine="509"/>
        <w:spacing w:after="0" w:line="272" w:lineRule="auto"/>
        <w:rPr>
          <w:sz w:val="20"/>
          <w:szCs w:val="20"/>
          <w:color w:val="auto"/>
        </w:rPr>
      </w:pPr>
      <w:r>
        <w:rPr>
          <w:rFonts w:ascii="Arial" w:cs="Arial" w:eastAsia="Arial" w:hAnsi="Arial"/>
          <w:sz w:val="17"/>
          <w:szCs w:val="17"/>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7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lifecycles will typically be longer than 24 months in the OEM automotive and industrial and robotics markets, as new product introductions occur less frequently in these markets.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7" w:lineRule="exact"/>
        <w:rPr>
          <w:sz w:val="20"/>
          <w:szCs w:val="20"/>
          <w:color w:val="auto"/>
        </w:rPr>
      </w:pPr>
    </w:p>
    <w:p>
      <w:pPr>
        <w:ind w:left="1540" w:right="40" w:hanging="514"/>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revenue of $62.1 million for the three months ended April 30, 2023, a decrease of 31.2% as compared to the same period in the prior fiscal year. The decrease in revenue was primarily attributable to lower product unit shipments as a result of customer inventory level reductions, partially offset by continued adoption of our CV-based solutions, which have higher average selling prices, and increased nonrecurring engineering (NRE) project services.</w:t>
      </w:r>
    </w:p>
    <w:p>
      <w:pPr>
        <w:spacing w:after="0" w:line="78" w:lineRule="exact"/>
        <w:rPr>
          <w:rFonts w:ascii="Arial" w:cs="Arial" w:eastAsia="Arial" w:hAnsi="Arial"/>
          <w:sz w:val="18"/>
          <w:szCs w:val="18"/>
          <w:color w:val="auto"/>
        </w:rPr>
      </w:pPr>
    </w:p>
    <w:p>
      <w:pPr>
        <w:ind w:left="1540" w:hanging="514"/>
        <w:spacing w:after="0" w:line="255"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an operating loss of $35.5 million for the three months ended April 30, 2023, as compared to an operating loss of $10.5 million for the three months ended April 30, 2022. The increased operating loss was primarily due to decreased revenue and gross profit, as well as increased operating expenses. The increased operating expenses primarily related to increased chip tape-out costs due to the timing and number of chips in development, increased engineering-related expenses for supporting our CV-based vision and radar solutions in the IoT, automotive, industrial and robotics markets and increased personnel costs associated with headcount growth.</w:t>
      </w:r>
    </w:p>
    <w:p>
      <w:pPr>
        <w:spacing w:after="0" w:line="84" w:lineRule="exact"/>
        <w:rPr>
          <w:rFonts w:ascii="Arial" w:cs="Arial" w:eastAsia="Arial" w:hAnsi="Arial"/>
          <w:sz w:val="18"/>
          <w:szCs w:val="18"/>
          <w:color w:val="auto"/>
        </w:rPr>
      </w:pPr>
    </w:p>
    <w:p>
      <w:pPr>
        <w:ind w:left="1540" w:right="200" w:hanging="514"/>
        <w:spacing w:after="0" w:line="25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$22.0 million for the three months ended April 30, 2023, as compared to $33.6 million for the three months ended April 30, 2022. The lower cash flows from operating activities were primarily attributable to increased net loss adjusted for certain non-cash items and increased inventory purchases, partially offset by increased liabilities associated with the timing of payments to our suppliers and higher collections of accounts receivable associated with the timing of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right="40" w:firstLine="509"/>
        <w:spacing w:after="0" w:line="269" w:lineRule="auto"/>
        <w:rPr>
          <w:sz w:val="20"/>
          <w:szCs w:val="20"/>
          <w:color w:val="auto"/>
        </w:rPr>
      </w:pPr>
      <w:r>
        <w:rPr>
          <w:rFonts w:ascii="Arial" w:cs="Arial" w:eastAsia="Arial" w:hAnsi="Arial"/>
          <w:sz w:val="17"/>
          <w:szCs w:val="17"/>
          <w:i w:val="1"/>
          <w:iCs w:val="1"/>
          <w:color w:val="auto"/>
        </w:rPr>
        <w:t xml:space="preserve">Impact of Global Economic Conditions on Our Business. </w:t>
      </w:r>
      <w:r>
        <w:rPr>
          <w:rFonts w:ascii="Arial" w:cs="Arial" w:eastAsia="Arial" w:hAnsi="Arial"/>
          <w:sz w:val="17"/>
          <w:szCs w:val="17"/>
          <w:color w:val="auto"/>
        </w:rPr>
        <w:t>Uncertainty in customer demand as well as the worldwide economy, in general, have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continued as a result of macroeconomic factors such as the COVID-19 pandemic, high inflation and global banking uncertainty. As a result, we may experience increased volatility in our sales and revenues in the near future, primarily owing to uncertainty around demand for semiconductor products in general. Some customers have indicated they are reducing their inventory levels, as some component lead times contract toward normal levels, which has reduced and may continue to reduce demand for our products. The magnitude and duration of such volatility is uncertain and thus its impact on our business cannot be reasonably estimated at this time. Global supply shortages that arose as a result of the COVID-19 pandemic and measures taken to slow the spread of the virus continue to subside, but could occur again in the future. Supply chain issues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w:t>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Ability to Capitalize on AI and Computer Vision Trends</w:t>
      </w:r>
      <w:r>
        <w:rPr>
          <w:rFonts w:ascii="Arial" w:cs="Arial" w:eastAsia="Arial" w:hAnsi="Arial"/>
          <w:sz w:val="18"/>
          <w:szCs w:val="18"/>
          <w:color w:val="auto"/>
        </w:rPr>
        <w:t>. We expect that AI and computer vision functionality will become an increasingly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design wins by our customers. However, a design win may not successfully materialize into revenue, and even if it does result in revenue, the amount generated by each design win can vary significantly.</w:t>
      </w:r>
    </w:p>
    <w:p>
      <w:pPr>
        <w:spacing w:after="0" w:line="19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9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i w:val="1"/>
          <w:iCs w:val="1"/>
          <w:color w:val="auto"/>
        </w:rPr>
        <w:t>Continued Concentration of Revenue by End Market</w:t>
      </w:r>
      <w:r>
        <w:rPr>
          <w:rFonts w:ascii="Arial" w:cs="Arial" w:eastAsia="Arial" w:hAnsi="Arial"/>
          <w:sz w:val="16"/>
          <w:szCs w:val="16"/>
          <w:color w:val="auto"/>
        </w:rPr>
        <w:t>. Historically, our revenue has been significantly concentrated in a small number of end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limited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ind w:right="120" w:firstLine="509"/>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65"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7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i w:val="1"/>
          <w:iCs w:val="1"/>
          <w:color w:val="auto"/>
        </w:rPr>
        <w:t xml:space="preserve">Customer Product Life Cycle. </w:t>
      </w:r>
      <w:r>
        <w:rPr>
          <w:rFonts w:ascii="Arial" w:cs="Arial" w:eastAsia="Arial" w:hAnsi="Arial"/>
          <w:sz w:val="17"/>
          <w:szCs w:val="17"/>
          <w:color w:val="auto"/>
        </w:rPr>
        <w:t>We estimate our customers’ product life cycles based on the customer, type of product and end market. We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April 30,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90,305</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Cost of revenue</w:t>
            </w: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Gross profit</w:t>
            </w:r>
          </w:p>
        </w:tc>
        <w:tc>
          <w:tcPr>
            <w:tcW w:w="20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56,547</w:t>
            </w: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46,690</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20,355</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67,045</w:t>
            </w: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(35,542 )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(10,498 </w:t>
            </w:r>
            <w:r>
              <w:rPr>
                <w:rFonts w:ascii="Arial" w:cs="Arial" w:eastAsia="Arial" w:hAnsi="Arial"/>
                <w:sz w:val="18"/>
                <w:szCs w:val="18"/>
                <w:color w:val="auto"/>
                <w:highlight w:val="white"/>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0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Loss before income taxes</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(34,256 )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(10,412 </w:t>
            </w:r>
            <w:r>
              <w:rPr>
                <w:rFonts w:ascii="Arial" w:cs="Arial" w:eastAsia="Arial" w:hAnsi="Arial"/>
                <w:sz w:val="18"/>
                <w:szCs w:val="18"/>
                <w:color w:val="auto"/>
                <w:highlight w:val="white"/>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(35,902 )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(10,822 </w:t>
            </w:r>
            <w:r>
              <w:rPr>
                <w:rFonts w:ascii="Arial" w:cs="Arial" w:eastAsia="Arial" w:hAnsi="Arial"/>
                <w:sz w:val="18"/>
                <w:szCs w:val="18"/>
                <w:color w:val="auto"/>
                <w:highlight w:val="white"/>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20" w:type="dxa"/>
            <w:vAlign w:val="bottom"/>
            <w:vMerge w:val="restart"/>
          </w:tcPr>
          <w:p>
            <w:pPr>
              <w:jc w:val="right"/>
              <w:ind w:right="117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-1953895</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-1953895</wp:posOffset>
            </wp:positionV>
            <wp:extent cx="5969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-1319530</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-1002665</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-685165</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33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3"/>
        </w:trPr>
        <w:tc>
          <w:tcPr>
            <w:tcW w:w="5740" w:type="dxa"/>
            <w:vAlign w:val="bottom"/>
            <w:gridSpan w:val="2"/>
          </w:tcPr>
          <w:p>
            <w:pPr>
              <w:ind w:left="5380"/>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100</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6"/>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9"/>
        </w:trPr>
        <w:tc>
          <w:tcPr>
            <w:tcW w:w="57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4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(12 )</w:t>
            </w:r>
          </w:p>
        </w:tc>
        <w:tc>
          <w:tcPr>
            <w:tcW w:w="240" w:type="dxa"/>
            <w:vAlign w:val="bottom"/>
          </w:tcPr>
          <w:p>
            <w:pPr>
              <w:spacing w:after="0"/>
              <w:rPr>
                <w:sz w:val="20"/>
                <w:szCs w:val="20"/>
                <w:color w:val="auto"/>
              </w:rPr>
            </w:pPr>
          </w:p>
        </w:tc>
      </w:tr>
      <w:tr>
        <w:trPr>
          <w:trHeight w:val="249"/>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Loss before income taxes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(12 )</w:t>
            </w:r>
          </w:p>
        </w:tc>
        <w:tc>
          <w:tcPr>
            <w:tcW w:w="240" w:type="dxa"/>
            <w:vAlign w:val="bottom"/>
          </w:tcPr>
          <w:p>
            <w:pPr>
              <w:spacing w:after="0"/>
              <w:rPr>
                <w:sz w:val="20"/>
                <w:szCs w:val="20"/>
                <w:color w:val="auto"/>
              </w:rPr>
            </w:pPr>
          </w:p>
        </w:tc>
      </w:tr>
      <w:tr>
        <w:trPr>
          <w:trHeight w:val="249"/>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r>
      <w:tr>
        <w:trPr>
          <w:trHeight w:val="23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64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(58 ) </w:t>
            </w:r>
            <w:r>
              <w:rPr>
                <w:rFonts w:ascii="Arial" w:cs="Arial" w:eastAsia="Arial" w:hAnsi="Arial"/>
                <w:sz w:val="27"/>
                <w:szCs w:val="27"/>
                <w:color w:val="auto"/>
                <w:vertAlign w:val="subscript"/>
              </w:rPr>
              <w:t>%</w:t>
            </w:r>
          </w:p>
        </w:tc>
        <w:tc>
          <w:tcPr>
            <w:tcW w:w="840" w:type="dxa"/>
            <w:vAlign w:val="bottom"/>
          </w:tcPr>
          <w:p>
            <w:pPr>
              <w:spacing w:after="0"/>
              <w:rPr>
                <w:sz w:val="20"/>
                <w:szCs w:val="20"/>
                <w:color w:val="auto"/>
              </w:rPr>
            </w:pPr>
          </w:p>
        </w:tc>
        <w:tc>
          <w:tcPr>
            <w:tcW w:w="64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(12 ) </w:t>
            </w:r>
            <w:r>
              <w:rPr>
                <w:rFonts w:ascii="Arial" w:cs="Arial" w:eastAsia="Arial" w:hAnsi="Arial"/>
                <w:sz w:val="27"/>
                <w:szCs w:val="27"/>
                <w:color w:val="auto"/>
                <w:vertAlign w:val="subscript"/>
              </w:rPr>
              <w:t>%</w:t>
            </w:r>
          </w:p>
        </w:tc>
      </w:tr>
      <w:tr>
        <w:trPr>
          <w:trHeight w:val="20"/>
        </w:trPr>
        <w:tc>
          <w:tcPr>
            <w:tcW w:w="4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-822325</wp:posOffset>
            </wp:positionV>
            <wp:extent cx="6032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-822325</wp:posOffset>
            </wp:positionV>
            <wp:extent cx="6858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-505460</wp:posOffset>
            </wp:positionV>
            <wp:extent cx="6032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-505460</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603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derive substantially all of our revenue from the sale of HD and Ultra HD video and image processing SoC solutions to IoT OEMs, IoT ODMs, OEM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We derive a substantial portion of our revenue from sales made indirectly through two major distributors, WT Microelectronics Co., Ltd., formerly Wintech Microelectronics Co., Ltd., or WT, and Hakuto Co., Ltd., or Hakuto, a Japan distributor, and directly to one of our ODM customers, Chicony Electronics Co., Ltd., or Chicony, and directly to one of our OEM customers, Motorola Solutions Inc., or Motorola.</w:t>
      </w:r>
    </w:p>
    <w:p>
      <w:pPr>
        <w:spacing w:after="0" w:line="16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8"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warranty and other general overhead costs.</w:t>
      </w:r>
    </w:p>
    <w:p>
      <w:pPr>
        <w:spacing w:after="0" w:line="15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equipment expenses, outside services as well as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Other income, net, consists primarily of interest income and yields from our cash deposits and debt security investments, subsidies granted by foreign governments, as well as gains and losses from foreign currency transactions and remeasurements.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5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6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(dollars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4"/>
              </w:rPr>
              <w:t>in</w:t>
            </w:r>
          </w:p>
        </w:tc>
        <w:tc>
          <w:tcPr>
            <w:tcW w:w="16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r>
      <w:tr>
        <w:trPr>
          <w:trHeight w:val="230"/>
        </w:trPr>
        <w:tc>
          <w:tcPr>
            <w:tcW w:w="3860" w:type="dxa"/>
            <w:vAlign w:val="bottom"/>
          </w:tcPr>
          <w:p>
            <w:pPr>
              <w:ind w:left="5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62,142</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90,305</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(28,163 )</w:t>
            </w:r>
          </w:p>
        </w:tc>
        <w:tc>
          <w:tcPr>
            <w:tcW w:w="560" w:type="dxa"/>
            <w:vAlign w:val="bottom"/>
          </w:tcPr>
          <w:p>
            <w:pPr>
              <w:spacing w:after="0"/>
              <w:rPr>
                <w:sz w:val="20"/>
                <w:szCs w:val="20"/>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(31.2 )%</w:t>
            </w:r>
          </w:p>
        </w:tc>
      </w:tr>
      <w:tr>
        <w:trPr>
          <w:trHeight w:val="661"/>
        </w:trPr>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ind w:right="80" w:firstLine="509"/>
        <w:spacing w:after="0" w:line="263" w:lineRule="auto"/>
        <w:rPr>
          <w:sz w:val="20"/>
          <w:szCs w:val="20"/>
          <w:color w:val="auto"/>
        </w:rPr>
      </w:pPr>
      <w:r>
        <w:rPr>
          <w:rFonts w:ascii="Arial" w:cs="Arial" w:eastAsia="Arial" w:hAnsi="Arial"/>
          <w:sz w:val="18"/>
          <w:szCs w:val="18"/>
          <w:color w:val="auto"/>
        </w:rPr>
        <w:t>The decreased revenue for the three months ended April 30, 2023, as compared to the same period in the prior fiscal year, was primarily attributable to lower product unit shipments as a result of customer inventory level reductions, partially offset by continued adoption of our CV-based solutions, which have higher average selling prices, and increased nonrecurring engineering (NRE) project services.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174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tcPr>
          <w:p>
            <w:pPr>
              <w:jc w:val="right"/>
              <w:ind w:right="66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(9,135 )</w:t>
            </w:r>
          </w:p>
        </w:tc>
        <w:tc>
          <w:tcPr>
            <w:tcW w:w="5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(27.1 )%</w:t>
            </w:r>
          </w:p>
        </w:tc>
      </w:tr>
      <w:tr>
        <w:trPr>
          <w:trHeight w:val="242"/>
        </w:trPr>
        <w:tc>
          <w:tcPr>
            <w:tcW w:w="3280" w:type="dxa"/>
            <w:vAlign w:val="bottom"/>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37,519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(19,028 )</w:t>
            </w:r>
          </w:p>
        </w:tc>
        <w:tc>
          <w:tcPr>
            <w:tcW w:w="5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(33.6 )%</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60.4 %</w:t>
            </w:r>
          </w:p>
        </w:tc>
        <w:tc>
          <w:tcPr>
            <w:tcW w:w="1000" w:type="dxa"/>
            <w:vAlign w:val="bottom"/>
          </w:tcPr>
          <w:p>
            <w:pPr>
              <w:spacing w:after="0"/>
              <w:rPr>
                <w:sz w:val="21"/>
                <w:szCs w:val="21"/>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62.6 %</w:t>
            </w:r>
          </w:p>
        </w:tc>
        <w:tc>
          <w:tcPr>
            <w:tcW w:w="280" w:type="dxa"/>
            <w:vAlign w:val="bottom"/>
          </w:tcPr>
          <w:p>
            <w:pPr>
              <w:spacing w:after="0"/>
              <w:rPr>
                <w:sz w:val="21"/>
                <w:szCs w:val="21"/>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decreased cost of revenue for the three months ended April 30, 2023, as compared to the same period in the prior fiscal year, was primarily due to the decrease in revenue, partially offset by additional inventory reserves and adverse purchase commitments recognized caused by lower demand from customers as well as additional labor costs associated with increased NRE project services.</w:t>
      </w:r>
    </w:p>
    <w:p>
      <w:pPr>
        <w:spacing w:after="0" w:line="184"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Gross margin decreased for the three months ended April 30, 2023, as compared to the same period in the prior fiscal year, primarily due to additional inventory reserves and adverse purchase commitments recognized associated with lower demand from customers as well as additional labor costs associated with NRE project services, partially offset by a favorable product mix and a customer concentration shift in IoT markets from the China region to the North America and Asia regions other than China.</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4"/>
              </w:rPr>
              <w:t>in</w:t>
            </w:r>
          </w:p>
        </w:tc>
        <w:tc>
          <w:tcPr>
            <w:tcW w:w="1180" w:type="dxa"/>
            <w:vAlign w:val="bottom"/>
            <w:tcBorders>
              <w:top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w w:val="95"/>
              </w:rPr>
              <w:t>thousands)</w:t>
            </w: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jc w:val="right"/>
              <w:ind w:right="72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54,441</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46,690</w:t>
            </w:r>
          </w:p>
        </w:tc>
        <w:tc>
          <w:tcPr>
            <w:tcW w:w="1300" w:type="dxa"/>
            <w:vAlign w:val="bottom"/>
            <w:gridSpan w:val="3"/>
          </w:tcPr>
          <w:p>
            <w:pPr>
              <w:jc w:val="right"/>
              <w:ind w:right="80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7,751</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Research and development expense increased for the three months ended April 30, 2023, as compared to the same period in the prior fiscal year, primarily due to increased SoC development cost, engineering-related expenses and personnel costs. SoC development cost increased by approximately $3.7 million due to the timing and number of chips in development. Engineering-related expenses, including the cost and depreciation of equipment and tools, outside services and facility related expenses in support of new SoCs and related applications, increased by approximately $2.0 million. The increase in research and development expense was also attributable to approximately $1.9 million of additional personnel costs as a result of higher stock-based compensation expense and headcount growth.</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3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(dollars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4"/>
              </w:rPr>
              <w:t>in</w:t>
            </w:r>
          </w:p>
        </w:tc>
        <w:tc>
          <w:tcPr>
            <w:tcW w:w="16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jc w:val="right"/>
              <w:ind w:right="7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18,620</w:t>
            </w: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20,355</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(1,735 )</w:t>
            </w:r>
          </w:p>
        </w:tc>
        <w:tc>
          <w:tcPr>
            <w:tcW w:w="5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Selling, general and administrative expense decreased for the three months ended April 30, 2023, as compared to the same period in the prior fiscal year, primarily due to approximately $1.7 million of additional stock-based compensation expense associated with a stock acceleration in the first quarter of fiscal year 2023 that did not recur in fiscal year 2024.</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r>
      <w:tr>
        <w:trPr>
          <w:trHeight w:val="169"/>
        </w:trPr>
        <w:tc>
          <w:tcPr>
            <w:tcW w:w="38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(dollars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4"/>
              </w:rPr>
              <w:t>in</w:t>
            </w:r>
          </w:p>
        </w:tc>
        <w:tc>
          <w:tcPr>
            <w:tcW w:w="1180" w:type="dxa"/>
            <w:vAlign w:val="bottom"/>
            <w:tcBorders>
              <w:top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w w:val="95"/>
              </w:rPr>
              <w:t>thousands)</w:t>
            </w: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r>
      <w:tr>
        <w:trPr>
          <w:trHeight w:val="230"/>
        </w:trPr>
        <w:tc>
          <w:tcPr>
            <w:tcW w:w="3860" w:type="dxa"/>
            <w:vAlign w:val="bottom"/>
          </w:tcPr>
          <w:p>
            <w:pPr>
              <w:ind w:left="580"/>
              <w:spacing w:after="0"/>
              <w:rPr>
                <w:sz w:val="20"/>
                <w:szCs w:val="20"/>
                <w:color w:val="auto"/>
              </w:rPr>
            </w:pPr>
            <w:r>
              <w:rPr>
                <w:rFonts w:ascii="Arial" w:cs="Arial" w:eastAsia="Arial" w:hAnsi="Arial"/>
                <w:sz w:val="18"/>
                <w:szCs w:val="18"/>
                <w:color w:val="auto"/>
              </w:rPr>
              <w:t>Other income, net</w:t>
            </w:r>
          </w:p>
        </w:tc>
        <w:tc>
          <w:tcPr>
            <w:tcW w:w="940" w:type="dxa"/>
            <w:vAlign w:val="bottom"/>
          </w:tcPr>
          <w:p>
            <w:pPr>
              <w:jc w:val="right"/>
              <w:ind w:right="76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1,286</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1300" w:type="dxa"/>
            <w:vAlign w:val="bottom"/>
            <w:gridSpan w:val="3"/>
          </w:tcPr>
          <w:p>
            <w:pPr>
              <w:jc w:val="right"/>
              <w:ind w:right="80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1,200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1,395.3 %</w:t>
            </w:r>
          </w:p>
        </w:tc>
      </w:tr>
      <w:tr>
        <w:trPr>
          <w:trHeight w:val="661"/>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both"/>
        <w:ind w:right="120" w:firstLine="509"/>
        <w:spacing w:after="0" w:line="311" w:lineRule="auto"/>
        <w:rPr>
          <w:sz w:val="20"/>
          <w:szCs w:val="20"/>
          <w:color w:val="auto"/>
        </w:rPr>
      </w:pPr>
      <w:r>
        <w:rPr>
          <w:rFonts w:ascii="Arial" w:cs="Arial" w:eastAsia="Arial" w:hAnsi="Arial"/>
          <w:sz w:val="16"/>
          <w:szCs w:val="16"/>
          <w:color w:val="auto"/>
        </w:rPr>
        <w:t>The increase in other income, net, for the three months ended April 30, 2023, as compared to the same period in the prior fiscal year, was primarily due to yields from our debt security investments, which were resumed in the second half of fiscal year 2023 following the liquidation of such investments in fiscal year 2022 to finance the acquisition of Oculii Corp, or Oculii, and increased interest income from cash deposits driven by higher interest rates.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272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95"/>
              </w:rPr>
              <w:t>Three Months Ended April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auto"/>
            </w:tcBorders>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r>
      <w:tr>
        <w:trPr>
          <w:trHeight w:val="169"/>
        </w:trPr>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4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1,646</w:t>
            </w:r>
          </w:p>
        </w:tc>
        <w:tc>
          <w:tcPr>
            <w:tcW w:w="13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340" w:type="dxa"/>
            <w:vAlign w:val="bottom"/>
            <w:gridSpan w:val="3"/>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1,236</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3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Effective tax rate</w:t>
            </w:r>
          </w:p>
        </w:tc>
        <w:tc>
          <w:tcPr>
            <w:tcW w:w="9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ind w:left="80"/>
              <w:spacing w:after="0"/>
              <w:rPr>
                <w:sz w:val="20"/>
                <w:szCs w:val="20"/>
                <w:color w:val="auto"/>
              </w:rPr>
            </w:pPr>
            <w:r>
              <w:rPr>
                <w:rFonts w:ascii="Arial" w:cs="Arial" w:eastAsia="Arial" w:hAnsi="Arial"/>
                <w:sz w:val="20"/>
                <w:szCs w:val="20"/>
                <w:color w:val="auto"/>
              </w:rPr>
              <w:t>%</w:t>
            </w:r>
          </w:p>
        </w:tc>
      </w:tr>
    </w:tbl>
    <w:p>
      <w:pPr>
        <w:spacing w:after="0" w:line="215"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7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increase in income tax expense for the three months ended April 30, 2023, as compared to the same period in the prior fiscal year, was primarily due to a decrease in proportion of profits generated in lower tax jurisdictions and a decrease in tax benefits from excess stock-based compensation deductions.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April 30, 2023 and January 31, 2023, we had cash, cash equivalents and marketable debt securities of approximately $227.4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$206.9 million, respectively. We invest in highly-liquid, short-term marketable debt securities and hold these investments as available-for-sale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April 30, 2023, these securities had a fair value of approximately $102.3 million with unrealized losses of approximately $0.5 million caused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market fluctuations. For the three months ended April 30, 2023, there was approximately $1.0 million of interest and other income recorded in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net in the condensed consolidated statements of operations. The current inflationary environment in the United States and resulting high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 have not had material impact on our investment portfolio and financial position.</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5"/>
              </w:rPr>
              <w:t>Three Months Ended April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ind w:right="436"/>
              <w:spacing w:after="0"/>
              <w:rPr>
                <w:sz w:val="20"/>
                <w:szCs w:val="20"/>
                <w:color w:val="auto"/>
              </w:rPr>
            </w:pPr>
            <w:r>
              <w:rPr>
                <w:rFonts w:ascii="Arial" w:cs="Arial" w:eastAsia="Arial" w:hAnsi="Arial"/>
                <w:sz w:val="14"/>
                <w:szCs w:val="14"/>
                <w:b w:val="1"/>
                <w:bCs w:val="1"/>
                <w:color w:val="auto"/>
                <w:w w:val="74"/>
              </w:rPr>
              <w:t>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22,025</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33,560</w:t>
            </w:r>
          </w:p>
        </w:tc>
        <w:tc>
          <w:tcPr>
            <w:tcW w:w="100" w:type="dxa"/>
            <w:vAlign w:val="bottom"/>
            <w:shd w:val="clear" w:color="auto" w:fill="CFF0FC"/>
          </w:tcPr>
          <w:p>
            <w:pPr>
              <w:spacing w:after="0"/>
              <w:rPr>
                <w:sz w:val="21"/>
                <w:szCs w:val="2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20"/>
                <w:szCs w:val="20"/>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3"/>
              </w:rPr>
              <w:t>(8,210 )</w:t>
            </w:r>
          </w:p>
        </w:tc>
        <w:tc>
          <w:tcPr>
            <w:tcW w:w="8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(3,952 )</w:t>
            </w: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r>
      <w:tr>
        <w:trPr>
          <w:trHeight w:val="236"/>
        </w:trPr>
        <w:tc>
          <w:tcPr>
            <w:tcW w:w="4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14,200</w:t>
            </w:r>
          </w:p>
        </w:tc>
        <w:tc>
          <w:tcPr>
            <w:tcW w:w="24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center"/>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29,596</w:t>
            </w:r>
          </w:p>
        </w:tc>
        <w:tc>
          <w:tcPr>
            <w:tcW w:w="100" w:type="dxa"/>
            <w:vAlign w:val="bottom"/>
            <w:tcBorders>
              <w:top w:val="single" w:sz="8" w:color="CFF0FC"/>
            </w:tcBorders>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603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color w:val="auto"/>
        </w:rPr>
        <w:t>Net cash provided by operating activities decreased for the three months ended April 30, 2023, as compared to the same period in the prior fiscal year, primarily attributable to increased net loss adjusted for certain non-cash items and increased inventory purchases, partially offset by increased liabilities associated with the timing of payments to our suppliers and higher collections of accounts receivable associated with the timing of sales.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Net cash used in investing activities increased for the three months ended April 30, 2023, as compared to the same period in the prior fiscal year, primarily due to approximately $5.9 million of net investment in debt securities, which we resumed in the second half of fiscal year 2023 following the liquidation of such investments in fiscal year 2022 to finance the acquisition of Oculii, and an approximately $0.7 million claim from an acquisition escrow account in fiscal year 2023 that did not recur in fiscal year 2024, partially offset by approximately $2.4 million less in payments for the purchase of property and equipment and licenses.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Net cash provided by financing activities increased for the three months ended April 30, 2023, as compared to the same period in the prior fiscal year, primarily due to approximately $0.7 million of additional cash proceeds from option exercises and employee stock purchase withholdings, partially offset by an additional $0.3 million payment for purchase of licenses.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No ordinary shares were repurchased during the three months ended April 30, 2023. On May 27, 2022, our Board of Directors approved an extension of the current share repurchase program for an additional twelve months through June 30, 2023. The repurchase program does not obligate us to acquire any particular amount of ordinary shares, and it may be suspended at any time at our discretion. As of April 30, 2023, there was approximately $49.0 million remaining available for repurchases under the repurchase program through June 30, 2023. On May 26, 2023, our Board of Directors approved an extension of the existing share repurchase program for an additional twelve months through June 30, 2024.</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As of April 30, 2023, we had cash, cash equivalents and marketable debt securities on hand of approximately $227.4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macroeconomic conditions, high inflation and trade restrictions, the impact of COVID-19, as well as effects of the measures implemented to control the spread of the virus;</w:t>
      </w:r>
    </w:p>
    <w:p>
      <w:pPr>
        <w:spacing w:after="0" w:line="62" w:lineRule="exact"/>
        <w:rPr>
          <w:rFonts w:ascii="Arial" w:cs="Arial" w:eastAsia="Arial" w:hAnsi="Arial"/>
          <w:sz w:val="18"/>
          <w:szCs w:val="18"/>
          <w:color w:val="auto"/>
        </w:rPr>
      </w:pPr>
    </w:p>
    <w:p>
      <w:pPr>
        <w:ind w:left="1540" w:right="360" w:hanging="514"/>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2023, we had purchase obligations with our independent contract manufacturers of $22.9 million.</w:t>
      </w:r>
    </w:p>
    <w:p>
      <w:pPr>
        <w:spacing w:after="0" w:line="22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2023. Please see Item 7, “Management’s Discussion and Analysis of Financial Condition and Results of Operations – Contractual Obligations, Commitments and Contingencies” in our Annual Report on Form 10-K for the fiscal year ended January 31, 2023 for a description of our contractual obligations.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April 30, 2023,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2023 fiscal year filed with the SEC on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of April 30, 2023 and January 31, 2023, we had cash, cash equivalents and marketable debt securities totaling $227.4 million and $206.9 million,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commercial paper, debt securities of corporations or corporate bonds, asset-backed securities and U.S. government securities. Our cash is held primarily for working capital purposes. We do not enter into investments for trading or speculative purposes.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 xml:space="preserve">The primary objective of our investment activities is to preserve capital, provide liquidity and maximize income without significantly increasing risk. Some of the securities we invest in are subject to market risk. This means that a change in prevailing interest rates may have an impact on </w:t>
      </w:r>
      <w:r>
        <w:rPr>
          <w:rFonts w:ascii="Arial" w:cs="Arial" w:eastAsia="Arial" w:hAnsi="Arial"/>
          <w:sz w:val="17"/>
          <w:szCs w:val="17"/>
          <w:color w:val="212529"/>
        </w:rPr>
        <w:t>the interest</w:t>
      </w:r>
      <w:r>
        <w:rPr>
          <w:rFonts w:ascii="Arial" w:cs="Arial" w:eastAsia="Arial" w:hAnsi="Arial"/>
          <w:sz w:val="17"/>
          <w:szCs w:val="17"/>
          <w:color w:val="auto"/>
        </w:rPr>
        <w:t xml:space="preserve"> </w:t>
      </w:r>
      <w:r>
        <w:rPr>
          <w:rFonts w:ascii="Arial" w:cs="Arial" w:eastAsia="Arial" w:hAnsi="Arial"/>
          <w:sz w:val="17"/>
          <w:szCs w:val="17"/>
          <w:color w:val="212529"/>
        </w:rPr>
        <w:t>income and the fair market value of those securities</w:t>
      </w:r>
      <w:r>
        <w:rPr>
          <w:rFonts w:ascii="Arial" w:cs="Arial" w:eastAsia="Arial" w:hAnsi="Arial"/>
          <w:sz w:val="17"/>
          <w:szCs w:val="17"/>
          <w:color w:val="000000"/>
        </w:rPr>
        <w:t>. To minimize this risk, we maintain our portfolio in a variety of debt securities with high liquidity and</w:t>
      </w:r>
      <w:r>
        <w:rPr>
          <w:rFonts w:ascii="Arial" w:cs="Arial" w:eastAsia="Arial" w:hAnsi="Arial"/>
          <w:sz w:val="17"/>
          <w:szCs w:val="17"/>
          <w:color w:val="212529"/>
        </w:rPr>
        <w:t xml:space="preserve"> </w:t>
      </w:r>
      <w:r>
        <w:rPr>
          <w:rFonts w:ascii="Arial" w:cs="Arial" w:eastAsia="Arial" w:hAnsi="Arial"/>
          <w:sz w:val="17"/>
          <w:szCs w:val="17"/>
          <w:color w:val="000000"/>
        </w:rPr>
        <w:t>low credit risk. The current inflationary environment in the United States and resulting high interest rates generated high interest income while have not had a material negative impact on our investment portfolio and financial position to date. We do not enter into investments for trading or speculative purposes. As of April 30, 2023, a hypothetical 10% change in interest rates would not have a material impact on our interest income or investment fair value. The liquidity risk and the risk associated with fluctuating interest rates are limited to our investment portfolio.</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720" w:firstLine="509"/>
        <w:spacing w:after="0" w:line="277" w:lineRule="auto"/>
        <w:rPr>
          <w:sz w:val="20"/>
          <w:szCs w:val="20"/>
          <w:color w:val="auto"/>
        </w:rPr>
      </w:pPr>
      <w:r>
        <w:rPr>
          <w:rFonts w:ascii="Arial" w:cs="Arial" w:eastAsia="Arial" w:hAnsi="Arial"/>
          <w:sz w:val="18"/>
          <w:szCs w:val="18"/>
          <w:color w:val="auto"/>
        </w:rPr>
        <w:t>Based upon such evaluation, our Principal Executive Officer and Principal Financial Officer have concluded that, as of April 30, 2023,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Company’s fiscal quarter ended April 30, 2023 that have materially affected, or are reasonably likely to materially affect,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business and our industry is subject to numerous risks and uncertainties, including those described in the following Risk Factors. These risks include, but are not limited to, the following:</w:t>
      </w:r>
    </w:p>
    <w:p>
      <w:pPr>
        <w:spacing w:after="0" w:line="62" w:lineRule="exact"/>
        <w:rPr>
          <w:sz w:val="20"/>
          <w:szCs w:val="20"/>
          <w:color w:val="auto"/>
        </w:rPr>
      </w:pPr>
    </w:p>
    <w:p>
      <w:pPr>
        <w:ind w:left="1020" w:right="2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global semiconductor supply shortages, high inflation and weak economic conditions could adversely affect our business, financial condition, and results of operations.</w:t>
      </w:r>
    </w:p>
    <w:p>
      <w:pPr>
        <w:spacing w:after="0" w:line="62"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customers do not design our solutions into their product offerings, or if our customers’ product offerings are not commercially successful, our business would suffer.</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penetrate new markets, including the automotive original equipment manufacturer (OEM), advanced driver assistance systems (ADAS) market, our revenue and financial condition could be harmed.</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Shortages in, or increased costs of, wafers and materials could adversely impact our gross margins and lead to reduced revenues.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primary inventory warehouse is located in Hong Kong and may be affected by political, social and economic conditions in Hong Kong.</w:t>
      </w:r>
    </w:p>
    <w:p>
      <w:pPr>
        <w:spacing w:after="0" w:line="140" w:lineRule="exact"/>
        <w:rPr>
          <w:rFonts w:ascii="Arial" w:cs="Arial" w:eastAsia="Arial" w:hAnsi="Arial"/>
          <w:sz w:val="16"/>
          <w:szCs w:val="16"/>
          <w:color w:val="auto"/>
        </w:rPr>
      </w:pPr>
    </w:p>
    <w:p>
      <w:pPr>
        <w:ind w:left="1020" w:right="22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target markets may not grow or develop as we currently expect and are subject to market risks, any of which could harm our business, revenue and operating results.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COVID-19 pandemic has adversely affected our business and could materially and adversely affect our business in the future.</w:t>
      </w:r>
    </w:p>
    <w:p>
      <w:pPr>
        <w:spacing w:after="0" w:line="128" w:lineRule="exact"/>
        <w:rPr>
          <w:rFonts w:ascii="Arial" w:cs="Arial" w:eastAsia="Arial" w:hAnsi="Arial"/>
          <w:sz w:val="17"/>
          <w:szCs w:val="17"/>
          <w:color w:val="auto"/>
        </w:rPr>
      </w:pPr>
    </w:p>
    <w:p>
      <w:pPr>
        <w:ind w:left="1020" w:right="30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left="503" w:right="2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a limited number of customers and end customers for a significant portion of our revenue. If we fail to retain or expand our customer relationships, our revenue could decline.</w:t>
      </w:r>
    </w:p>
    <w:p>
      <w:pPr>
        <w:spacing w:after="0" w:line="62" w:lineRule="exact"/>
        <w:rPr>
          <w:rFonts w:ascii="Arial" w:cs="Arial" w:eastAsia="Arial" w:hAnsi="Arial"/>
          <w:sz w:val="18"/>
          <w:szCs w:val="18"/>
          <w:color w:val="auto"/>
        </w:rPr>
      </w:pPr>
    </w:p>
    <w:p>
      <w:pPr>
        <w:ind w:left="503" w:right="440" w:hanging="503"/>
        <w:spacing w:after="0" w:line="342"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 w:lineRule="exact"/>
        <w:rPr>
          <w:rFonts w:ascii="Arial" w:cs="Arial" w:eastAsia="Arial" w:hAnsi="Arial"/>
          <w:sz w:val="16"/>
          <w:szCs w:val="16"/>
          <w:color w:val="auto"/>
        </w:rPr>
      </w:pPr>
    </w:p>
    <w:p>
      <w:pPr>
        <w:ind w:left="503" w:right="400" w:hanging="503"/>
        <w:spacing w:after="0" w:line="263"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75"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competition to increase in the future, which could have an adverse effect on our revenue and market share.</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our security systems may have a material adverse effect on our business.</w:t>
      </w:r>
    </w:p>
    <w:p>
      <w:pPr>
        <w:spacing w:after="0" w:line="117"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we intend to continue to invest in research and development, we may be unable to make the substantial investments that are required to remain competitive in our business.</w:t>
      </w:r>
    </w:p>
    <w:p>
      <w:pPr>
        <w:spacing w:after="0" w:line="62" w:lineRule="exact"/>
        <w:rPr>
          <w:rFonts w:ascii="Arial" w:cs="Arial" w:eastAsia="Arial" w:hAnsi="Arial"/>
          <w:sz w:val="18"/>
          <w:szCs w:val="18"/>
          <w:color w:val="auto"/>
        </w:rPr>
      </w:pPr>
    </w:p>
    <w:p>
      <w:pPr>
        <w:ind w:left="503" w:right="24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62" w:lineRule="exact"/>
        <w:rPr>
          <w:rFonts w:ascii="Arial" w:cs="Arial" w:eastAsia="Arial" w:hAnsi="Arial"/>
          <w:sz w:val="18"/>
          <w:szCs w:val="18"/>
          <w:color w:val="auto"/>
        </w:rPr>
      </w:pPr>
    </w:p>
    <w:p>
      <w:pPr>
        <w:ind w:left="503" w:right="30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are unable to manage any future growth, we may not be able to execute our business plan and our operating results could suffer.</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the financial conditions of our customers could adversely affect our operating results.</w:t>
      </w:r>
    </w:p>
    <w:p>
      <w:pPr>
        <w:spacing w:after="0" w:line="117" w:lineRule="exact"/>
        <w:rPr>
          <w:rFonts w:ascii="Arial" w:cs="Arial" w:eastAsia="Arial" w:hAnsi="Arial"/>
          <w:sz w:val="18"/>
          <w:szCs w:val="18"/>
          <w:color w:val="auto"/>
        </w:rPr>
      </w:pPr>
    </w:p>
    <w:p>
      <w:pPr>
        <w:ind w:left="503" w:right="42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 We may have difficulty accurately predicting our future revenue and appropriately budgeting our expenses.</w:t>
      </w:r>
    </w:p>
    <w:p>
      <w:pPr>
        <w:spacing w:after="0" w:line="62" w:lineRule="exact"/>
        <w:rPr>
          <w:rFonts w:ascii="Arial" w:cs="Arial" w:eastAsia="Arial" w:hAnsi="Arial"/>
          <w:sz w:val="18"/>
          <w:szCs w:val="18"/>
          <w:color w:val="auto"/>
        </w:rPr>
      </w:pPr>
    </w:p>
    <w:p>
      <w:pPr>
        <w:ind w:left="503" w:right="360" w:hanging="503"/>
        <w:spacing w:after="0" w:line="263"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5" w:lineRule="exact"/>
        <w:rPr>
          <w:rFonts w:ascii="Arial" w:cs="Arial" w:eastAsia="Arial" w:hAnsi="Arial"/>
          <w:sz w:val="18"/>
          <w:szCs w:val="18"/>
          <w:color w:val="auto"/>
        </w:rPr>
      </w:pPr>
    </w:p>
    <w:p>
      <w:pPr>
        <w:ind w:left="503" w:right="1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62" w:lineRule="exact"/>
        <w:rPr>
          <w:rFonts w:ascii="Arial" w:cs="Arial" w:eastAsia="Arial" w:hAnsi="Arial"/>
          <w:sz w:val="18"/>
          <w:szCs w:val="18"/>
          <w:color w:val="auto"/>
        </w:rPr>
      </w:pPr>
    </w:p>
    <w:p>
      <w:pPr>
        <w:ind w:left="503" w:right="4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changing industry standards could make our video and image processing solutions obsolete, which would cause our operating results to suffer.</w:t>
      </w:r>
    </w:p>
    <w:p>
      <w:pPr>
        <w:spacing w:after="0" w:line="62" w:lineRule="exact"/>
        <w:rPr>
          <w:rFonts w:ascii="Arial" w:cs="Arial" w:eastAsia="Arial" w:hAnsi="Arial"/>
          <w:sz w:val="18"/>
          <w:szCs w:val="18"/>
          <w:color w:val="auto"/>
        </w:rPr>
      </w:pPr>
    </w:p>
    <w:p>
      <w:pPr>
        <w:jc w:val="both"/>
        <w:ind w:left="503" w:right="340" w:hanging="503"/>
        <w:spacing w:after="0" w:line="342"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 w:lineRule="exact"/>
        <w:rPr>
          <w:rFonts w:ascii="Arial" w:cs="Arial" w:eastAsia="Arial" w:hAnsi="Arial"/>
          <w:sz w:val="16"/>
          <w:szCs w:val="16"/>
          <w:color w:val="auto"/>
        </w:rPr>
      </w:pPr>
    </w:p>
    <w:p>
      <w:pPr>
        <w:ind w:left="503" w:right="20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integration risks relating to our acquisition of Oculii Corp. Any acquisitions we may make in the future could disrupt our business, cause dilution to our shareholders, reduce our financial resources and harm our business.</w:t>
      </w:r>
    </w:p>
    <w:p>
      <w:pPr>
        <w:spacing w:after="0" w:line="62"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tax risks, including relating to the complexity of calculating our tax provision, changes in effective tax rates, or unfavorable tax law changes.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our operating results on a quarterly and annual basis could cause the market price of our ordinary shares to decline.</w:t>
      </w:r>
    </w:p>
    <w:p>
      <w:pPr>
        <w:spacing w:after="0" w:line="128" w:lineRule="exact"/>
        <w:rPr>
          <w:rFonts w:ascii="Arial" w:cs="Arial" w:eastAsia="Arial" w:hAnsi="Arial"/>
          <w:sz w:val="17"/>
          <w:szCs w:val="17"/>
          <w:color w:val="auto"/>
        </w:rPr>
      </w:pPr>
    </w:p>
    <w:p>
      <w:pPr>
        <w:ind w:left="503" w:hanging="503"/>
        <w:spacing w:after="0"/>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do not generate revenue growth, we may not be able to execute our business plan and our operating results could suffer.</w:t>
      </w:r>
    </w:p>
    <w:p>
      <w:pPr>
        <w:spacing w:after="0" w:line="117" w:lineRule="exact"/>
        <w:rPr>
          <w:rFonts w:ascii="Arial" w:cs="Arial" w:eastAsia="Arial" w:hAnsi="Arial"/>
          <w:sz w:val="18"/>
          <w:szCs w:val="18"/>
          <w:color w:val="auto"/>
        </w:rPr>
      </w:pPr>
    </w:p>
    <w:p>
      <w:pPr>
        <w:ind w:left="503" w:right="8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rFonts w:ascii="Arial" w:cs="Arial" w:eastAsia="Arial" w:hAnsi="Arial"/>
          <w:sz w:val="18"/>
          <w:szCs w:val="18"/>
          <w:color w:val="auto"/>
        </w:rPr>
      </w:pPr>
    </w:p>
    <w:p>
      <w:pPr>
        <w:ind w:left="503" w:right="320"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incorporate components supplied by multiple third parties, and a supply shortage or delay in delivery of these components could delay orders for our solutions by our customers.</w:t>
      </w:r>
    </w:p>
    <w:p>
      <w:pPr>
        <w:spacing w:after="0" w:line="62" w:lineRule="exact"/>
        <w:rPr>
          <w:rFonts w:ascii="Arial" w:cs="Arial" w:eastAsia="Arial" w:hAnsi="Arial"/>
          <w:sz w:val="18"/>
          <w:szCs w:val="18"/>
          <w:color w:val="auto"/>
        </w:rPr>
      </w:pPr>
    </w:p>
    <w:p>
      <w:pPr>
        <w:ind w:left="503" w:hanging="503"/>
        <w:spacing w:after="0" w:line="263"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8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5" w:right="339" w:bottom="1440" w:gutter="0" w:footer="0" w:header="0"/>
        </w:sectPr>
      </w:pPr>
    </w:p>
    <w:bookmarkStart w:id="30" w:name="page31"/>
    <w:bookmarkEnd w:id="30"/>
    <w:p>
      <w:pPr>
        <w:ind w:left="1020" w:right="38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product inventories.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various third party vendors, service providers and contractors in the operation of our business.</w:t>
      </w:r>
    </w:p>
    <w:p>
      <w:pPr>
        <w:spacing w:after="0" w:line="117" w:lineRule="exact"/>
        <w:rPr>
          <w:rFonts w:ascii="Arial" w:cs="Arial" w:eastAsia="Arial" w:hAnsi="Arial"/>
          <w:sz w:val="18"/>
          <w:szCs w:val="18"/>
          <w:color w:val="auto"/>
        </w:rPr>
      </w:pPr>
    </w:p>
    <w:p>
      <w:pPr>
        <w:ind w:left="1020" w:right="80" w:hanging="503"/>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sell our products to certain China customers has been restricted. In addition, we are subject to governmental export and import controls that could subject us to liability or impair our ability to compete in international markets, including China.</w:t>
      </w:r>
    </w:p>
    <w:p>
      <w:pPr>
        <w:spacing w:after="0" w:line="3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and political conditions, including high inflation and trade restrictions, may impact our business and financial condition in ways that we currently cannot predict.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warranty and product liability claims and to product recalls.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numerous regulatory compliance requirements, which are costly to comply with, and our failure to comply with these requirements could harm our business and operating results.</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b w:val="1"/>
          <w:bCs w:val="1"/>
          <w:i w:val="1"/>
          <w:iCs w:val="1"/>
          <w:color w:val="auto"/>
        </w:rPr>
        <w:t>Impacts of the global semiconductor supply shortage and uncertain macroeconomic conditions could adversely affect our business, financial condition, and results of operations.</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While we are continuing to work closely with our suppliers and customers to minimize the potential adverse impacts of the supply shortage and longer lead times, we have experienced increased volatility in our business. In recent periods, some customers have indicated they are reducing their inventory levels as lead times for semiconductor chips and other components used by customers begin to shrink, which has reduced, and may continue to reduce, such customers’ demand for our products and harm our financial results. To the extent customers face supply chain issues with respect to other components needed to pair with our products in order to produce their end products, such customers may delay future orders of our products or hold inventory of our products for longer periods of time. With respect to our suppliers, we have in the past experienced supply constraints for certain chips from Samsung and we may in the future experience similar issues. Impacts of the global supply shortages and uncertainty in customer demand and the worldwide economy in general may be exacerbated by the impacts of high inflation and global banking concerns, and we may experience increased volatility in sales and revenues as a result.</w:t>
      </w:r>
    </w:p>
    <w:p>
      <w:pPr>
        <w:spacing w:after="0" w:line="16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70"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ind w:right="140" w:firstLine="509"/>
        <w:spacing w:after="0" w:line="296" w:lineRule="auto"/>
        <w:rPr>
          <w:sz w:val="20"/>
          <w:szCs w:val="20"/>
          <w:color w:val="auto"/>
        </w:rPr>
      </w:pPr>
      <w:r>
        <w:rPr>
          <w:rFonts w:ascii="Arial" w:cs="Arial" w:eastAsia="Arial" w:hAnsi="Arial"/>
          <w:sz w:val="16"/>
          <w:szCs w:val="16"/>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fail to penetrate new markets, including the automotive OEM ADAS market, our revenue and financial condition could be harmed.</w:t>
      </w:r>
    </w:p>
    <w:p>
      <w:pPr>
        <w:spacing w:after="0" w:line="24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believe that our future revenue growth, if any, will significantly depend on our ability to expand within the Internet of Things, or IoT, camera markets with our new artificial intelligence, or AI, computer vision SoC solutions, and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7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7"/>
          <w:szCs w:val="17"/>
          <w:b w:val="1"/>
          <w:bCs w:val="1"/>
          <w:i w:val="1"/>
          <w:iCs w:val="1"/>
          <w:color w:val="auto"/>
        </w:rPr>
        <w:t>Shortages in, or increased costs of, wafers and materials could adversely impact our gross margins and lead to reduced revenues.</w:t>
      </w:r>
    </w:p>
    <w:p>
      <w:pPr>
        <w:spacing w:after="0" w:line="23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has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 In recent periods, some customers have indicated they are reducing their inventory levels as lead times for semiconductor chips and other components used by customers shrink, which may reduce such customers’ demand for our products in future periods and harm our financial results.</w:t>
      </w:r>
    </w:p>
    <w:p>
      <w:pPr>
        <w:spacing w:after="0" w:line="18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b w:val="1"/>
          <w:bCs w:val="1"/>
          <w:i w:val="1"/>
          <w:iCs w:val="1"/>
          <w:color w:val="auto"/>
        </w:rPr>
        <w:t>Our primary inventory warehouse is located in Hong Kong and may be affected by continued political, social, health and economic conditions in Hong Kong.</w:t>
      </w:r>
    </w:p>
    <w:p>
      <w:pPr>
        <w:spacing w:after="0" w:line="17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the COVID-19 pandemic. The Bureau of Industry and Security, or BIS, has imposed restrictions on exports and reexports of U.S.-controlled items to Hong Kong by imposing on Hong Kong the same stringent licensing requirements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7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computer vision technology in automotive or IP security camera applications could slow the demand for our new solutions. If our key target markets do not grow, grow slower, or do not develop in ways that we currently expect, demand for our SoCs may not materialize as expected, and our business and operating results could suffer.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ind w:left="520"/>
        <w:spacing w:after="0"/>
        <w:rPr>
          <w:sz w:val="20"/>
          <w:szCs w:val="20"/>
          <w:color w:val="auto"/>
        </w:rPr>
      </w:pPr>
      <w:r>
        <w:rPr>
          <w:rFonts w:ascii="Arial" w:cs="Arial" w:eastAsia="Arial" w:hAnsi="Arial"/>
          <w:sz w:val="17"/>
          <w:szCs w:val="17"/>
          <w:b w:val="1"/>
          <w:bCs w:val="1"/>
          <w:i w:val="1"/>
          <w:iCs w:val="1"/>
          <w:color w:val="auto"/>
        </w:rPr>
        <w:t>The COVID-19 pandemic has adversely affected our business and could materially and adversely affect our business in the future.</w:t>
      </w:r>
    </w:p>
    <w:p>
      <w:pPr>
        <w:spacing w:after="0" w:line="237"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Our business has been, and is expected to continue to be, adversely impacted by the effects of the COVID-19 pandemic. In addition to global macroeconomic effects, the COVID-19 pandemic and related adverse public health developments caused, and may again cause, disruption to our operations. We have had to impose remote or work from home conditions at different times for varying periods of time in most of our offices. Approximately 360 of our employees are located in Taiwan and approximately 220 employees are located in China, and lengthy closures of these offices could significantly disrupt our software engineering and customer support operations. In addition, we and our suppliers, third-party distributors and customers have been, and may in the future again be, disrupted by quarantines and restrictions on certain employees’ ability to perform their jobs, office closures or restrictions, disruptions to shipping infrastructure, or other travel or health-related restrictions. Moreover, if there is a significant COVID-19 outbreak that impacts Samsung’s ability to manufacture our SoCs or our third-party contractors’ ability to assemble, test and ship our products, we could experience delays or reductions in our ability to ship products to our customers.</w:t>
      </w:r>
    </w:p>
    <w:p>
      <w:pPr>
        <w:spacing w:after="0" w:line="18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Since fiscal year 2023, we have experienced, and we expect to continue to experience, a significant disruption of orders by customers, due in part to impacts of the COVID-19 pandemic. During the first half of fiscal year 2023, we experienced a significant increase in the manufacturing lead time for our products, including supply constraints for certain chips from Samsung Electronics Corporation (Samsung), which disrupted the normal ordering patterns of our customers and harmed our revenue, but which may have in turn led to increased customer demand for our products in order to increase their inventory levels. In recent periods, some customers have indicated they are reducing their inventory levels as lead times for semiconductor chips and other components used by customers shrink, which has reduced, and may continue to reduce, such customers’ demand for our products in future periods. High inflation may exacerbate these risks. In addition, decreased consumer demand from the impact of pandemic lockdowns in China contributed to, and could in the future contribute to, decreased revenue in consumer-related markets. There can be no assurance that any decrease in sales resulting from the impacts of the COVID-19 pandemic will be offset by increased sales in subsequent periods.</w:t>
      </w:r>
    </w:p>
    <w:p>
      <w:pPr>
        <w:spacing w:after="0" w:line="18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17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have increased our inventory levels in the near term. In recent periods, some customers have indicated they are reducing their inventory levels of our products, which may reduce such customers’ demand for our products in future quarters.</w:t>
      </w:r>
    </w:p>
    <w:p>
      <w:pPr>
        <w:spacing w:after="0" w:line="17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7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 w:name="page35"/>
    <w:bookmarkEnd w:id="34"/>
    <w:p>
      <w:pPr>
        <w:ind w:right="460" w:firstLine="509"/>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7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2023, the customers representing 10% or more of our revenue were WT Microelectronics Co., Ltd., or WT, our distributor, and Chicony Electronics Co., Ltd., or Chicony, a direct ODM customer, which accounted for approximately 57% and 12% of total revenue, respectively. For the three months ended April 30, 2023, the customers representing 10% or more of the revenue were WT, Chicony and Motorola Solutions Inc., or Motorola, a direct OEM customer, which accounted for approximately 49%, 16% and 11% of total revenue, respectively. In addition, we believe that revenue from our top 10 OEM customers, either directly or through a distributor or an ODM on behalf of it, accounted for approximately 47% of our total revenue in fiscal year 2023 and accounted for approximately 54% of our total revenue for the three months ended April 30, 2023.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2"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4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9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8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225"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6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or radar standards;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computer vision, video and image processing technologies and sales and marketing personnel.</w:t>
      </w:r>
    </w:p>
    <w:p>
      <w:pPr>
        <w:spacing w:after="0" w:line="170" w:lineRule="exact"/>
        <w:rPr>
          <w:sz w:val="20"/>
          <w:szCs w:val="20"/>
          <w:color w:val="auto"/>
        </w:rPr>
      </w:pPr>
    </w:p>
    <w:p>
      <w:pPr>
        <w:ind w:right="440" w:firstLine="509"/>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incidents, and attacks compromising or otherwise impacting their products, and their products may contain security vulnerabilities, each of which could impact our systems.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penalties, damages, and other liabilities, any of which could have a material adverse effect on our business, financial condition, our reputation, and our relationships with our customers and partners. We may also encounter errors resulting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39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third-party service providers also are subject to similar, and in certain cases greater, security threats. Any unauthorized access by third parties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w:t>
      </w:r>
    </w:p>
    <w:p>
      <w:pPr>
        <w:spacing w:after="0" w:line="192"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$204.9 million, $167.3 million and $140.8 million in fiscal years 2023, 2022 and 2021, respectively. For the three months ended April 30, 2023, our research and development expense was $54.4 million.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225"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24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70"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24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63" w:lineRule="exact"/>
        <w:rPr>
          <w:sz w:val="20"/>
          <w:szCs w:val="20"/>
          <w:color w:val="auto"/>
        </w:rPr>
      </w:pPr>
    </w:p>
    <w:p>
      <w:pPr>
        <w:ind w:left="1020" w:right="3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able to secure sufficient manufacturing capacity.</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2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Deterioration of the financial condition of our distributors or customers could adversely impact our collection of accounts receivable. For the fiscal year ended January 31, 2023, the customers representing 10% or more of revenue were WT and Chicony, which accounted for approximately 57% and 12% of total revenue, respectively. For the three months ended April 30, 2023, the customers representing 10% or more of revenue were WT, Chicony and Motorola, which accounted for approximately 49%, 16% and 11% of total revenue, respectively. As of April 30, 2023, accounts receivable with WT, Chicony and Motorola were approximately $8.7 million, $9.9 million and $5.1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25"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Most recently, some customers have indicated their intent to reduce their inventory levels as capacity shortages improve, which may decrease such customers’ demand for our solutions in future periods and, in turn, harm our financial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right="180" w:firstLine="509"/>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211"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540" w:firstLine="509"/>
        <w:spacing w:after="0" w:line="381"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0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84" w:lineRule="exact"/>
        <w:rPr>
          <w:sz w:val="20"/>
          <w:szCs w:val="20"/>
          <w:color w:val="auto"/>
        </w:rPr>
      </w:pPr>
    </w:p>
    <w:p>
      <w:pPr>
        <w:ind w:left="5540" w:right="5200" w:hanging="5023"/>
        <w:spacing w:after="0" w:line="623" w:lineRule="auto"/>
        <w:tabs>
          <w:tab w:leader="none" w:pos="10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complexity and costs of managing international operations;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 from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 including the ongoing conflict in Ukraine;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local laws and regulations and unanticipated changes in local laws and regulations, including tax laws and regulations;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integration risks relating to our acquisition of Oculii Corp.</w:t>
      </w:r>
    </w:p>
    <w:p>
      <w:pPr>
        <w:spacing w:after="0" w:line="22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 November 2021, we completed our acquisition of Oculii Corp. The benefits we expect to realize from this acquisition will depend, in part, on our ability to integrate the businesses successfully and efficiently.</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acquired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This integration has been complex and time consuming and requires substantial resources and effort. If the businesses or technology are not successfully integrated, the anticipated benefits of the merger may not be realized fully or at all or may take longer to realize than expected. In addition, the acquisition may also result in significant charges or other liabilities, including taxes, that could adversely affect our results of operations.</w:t>
      </w:r>
    </w:p>
    <w:p>
      <w:pPr>
        <w:spacing w:after="0" w:line="17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23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Fluctuations in our operating results on a quarterly and annual basis could cause the market price of our ordinary shares to decline.</w:t>
      </w:r>
    </w:p>
    <w:p>
      <w:pPr>
        <w:spacing w:after="0" w:line="24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effects of the COVID-19 pandemic, recent supply chain disruptions and semiconductor capacity shortages, and high inflation. In future periods, our forecasted or actual revenue and results of operations may be below the expectations of analysts and investors, which could cause the market price of our ordinary shares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our customers’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020" w:right="7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investment or other asset values;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020" w:right="260" w:hanging="503"/>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socioeconomic and political conditions in the countries where we operate or where our products are sold or used, including recent macroeconomic volatility, the COVID-19 pandemic, U.S.-China relations and the conditions in Hong Kong;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ind w:right="20" w:firstLine="509"/>
        <w:spacing w:after="0" w:line="271"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23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24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6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82%, 88% and 88% of our total revenue in fiscal years 2023, 2022 and 2021, respectively. For the three months ended April 30, 2023, sales to customers in Asia accounted for approximately 74%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right="60" w:firstLine="509"/>
        <w:spacing w:after="0" w:line="293" w:lineRule="auto"/>
        <w:rPr>
          <w:sz w:val="20"/>
          <w:szCs w:val="20"/>
          <w:color w:val="auto"/>
        </w:rPr>
      </w:pPr>
      <w:r>
        <w:rPr>
          <w:rFonts w:ascii="Arial" w:cs="Arial" w:eastAsia="Arial" w:hAnsi="Arial"/>
          <w:sz w:val="16"/>
          <w:szCs w:val="16"/>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6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As of April 30, 2023, we had approximately $102.3 million in money market funds and debt security investments. The debt security investments consisted of commercial paper, debt securities of corporations or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186"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7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We believe these shortages were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firstLine="509"/>
        <w:spacing w:after="0" w:line="381"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00"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7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6"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sell a significant percentage of our solutions through a single distributor, WT, which serves as our non-exclusive sales representative in Asia, other than Japan. Approximately 57%, 62% and 63% of our revenue was derived from sales through WT for the fiscal years ended January 31, 2023, 2022 and 2021, respectively, and approximately 49% of our revenue was derived from sales through WT for the three months ended April 30, 2023.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225"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right="20" w:firstLine="509"/>
        <w:spacing w:after="0" w:line="290"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23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right="580" w:firstLine="509"/>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7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70"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7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and supercomputing to China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p>
    <w:p>
      <w:pPr>
        <w:spacing w:after="0" w:line="161"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40" w:firstLine="509"/>
        <w:spacing w:after="0" w:line="269" w:lineRule="auto"/>
        <w:rPr>
          <w:sz w:val="20"/>
          <w:szCs w:val="20"/>
          <w:color w:val="auto"/>
        </w:rPr>
      </w:pPr>
      <w:r>
        <w:rPr>
          <w:rFonts w:ascii="Arial" w:cs="Arial" w:eastAsia="Arial" w:hAnsi="Arial"/>
          <w:sz w:val="17"/>
          <w:szCs w:val="17"/>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82"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We have significant business operations in Taiwan, including approximately 360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22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Several of our customers, including Hangzhou Hikvision Digital Technology Co., Ltd, or Hikvision, Zhejiang Dahua Technology Co., Ltd., or Dahua, and affiliates of Shenzhen Dajiang Baiwang Technology Co., Ltd., have been added to the Entity List of the Bureau of Industry and Security, or BIS, of the U.S. Department of Commerce, or Commerce, which imposes limitations on the supply of certain U.S. items to the listed entities. In October 2022, BIS imposed additional restrictions on transactions with Dahua involving items subject to BIS export regulations. These export regulations negatively impact our ability to ship items subject to BIS regulations to these listed entities.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7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9" w:name="page50"/>
    <w:bookmarkEnd w:id="49"/>
    <w:p>
      <w:pPr>
        <w:ind w:firstLine="509"/>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are subject to governmental laws, regulations and other legal obligations related to privacy, data protection and cybersecurity.</w:t>
      </w:r>
    </w:p>
    <w:p>
      <w:pPr>
        <w:spacing w:after="0" w:line="237"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Other U.S. states have proposed, and in certain cases enacted, similar general privacy legislation.</w:t>
      </w:r>
    </w:p>
    <w:p>
      <w:pPr>
        <w:spacing w:after="0" w:line="179"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166"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7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380" w:firstLine="509"/>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0"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24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79"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9" w:lineRule="exact"/>
        <w:rPr>
          <w:sz w:val="20"/>
          <w:szCs w:val="20"/>
          <w:color w:val="auto"/>
        </w:rPr>
      </w:pPr>
    </w:p>
    <w:p>
      <w:pPr>
        <w:ind w:right="120" w:firstLine="509"/>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4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for enactment by European Union member states by December 31, 2023, with implementation into the domestic laws of those states by the end of 2023, with the rules to be applicable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right="20" w:firstLine="509"/>
        <w:spacing w:after="0" w:line="293" w:lineRule="auto"/>
        <w:rPr>
          <w:sz w:val="20"/>
          <w:szCs w:val="20"/>
          <w:color w:val="auto"/>
        </w:rPr>
      </w:pPr>
      <w:r>
        <w:rPr>
          <w:rFonts w:ascii="Arial" w:cs="Arial" w:eastAsia="Arial" w:hAnsi="Arial"/>
          <w:sz w:val="16"/>
          <w:szCs w:val="16"/>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64"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21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2023 fiscal year or the foreseeable future. However, a separate determination must be made at the close of each taxable year as to whether we are a PFIC for that taxable year, and we cannot assure you that we will not be a PFIC for our 2024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7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10%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40" w:firstLine="509"/>
        <w:spacing w:after="0" w:line="293" w:lineRule="auto"/>
        <w:rPr>
          <w:sz w:val="20"/>
          <w:szCs w:val="20"/>
          <w:color w:val="auto"/>
        </w:rPr>
      </w:pPr>
      <w:r>
        <w:rPr>
          <w:rFonts w:ascii="Arial" w:cs="Arial" w:eastAsia="Arial" w:hAnsi="Arial"/>
          <w:sz w:val="16"/>
          <w:szCs w:val="16"/>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 revision to the U.S. federal income tax law applicable to owners of CFCs.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7"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 or</w:t>
      </w:r>
    </w:p>
    <w:p>
      <w:pPr>
        <w:spacing w:after="0" w:line="140"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 significant impairment of our intellectual property rights from any litigation we face could harm our business and our ability to compete.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$61.98 at the close of trading on April 28, 2023. The trading price of our ordinary shares is likely to remain volatile and could be subject to wide fluctuations in price in response to various factors, some of which are beyond our control. These factors include:</w:t>
      </w:r>
    </w:p>
    <w:p>
      <w:pPr>
        <w:spacing w:after="0" w:line="79"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economic performance or market valuations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including conditions related to the banking industry or caused by pandemics and high inflation, and slow or negative market growth;</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not meet or exceed our guidance and investor expectations, which would likely cause our stock price to decline.</w:t>
      </w:r>
    </w:p>
    <w:p>
      <w:pPr>
        <w:spacing w:after="0" w:line="17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22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78"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7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70"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ind w:left="1020" w:right="40" w:hanging="503"/>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8" w:lineRule="exact"/>
        <w:rPr>
          <w:rFonts w:ascii="Arial" w:cs="Arial" w:eastAsia="Arial" w:hAnsi="Arial"/>
          <w:sz w:val="17"/>
          <w:szCs w:val="17"/>
          <w:color w:val="auto"/>
        </w:rPr>
      </w:pPr>
    </w:p>
    <w:p>
      <w:pPr>
        <w:ind w:left="1020" w:right="6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248"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Subject to limited exceptions, under Cayman Islands law, a minority shareholder may not bring a derivative action against the board of directors.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20" w:firstLine="509"/>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70"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pandemics, including the COVID-19 pandemic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40" w:type="dxa"/>
            <w:vAlign w:val="bottom"/>
            <w:gridSpan w:val="6"/>
          </w:tcPr>
          <w:p>
            <w:pPr>
              <w:ind w:left="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940" w:type="dxa"/>
            <w:vAlign w:val="bottom"/>
            <w:gridSpan w:val="6"/>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80" w:type="dxa"/>
            <w:vAlign w:val="bottom"/>
            <w:gridSpan w:val="2"/>
          </w:tcPr>
          <w:p>
            <w:pPr>
              <w:ind w:left="140"/>
              <w:spacing w:after="0"/>
              <w:rPr>
                <w:sz w:val="20"/>
                <w:szCs w:val="20"/>
                <w:color w:val="auto"/>
              </w:rPr>
            </w:pPr>
            <w:r>
              <w:rPr>
                <w:rFonts w:ascii="Arial" w:cs="Arial" w:eastAsia="Arial" w:hAnsi="Arial"/>
                <w:sz w:val="18"/>
                <w:szCs w:val="18"/>
                <w:color w:val="auto"/>
              </w:rPr>
              <w:t>3.1(1)</w:t>
            </w:r>
          </w:p>
        </w:tc>
        <w:tc>
          <w:tcPr>
            <w:tcW w:w="10060" w:type="dxa"/>
            <w:vAlign w:val="bottom"/>
            <w:gridSpan w:val="9"/>
          </w:tcPr>
          <w:p>
            <w:pPr>
              <w:spacing w:after="0"/>
              <w:rPr>
                <w:rFonts w:ascii="Arial" w:cs="Arial" w:eastAsia="Arial" w:hAnsi="Arial"/>
                <w:sz w:val="18"/>
                <w:szCs w:val="18"/>
                <w:color w:val="0000FF"/>
                <w:w w:val="96"/>
              </w:rPr>
            </w:pPr>
            <w:hyperlink r:id="rId209">
              <w:r>
                <w:rPr>
                  <w:rFonts w:ascii="Arial" w:cs="Arial" w:eastAsia="Arial" w:hAnsi="Arial"/>
                  <w:sz w:val="18"/>
                  <w:szCs w:val="18"/>
                  <w:color w:val="0000FF"/>
                  <w:w w:val="96"/>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2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0000FF"/>
                <w:w w:val="91"/>
              </w:rPr>
              <w:t>Amendment No. 7 to Sales Representative Agreement by and between Ambarella, Inc. and WT Microelectronics Co., Ltd. dated March 15,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0000FF"/>
                <w:w w:val="84"/>
              </w:rPr>
              <w:t>2023.</w:t>
            </w:r>
          </w:p>
        </w:tc>
        <w:tc>
          <w:tcPr>
            <w:tcW w:w="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0000FF"/>
                <w:w w:val="95"/>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60" w:type="dxa"/>
            <w:vAlign w:val="bottom"/>
            <w:gridSpan w:val="9"/>
          </w:tcPr>
          <w:p>
            <w:pPr>
              <w:spacing w:after="0" w:line="196" w:lineRule="exact"/>
              <w:rPr>
                <w:sz w:val="20"/>
                <w:szCs w:val="20"/>
                <w:color w:val="auto"/>
              </w:rPr>
            </w:pPr>
            <w:r>
              <w:rPr>
                <w:rFonts w:ascii="Arial" w:cs="Arial" w:eastAsia="Arial" w:hAnsi="Arial"/>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0000FF"/>
                <w:w w:val="96"/>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60" w:type="dxa"/>
            <w:vAlign w:val="bottom"/>
            <w:gridSpan w:val="9"/>
          </w:tcPr>
          <w:p>
            <w:pPr>
              <w:spacing w:after="0" w:line="196" w:lineRule="exact"/>
              <w:rPr>
                <w:sz w:val="20"/>
                <w:szCs w:val="20"/>
                <w:color w:val="auto"/>
              </w:rPr>
            </w:pPr>
            <w:r>
              <w:rPr>
                <w:rFonts w:ascii="Arial" w:cs="Arial" w:eastAsia="Arial" w:hAnsi="Arial"/>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Required Under Rule 13a-14(b) of the Securities Exchange Act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69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60" w:type="dxa"/>
            <w:vAlign w:val="bottom"/>
            <w:gridSpan w:val="9"/>
          </w:tcPr>
          <w:p>
            <w:pPr>
              <w:spacing w:after="0" w:line="196" w:lineRule="exact"/>
              <w:rPr>
                <w:sz w:val="20"/>
                <w:szCs w:val="20"/>
                <w:color w:val="auto"/>
              </w:rPr>
            </w:pPr>
            <w:r>
              <w:rPr>
                <w:rFonts w:ascii="Arial" w:cs="Arial" w:eastAsia="Arial" w:hAnsi="Arial"/>
                <w:sz w:val="18"/>
                <w:szCs w:val="18"/>
                <w:color w:val="0000FF"/>
              </w:rPr>
              <w:t>of 1934, as amended, and 18 U.S.C. §1350.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gridSpan w:val="2"/>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6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9"/>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91"/>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9"/>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9"/>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9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9"/>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60" w:right="340" w:hanging="1159"/>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April 30, 2023,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8312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58" w:lineRule="exact"/>
        <w:rPr>
          <w:sz w:val="20"/>
          <w:szCs w:val="20"/>
          <w:color w:val="auto"/>
        </w:rPr>
      </w:pPr>
    </w:p>
    <w:p>
      <w:pPr>
        <w:ind w:left="1160" w:right="400" w:hanging="1159"/>
        <w:spacing w:after="0" w:line="26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ind w:left="1160" w:hanging="115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w:t>
      </w:r>
    </w:p>
    <w:p>
      <w:pPr>
        <w:spacing w:after="0" w:line="23" w:lineRule="exact"/>
        <w:rPr>
          <w:rFonts w:ascii="Arial" w:cs="Arial" w:eastAsia="Arial" w:hAnsi="Arial"/>
          <w:sz w:val="18"/>
          <w:szCs w:val="18"/>
          <w:color w:val="auto"/>
        </w:rPr>
      </w:pPr>
    </w:p>
    <w:p>
      <w:pPr>
        <w:ind w:left="1160" w:right="40"/>
        <w:spacing w:after="0" w:line="273" w:lineRule="auto"/>
        <w:rPr>
          <w:rFonts w:ascii="Arial" w:cs="Arial" w:eastAsia="Arial" w:hAnsi="Arial"/>
          <w:sz w:val="18"/>
          <w:szCs w:val="18"/>
          <w:color w:val="auto"/>
        </w:rPr>
      </w:pPr>
      <w:r>
        <w:rPr>
          <w:rFonts w:ascii="Arial" w:cs="Arial" w:eastAsia="Arial" w:hAnsi="Arial"/>
          <w:sz w:val="17"/>
          <w:szCs w:val="17"/>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21" w:right="319" w:bottom="1440" w:gutter="0" w:footer="0" w:header="0"/>
        </w:sectPr>
      </w:pPr>
    </w:p>
    <w:bookmarkStart w:id="59" w:name="page60"/>
    <w:bookmarkEnd w:id="59"/>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310" w:lineRule="exact"/>
        <w:rPr>
          <w:sz w:val="20"/>
          <w:szCs w:val="20"/>
          <w:color w:val="auto"/>
        </w:rPr>
      </w:pPr>
    </w:p>
    <w:p>
      <w:pPr>
        <w:ind w:left="20"/>
        <w:spacing w:after="0"/>
        <w:tabs>
          <w:tab w:leader="none" w:pos="5760" w:val="left"/>
          <w:tab w:leader="none" w:pos="8020" w:val="left"/>
        </w:tabs>
        <w:rPr>
          <w:sz w:val="20"/>
          <w:szCs w:val="20"/>
          <w:color w:val="auto"/>
        </w:rPr>
      </w:pPr>
      <w:r>
        <w:rPr>
          <w:rFonts w:ascii="Arial" w:cs="Arial" w:eastAsia="Arial" w:hAnsi="Arial"/>
          <w:sz w:val="18"/>
          <w:szCs w:val="18"/>
          <w:color w:val="auto"/>
        </w:rPr>
        <w:t>Date: June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1032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Feng-Ming Wang</w:t>
      </w:r>
    </w:p>
    <w:p>
      <w:pPr>
        <w:spacing w:after="0" w:line="10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93" w:lineRule="exact"/>
        <w:rPr>
          <w:sz w:val="20"/>
          <w:szCs w:val="20"/>
          <w:color w:val="auto"/>
        </w:rPr>
      </w:pPr>
    </w:p>
    <w:p>
      <w:pPr>
        <w:ind w:left="20"/>
        <w:spacing w:after="0"/>
        <w:tabs>
          <w:tab w:leader="none" w:pos="5760" w:val="left"/>
          <w:tab w:leader="none" w:pos="8100" w:val="left"/>
        </w:tabs>
        <w:rPr>
          <w:sz w:val="20"/>
          <w:szCs w:val="20"/>
          <w:color w:val="auto"/>
        </w:rPr>
      </w:pPr>
      <w:r>
        <w:rPr>
          <w:rFonts w:ascii="Arial" w:cs="Arial" w:eastAsia="Arial" w:hAnsi="Arial"/>
          <w:sz w:val="18"/>
          <w:szCs w:val="18"/>
          <w:color w:val="auto"/>
        </w:rPr>
        <w:t>Date: June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23495</wp:posOffset>
            </wp:positionV>
            <wp:extent cx="31032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Brian C. White</w:t>
      </w:r>
    </w:p>
    <w:p>
      <w:pPr>
        <w:spacing w:after="0" w:line="109"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10.1</w:t>
      </w:r>
    </w:p>
    <w:p>
      <w:pPr>
        <w:spacing w:after="0" w:line="262" w:lineRule="exact"/>
        <w:rPr>
          <w:sz w:val="20"/>
          <w:szCs w:val="20"/>
          <w:color w:val="auto"/>
        </w:rPr>
      </w:pPr>
    </w:p>
    <w:p>
      <w:pPr>
        <w:ind w:right="140"/>
        <w:spacing w:after="0" w:line="471" w:lineRule="auto"/>
        <w:rPr>
          <w:sz w:val="20"/>
          <w:szCs w:val="20"/>
          <w:color w:val="auto"/>
        </w:rPr>
      </w:pPr>
      <w:r>
        <w:rPr>
          <w:rFonts w:ascii="Arial" w:cs="Arial" w:eastAsia="Arial" w:hAnsi="Arial"/>
          <w:sz w:val="13"/>
          <w:szCs w:val="13"/>
          <w:color w:val="auto"/>
        </w:rPr>
        <w:t>CERTAIN IDENTIFIED INFORMATION HAS BEEN EXCLUDED FROM THE EXHIBIT BECAUSE IT IS BOTH (I) NOT MATERIAL AND (II) WOULD BE COMPETITIVELY HARMFUL IF PUBLICLY DISCLOSED, AND THE EXCLUDED TERMS HAVE BEEN MARKED AT THE APPROPRIATE PLACE WITH AN ASTERISK [*].</w:t>
      </w:r>
    </w:p>
    <w:p>
      <w:pPr>
        <w:spacing w:after="0" w:line="8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AMENDMENT NO. 7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SALES REPRESENTATIVE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7 to Sales Representatve Agreement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by and between Ambarella Internatonal LP, an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Ontario, Canada limited partnership having a place of business at PO Box 309, Ugland House, Grand Cayman, KY1-1104, Cayman Islands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WT Microelectronics Co., Ltd., with a place of business at 14F, No. 738, Chung Cheng Road, Chung Ho City, Taipei Hsien,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Taiwan, R.O.C. (“</w:t>
      </w:r>
      <w:r>
        <w:rPr>
          <w:rFonts w:ascii="Arial" w:cs="Arial" w:eastAsia="Arial" w:hAnsi="Arial"/>
          <w:sz w:val="20"/>
          <w:szCs w:val="20"/>
          <w:b w:val="1"/>
          <w:bCs w:val="1"/>
          <w:color w:val="auto"/>
        </w:rPr>
        <w:t>Representatve</w:t>
      </w:r>
      <w:r>
        <w:rPr>
          <w:rFonts w:ascii="Arial" w:cs="Arial" w:eastAsia="Arial" w:hAnsi="Arial"/>
          <w:sz w:val="20"/>
          <w:szCs w:val="20"/>
          <w:color w:val="auto"/>
        </w:rPr>
        <w:t>”).</w:t>
      </w:r>
    </w:p>
    <w:p>
      <w:pPr>
        <w:spacing w:after="0" w:line="179"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WHEREAS, Ambarella, Inc. (an afliate of Ambarella Internatonal LP) and Representatve entered into a Sales Representatve Agreement, efectve January 31, 2011, as amended by Amendment No. 1 to Sales Representatve Agreement, efectve February 1, 2012, Amendment No. 2 to Sales Representatve Agreement, efectve October 1, 2012, Amendment No. 3 to Sales Representatve Agreement, efectve February 1, 2013, Amendment to Extend Term of Sales Representatve Agreement, efectve August 1, 2015, Amendment to Sales Representatve Agreement, efectve June 1, 2019, and Amendment No. 6 to Sales Representatve Agreement, efectve May 1, 2021 (collectvely,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50"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color w:val="auto"/>
        </w:rPr>
        <w:t>WHEREAS, Ambarella, Inc. assigned the Agreement to Ambarella Internatonal LP, efectve December 7, 2020, and the partes now wish to amend the Agreement;</w:t>
      </w:r>
    </w:p>
    <w:p>
      <w:pPr>
        <w:spacing w:after="0" w:line="150" w:lineRule="exact"/>
        <w:rPr>
          <w:sz w:val="20"/>
          <w:szCs w:val="20"/>
          <w:color w:val="auto"/>
        </w:rPr>
      </w:pPr>
    </w:p>
    <w:p>
      <w:pPr>
        <w:ind w:right="340"/>
        <w:spacing w:after="0" w:line="264" w:lineRule="auto"/>
        <w:rPr>
          <w:sz w:val="20"/>
          <w:szCs w:val="20"/>
          <w:color w:val="auto"/>
        </w:rPr>
      </w:pPr>
      <w:r>
        <w:rPr>
          <w:rFonts w:ascii="Arial" w:cs="Arial" w:eastAsia="Arial" w:hAnsi="Arial"/>
          <w:sz w:val="20"/>
          <w:szCs w:val="20"/>
          <w:color w:val="auto"/>
        </w:rPr>
        <w:t>NOW, THEREFORE, in consideraton of the terms and conditons set forth in this Amendment, and for other good and valuable consideraton, the receipt and sufciency of which is hereby acknowledged, the partes agree that the Agreement is hereby amended as follows:</w:t>
      </w:r>
    </w:p>
    <w:p>
      <w:pPr>
        <w:spacing w:after="0" w:line="146" w:lineRule="exact"/>
        <w:rPr>
          <w:sz w:val="20"/>
          <w:szCs w:val="20"/>
          <w:color w:val="auto"/>
        </w:rPr>
      </w:pPr>
    </w:p>
    <w:p>
      <w:pPr>
        <w:ind w:left="760" w:right="280" w:hanging="378"/>
        <w:spacing w:after="0" w:line="274" w:lineRule="auto"/>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Unless otherwise defned herein, all capitalized terms set forth herein shall have the same meanings atributed to such terms in the Agreement.</w:t>
      </w:r>
    </w:p>
    <w:p>
      <w:pPr>
        <w:spacing w:after="0" w:line="136" w:lineRule="exact"/>
        <w:rPr>
          <w:rFonts w:ascii="Arial" w:cs="Arial" w:eastAsia="Arial" w:hAnsi="Arial"/>
          <w:sz w:val="20"/>
          <w:szCs w:val="20"/>
          <w:color w:val="auto"/>
        </w:rPr>
      </w:pPr>
    </w:p>
    <w:p>
      <w:pPr>
        <w:ind w:left="760" w:right="480" w:hanging="378"/>
        <w:spacing w:after="0" w:line="264" w:lineRule="auto"/>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Amendment shall become efectve on March 6, 2023 (“</w:t>
      </w:r>
      <w:r>
        <w:rPr>
          <w:rFonts w:ascii="Arial" w:cs="Arial" w:eastAsia="Arial" w:hAnsi="Arial"/>
          <w:sz w:val="20"/>
          <w:szCs w:val="20"/>
          <w:b w:val="1"/>
          <w:bCs w:val="1"/>
          <w:color w:val="auto"/>
        </w:rPr>
        <w:t>Amendment Efectve Date</w:t>
      </w:r>
      <w:r>
        <w:rPr>
          <w:rFonts w:ascii="Arial" w:cs="Arial" w:eastAsia="Arial" w:hAnsi="Arial"/>
          <w:sz w:val="20"/>
          <w:szCs w:val="20"/>
          <w:color w:val="auto"/>
        </w:rPr>
        <w:t>”) and expire or terminate upon the expiraton or terminaton of the Agreement. The provisions of this Amendment shall survive expiraton or terminaton to the extent set forth in the Agreement.</w:t>
      </w:r>
    </w:p>
    <w:p>
      <w:pPr>
        <w:spacing w:after="0" w:line="159" w:lineRule="exact"/>
        <w:rPr>
          <w:rFonts w:ascii="Arial" w:cs="Arial" w:eastAsia="Arial" w:hAnsi="Arial"/>
          <w:sz w:val="20"/>
          <w:szCs w:val="20"/>
          <w:color w:val="auto"/>
        </w:rPr>
      </w:pPr>
    </w:p>
    <w:p>
      <w:pPr>
        <w:ind w:left="760" w:right="100" w:hanging="378"/>
        <w:spacing w:after="0" w:line="258" w:lineRule="auto"/>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Extension of Term</w:t>
      </w:r>
      <w:r>
        <w:rPr>
          <w:rFonts w:ascii="Arial" w:cs="Arial" w:eastAsia="Arial" w:hAnsi="Arial"/>
          <w:sz w:val="20"/>
          <w:szCs w:val="20"/>
          <w:color w:val="auto"/>
        </w:rPr>
        <w:t xml:space="preserve">. With efect from March 6, 2023, and subject to the provisions of Secton 14 of the Agreement, the term of the Agreement shall be extended to and including </w:t>
      </w:r>
      <w:r>
        <w:rPr>
          <w:rFonts w:ascii="Arial" w:cs="Arial" w:eastAsia="Arial" w:hAnsi="Arial"/>
          <w:sz w:val="20"/>
          <w:szCs w:val="20"/>
          <w:b w:val="1"/>
          <w:bCs w:val="1"/>
          <w:color w:val="auto"/>
        </w:rPr>
        <w:t>January 31, 2026</w:t>
      </w:r>
      <w:r>
        <w:rPr>
          <w:rFonts w:ascii="Arial" w:cs="Arial" w:eastAsia="Arial" w:hAnsi="Arial"/>
          <w:sz w:val="20"/>
          <w:szCs w:val="20"/>
          <w:color w:val="auto"/>
        </w:rPr>
        <w:t xml:space="preserve"> (the “</w:t>
      </w:r>
      <w:r>
        <w:rPr>
          <w:rFonts w:ascii="Arial" w:cs="Arial" w:eastAsia="Arial" w:hAnsi="Arial"/>
          <w:sz w:val="20"/>
          <w:szCs w:val="20"/>
          <w:b w:val="1"/>
          <w:bCs w:val="1"/>
          <w:color w:val="auto"/>
        </w:rPr>
        <w:t>Term</w:t>
      </w:r>
      <w:r>
        <w:rPr>
          <w:rFonts w:ascii="Arial" w:cs="Arial" w:eastAsia="Arial" w:hAnsi="Arial"/>
          <w:sz w:val="20"/>
          <w:szCs w:val="20"/>
          <w:color w:val="auto"/>
        </w:rPr>
        <w:t>”). If the partes contnue to perform under the Agreement afer the expiraton of the foregoing Term, the Agreement will then automatcally renew for successive fxed terms of twelve (12) months each unless terminated by writen notce at least sixty (60) days prior to each consecutve anniversary date hereof.</w:t>
      </w:r>
    </w:p>
    <w:p>
      <w:pPr>
        <w:spacing w:after="0" w:line="154" w:lineRule="exact"/>
        <w:rPr>
          <w:rFonts w:ascii="Arial" w:cs="Arial" w:eastAsia="Arial" w:hAnsi="Arial"/>
          <w:sz w:val="20"/>
          <w:szCs w:val="20"/>
          <w:color w:val="auto"/>
        </w:rPr>
      </w:pPr>
    </w:p>
    <w:p>
      <w:pPr>
        <w:ind w:left="760" w:hanging="378"/>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following are appended to Secton 8 (Orders) of the Agreement as new Secton 8(c) and Secton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62" w:name="page63"/>
    <w:bookmarkEnd w:id="62"/>
    <w:p>
      <w:pPr>
        <w:ind w:left="10280"/>
        <w:spacing w:after="0"/>
        <w:rPr>
          <w:sz w:val="20"/>
          <w:szCs w:val="20"/>
          <w:color w:val="auto"/>
        </w:rPr>
      </w:pPr>
      <w:r>
        <w:rPr>
          <w:rFonts w:ascii="Arial" w:cs="Arial" w:eastAsia="Arial" w:hAnsi="Arial"/>
          <w:sz w:val="16"/>
          <w:szCs w:val="16"/>
          <w:b w:val="1"/>
          <w:bCs w:val="1"/>
          <w:color w:val="auto"/>
        </w:rPr>
        <w:t>Exhibit 10.1</w:t>
      </w:r>
    </w:p>
    <w:p>
      <w:pPr>
        <w:spacing w:after="0" w:line="308" w:lineRule="exact"/>
        <w:rPr>
          <w:sz w:val="20"/>
          <w:szCs w:val="20"/>
          <w:color w:val="auto"/>
        </w:rPr>
      </w:pPr>
    </w:p>
    <w:p>
      <w:pPr>
        <w:ind w:right="140"/>
        <w:spacing w:after="0" w:line="471" w:lineRule="auto"/>
        <w:rPr>
          <w:sz w:val="20"/>
          <w:szCs w:val="20"/>
          <w:color w:val="auto"/>
        </w:rPr>
      </w:pPr>
      <w:r>
        <w:rPr>
          <w:rFonts w:ascii="Arial" w:cs="Arial" w:eastAsia="Arial" w:hAnsi="Arial"/>
          <w:sz w:val="13"/>
          <w:szCs w:val="13"/>
          <w:color w:val="auto"/>
        </w:rPr>
        <w:t>CERTAIN IDENTIFIED INFORMATION HAS BEEN EXCLUDED FROM THE EXHIBIT BECAUSE IT IS BOTH (I) NOT MATERIAL AND (II) WOULD BE COMPETITIVELY HARMFUL IF PUBLICLY DISCLOSED, AND THE EXCLUDED TERMS HAVE BEEN MARKED AT THE APPROPRIATE PLACE WITH AN ASTERISK [*].</w:t>
      </w:r>
    </w:p>
    <w:p>
      <w:pPr>
        <w:spacing w:after="0" w:line="82" w:lineRule="exact"/>
        <w:rPr>
          <w:sz w:val="20"/>
          <w:szCs w:val="20"/>
          <w:color w:val="auto"/>
        </w:rPr>
      </w:pPr>
    </w:p>
    <w:p>
      <w:pPr>
        <w:ind w:left="760" w:hanging="3"/>
        <w:spacing w:after="0" w:line="264" w:lineRule="auto"/>
        <w:tabs>
          <w:tab w:leader="none" w:pos="11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Unless otherwise approved in writng by COMPANY, orders are subject to the following terms and conditons: orders are non-cancellable and non-reschedulable except that Representatve may reschedule an order at least [*], provided that the new delivery date is [*] and the order may not be rescheduled more than [*].</w:t>
      </w:r>
    </w:p>
    <w:p>
      <w:pPr>
        <w:spacing w:after="0" w:line="145" w:lineRule="exact"/>
        <w:rPr>
          <w:rFonts w:ascii="Arial" w:cs="Arial" w:eastAsia="Arial" w:hAnsi="Arial"/>
          <w:sz w:val="20"/>
          <w:szCs w:val="20"/>
          <w:color w:val="auto"/>
        </w:rPr>
      </w:pPr>
    </w:p>
    <w:p>
      <w:pPr>
        <w:ind w:left="760" w:right="80" w:hanging="3"/>
        <w:spacing w:after="0" w:line="260" w:lineRule="auto"/>
        <w:tabs>
          <w:tab w:leader="none" w:pos="11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When selling Products to Customers, Representatve will include the following terms and conditons in its sales quote to the Customer or its sales agreement with Customer: the Customer’s purchase order is non-cancellable and non-reschedulable except that the Customer may reschedule a purchase order at least [*], provided that the new delivery date is [*] and the purchase order may not be rescheduled more than [*].</w:t>
      </w:r>
    </w:p>
    <w:p>
      <w:pPr>
        <w:spacing w:after="0" w:line="164" w:lineRule="exact"/>
        <w:rPr>
          <w:sz w:val="20"/>
          <w:szCs w:val="20"/>
          <w:color w:val="auto"/>
        </w:rPr>
      </w:pPr>
    </w:p>
    <w:p>
      <w:pPr>
        <w:ind w:left="760" w:right="200" w:hanging="378"/>
        <w:spacing w:after="0" w:line="332"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otherwise provided in this Amendment, all terms and conditons of the Agreement shall remain in full force and efect. To the extent this Amendment conficts with the Agreement, the terms and conditons of this Amendment shall control.</w:t>
      </w:r>
    </w:p>
    <w:p>
      <w:pPr>
        <w:spacing w:after="0" w:line="89" w:lineRule="exact"/>
        <w:rPr>
          <w:sz w:val="20"/>
          <w:szCs w:val="20"/>
          <w:color w:val="auto"/>
        </w:rPr>
      </w:pPr>
    </w:p>
    <w:p>
      <w:pPr>
        <w:ind w:right="1040"/>
        <w:spacing w:after="0" w:line="274" w:lineRule="auto"/>
        <w:rPr>
          <w:sz w:val="20"/>
          <w:szCs w:val="20"/>
          <w:color w:val="auto"/>
        </w:rPr>
      </w:pPr>
      <w:r>
        <w:rPr>
          <w:rFonts w:ascii="Arial" w:cs="Arial" w:eastAsia="Arial" w:hAnsi="Arial"/>
          <w:sz w:val="20"/>
          <w:szCs w:val="20"/>
          <w:color w:val="auto"/>
        </w:rPr>
        <w:t>IN WITNESS WHEREOF, the partes have caused their duly authorized representatves to execute this Amendment No. 7 to Sales Representatve Agreement as of the Amendment Efectve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Pr>
          <w:p>
            <w:pPr>
              <w:ind w:left="100"/>
              <w:spacing w:after="0"/>
              <w:rPr>
                <w:sz w:val="20"/>
                <w:szCs w:val="20"/>
                <w:color w:val="auto"/>
              </w:rPr>
            </w:pPr>
            <w:r>
              <w:rPr>
                <w:rFonts w:ascii="Arial" w:cs="Arial" w:eastAsia="Arial" w:hAnsi="Arial"/>
                <w:sz w:val="20"/>
                <w:szCs w:val="20"/>
                <w:b w:val="1"/>
                <w:bCs w:val="1"/>
                <w:color w:val="auto"/>
              </w:rPr>
              <w:t>Ambarella Internatonal LP</w:t>
            </w:r>
          </w:p>
        </w:tc>
        <w:tc>
          <w:tcPr>
            <w:tcW w:w="5700" w:type="dxa"/>
            <w:vAlign w:val="bottom"/>
            <w:gridSpan w:val="2"/>
          </w:tcPr>
          <w:p>
            <w:pPr>
              <w:ind w:left="180"/>
              <w:spacing w:after="0"/>
              <w:rPr>
                <w:sz w:val="20"/>
                <w:szCs w:val="20"/>
                <w:color w:val="auto"/>
              </w:rPr>
            </w:pPr>
            <w:r>
              <w:rPr>
                <w:rFonts w:ascii="Arial" w:cs="Arial" w:eastAsia="Arial" w:hAnsi="Arial"/>
                <w:sz w:val="20"/>
                <w:szCs w:val="20"/>
                <w:b w:val="1"/>
                <w:bCs w:val="1"/>
                <w:color w:val="auto"/>
              </w:rPr>
              <w:t>WT Microelectronics Co., Ltd.</w:t>
            </w:r>
          </w:p>
        </w:tc>
      </w:tr>
      <w:tr>
        <w:trPr>
          <w:trHeight w:val="243"/>
        </w:trPr>
        <w:tc>
          <w:tcPr>
            <w:tcW w:w="5540" w:type="dxa"/>
            <w:vAlign w:val="bottom"/>
          </w:tcPr>
          <w:p>
            <w:pPr>
              <w:ind w:left="100"/>
              <w:spacing w:after="0"/>
              <w:rPr>
                <w:sz w:val="20"/>
                <w:szCs w:val="20"/>
                <w:color w:val="auto"/>
              </w:rPr>
            </w:pPr>
            <w:r>
              <w:rPr>
                <w:rFonts w:ascii="Arial" w:cs="Arial" w:eastAsia="Arial" w:hAnsi="Arial"/>
                <w:sz w:val="20"/>
                <w:szCs w:val="20"/>
                <w:b w:val="1"/>
                <w:bCs w:val="1"/>
                <w:color w:val="auto"/>
                <w:w w:val="89"/>
              </w:rPr>
              <w:t>(represented by Ambarella, Inc., actng in its capacity as General</w:t>
            </w:r>
          </w:p>
        </w:tc>
        <w:tc>
          <w:tcPr>
            <w:tcW w:w="66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252"/>
        </w:trPr>
        <w:tc>
          <w:tcPr>
            <w:tcW w:w="5540" w:type="dxa"/>
            <w:vAlign w:val="bottom"/>
          </w:tcPr>
          <w:p>
            <w:pPr>
              <w:ind w:left="100"/>
              <w:spacing w:after="0"/>
              <w:rPr>
                <w:sz w:val="20"/>
                <w:szCs w:val="20"/>
                <w:color w:val="auto"/>
              </w:rPr>
            </w:pPr>
            <w:r>
              <w:rPr>
                <w:rFonts w:ascii="Arial" w:cs="Arial" w:eastAsia="Arial" w:hAnsi="Arial"/>
                <w:sz w:val="20"/>
                <w:szCs w:val="20"/>
                <w:b w:val="1"/>
                <w:bCs w:val="1"/>
                <w:color w:val="auto"/>
              </w:rPr>
              <w:t>Partner of Ambarella Internatonal LP)</w:t>
            </w:r>
          </w:p>
        </w:tc>
        <w:tc>
          <w:tcPr>
            <w:tcW w:w="66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511"/>
        </w:trPr>
        <w:tc>
          <w:tcPr>
            <w:tcW w:w="5540" w:type="dxa"/>
            <w:vAlign w:val="bottom"/>
          </w:tcPr>
          <w:p>
            <w:pPr>
              <w:ind w:left="100"/>
              <w:spacing w:after="0"/>
              <w:rPr>
                <w:sz w:val="20"/>
                <w:szCs w:val="20"/>
                <w:color w:val="auto"/>
              </w:rPr>
            </w:pPr>
            <w:r>
              <w:rPr>
                <w:rFonts w:ascii="Arial" w:cs="Arial" w:eastAsia="Arial" w:hAnsi="Arial"/>
                <w:sz w:val="20"/>
                <w:szCs w:val="20"/>
                <w:color w:val="auto"/>
              </w:rPr>
              <w:t>By: /s/ Yun-Lung Chen</w:t>
            </w:r>
          </w:p>
        </w:tc>
        <w:tc>
          <w:tcPr>
            <w:tcW w:w="5700" w:type="dxa"/>
            <w:vAlign w:val="bottom"/>
            <w:gridSpan w:val="2"/>
          </w:tcPr>
          <w:p>
            <w:pPr>
              <w:ind w:left="180"/>
              <w:spacing w:after="0"/>
              <w:rPr>
                <w:sz w:val="20"/>
                <w:szCs w:val="20"/>
                <w:color w:val="auto"/>
              </w:rPr>
            </w:pPr>
            <w:r>
              <w:rPr>
                <w:rFonts w:ascii="Arial" w:cs="Arial" w:eastAsia="Arial" w:hAnsi="Arial"/>
                <w:sz w:val="20"/>
                <w:szCs w:val="20"/>
                <w:color w:val="auto"/>
              </w:rPr>
              <w:t>By:  /s/ Eric Cheng</w:t>
            </w:r>
          </w:p>
        </w:tc>
      </w:tr>
      <w:tr>
        <w:trPr>
          <w:trHeight w:val="513"/>
        </w:trPr>
        <w:tc>
          <w:tcPr>
            <w:tcW w:w="5540" w:type="dxa"/>
            <w:vAlign w:val="bottom"/>
          </w:tcPr>
          <w:p>
            <w:pPr>
              <w:ind w:left="100"/>
              <w:spacing w:after="0"/>
              <w:rPr>
                <w:sz w:val="20"/>
                <w:szCs w:val="20"/>
                <w:color w:val="auto"/>
              </w:rPr>
            </w:pPr>
            <w:r>
              <w:rPr>
                <w:rFonts w:ascii="Arial" w:cs="Arial" w:eastAsia="Arial" w:hAnsi="Arial"/>
                <w:sz w:val="20"/>
                <w:szCs w:val="20"/>
                <w:color w:val="auto"/>
              </w:rPr>
              <w:t>Name: Yun-Lung Chen</w:t>
            </w:r>
          </w:p>
        </w:tc>
        <w:tc>
          <w:tcPr>
            <w:tcW w:w="5700" w:type="dxa"/>
            <w:vAlign w:val="bottom"/>
            <w:gridSpan w:val="2"/>
          </w:tcPr>
          <w:p>
            <w:pPr>
              <w:ind w:left="180"/>
              <w:spacing w:after="0"/>
              <w:rPr>
                <w:sz w:val="20"/>
                <w:szCs w:val="20"/>
                <w:color w:val="auto"/>
              </w:rPr>
            </w:pPr>
            <w:r>
              <w:rPr>
                <w:rFonts w:ascii="Arial" w:cs="Arial" w:eastAsia="Arial" w:hAnsi="Arial"/>
                <w:sz w:val="20"/>
                <w:szCs w:val="20"/>
                <w:color w:val="auto"/>
              </w:rPr>
              <w:t>Name:  Eric Cheng</w:t>
            </w:r>
          </w:p>
        </w:tc>
      </w:tr>
      <w:tr>
        <w:trPr>
          <w:trHeight w:val="513"/>
        </w:trPr>
        <w:tc>
          <w:tcPr>
            <w:tcW w:w="5540" w:type="dxa"/>
            <w:vAlign w:val="bottom"/>
          </w:tcPr>
          <w:p>
            <w:pPr>
              <w:ind w:left="100"/>
              <w:spacing w:after="0"/>
              <w:rPr>
                <w:sz w:val="20"/>
                <w:szCs w:val="20"/>
                <w:color w:val="auto"/>
              </w:rPr>
            </w:pPr>
            <w:r>
              <w:rPr>
                <w:rFonts w:ascii="Arial" w:cs="Arial" w:eastAsia="Arial" w:hAnsi="Arial"/>
                <w:sz w:val="20"/>
                <w:szCs w:val="20"/>
                <w:color w:val="auto"/>
              </w:rPr>
              <w:t>Title:  VP</w:t>
            </w:r>
          </w:p>
        </w:tc>
        <w:tc>
          <w:tcPr>
            <w:tcW w:w="660" w:type="dxa"/>
            <w:vAlign w:val="bottom"/>
          </w:tcPr>
          <w:p>
            <w:pPr>
              <w:ind w:left="180"/>
              <w:spacing w:after="0"/>
              <w:rPr>
                <w:sz w:val="20"/>
                <w:szCs w:val="20"/>
                <w:color w:val="auto"/>
              </w:rPr>
            </w:pPr>
            <w:r>
              <w:rPr>
                <w:rFonts w:ascii="Arial" w:cs="Arial" w:eastAsia="Arial" w:hAnsi="Arial"/>
                <w:sz w:val="20"/>
                <w:szCs w:val="20"/>
                <w:color w:val="auto"/>
              </w:rPr>
              <w:t>Title:</w:t>
            </w:r>
          </w:p>
        </w:tc>
        <w:tc>
          <w:tcPr>
            <w:tcW w:w="5040" w:type="dxa"/>
            <w:vAlign w:val="bottom"/>
          </w:tcPr>
          <w:p>
            <w:pPr>
              <w:ind w:left="60"/>
              <w:spacing w:after="0"/>
              <w:rPr>
                <w:sz w:val="20"/>
                <w:szCs w:val="20"/>
                <w:color w:val="auto"/>
              </w:rPr>
            </w:pPr>
            <w:r>
              <w:rPr>
                <w:rFonts w:ascii="Arial" w:cs="Arial" w:eastAsia="Arial" w:hAnsi="Arial"/>
                <w:sz w:val="20"/>
                <w:szCs w:val="20"/>
                <w:color w:val="auto"/>
              </w:rPr>
              <w:t>Chairman and CEO</w:t>
            </w:r>
          </w:p>
        </w:tc>
      </w:tr>
      <w:tr>
        <w:trPr>
          <w:trHeight w:val="513"/>
        </w:trPr>
        <w:tc>
          <w:tcPr>
            <w:tcW w:w="5540" w:type="dxa"/>
            <w:vAlign w:val="bottom"/>
          </w:tcPr>
          <w:p>
            <w:pPr>
              <w:ind w:left="100"/>
              <w:spacing w:after="0"/>
              <w:rPr>
                <w:sz w:val="20"/>
                <w:szCs w:val="20"/>
                <w:color w:val="auto"/>
              </w:rPr>
            </w:pPr>
            <w:r>
              <w:rPr>
                <w:rFonts w:ascii="Arial" w:cs="Arial" w:eastAsia="Arial" w:hAnsi="Arial"/>
                <w:sz w:val="20"/>
                <w:szCs w:val="20"/>
                <w:color w:val="auto"/>
              </w:rPr>
              <w:t>Date: March 15, 2023</w:t>
            </w:r>
          </w:p>
        </w:tc>
        <w:tc>
          <w:tcPr>
            <w:tcW w:w="660" w:type="dxa"/>
            <w:vAlign w:val="bottom"/>
          </w:tcPr>
          <w:p>
            <w:pPr>
              <w:ind w:left="180"/>
              <w:spacing w:after="0"/>
              <w:rPr>
                <w:sz w:val="20"/>
                <w:szCs w:val="20"/>
                <w:color w:val="auto"/>
              </w:rPr>
            </w:pPr>
            <w:r>
              <w:rPr>
                <w:rFonts w:ascii="Arial" w:cs="Arial" w:eastAsia="Arial" w:hAnsi="Arial"/>
                <w:sz w:val="20"/>
                <w:szCs w:val="20"/>
                <w:color w:val="auto"/>
                <w:w w:val="96"/>
              </w:rPr>
              <w:t>Date:</w:t>
            </w:r>
          </w:p>
        </w:tc>
        <w:tc>
          <w:tcPr>
            <w:tcW w:w="5040" w:type="dxa"/>
            <w:vAlign w:val="bottom"/>
          </w:tcPr>
          <w:p>
            <w:pPr>
              <w:ind w:left="80"/>
              <w:spacing w:after="0"/>
              <w:rPr>
                <w:sz w:val="20"/>
                <w:szCs w:val="20"/>
                <w:color w:val="auto"/>
              </w:rPr>
            </w:pPr>
            <w:r>
              <w:rPr>
                <w:rFonts w:ascii="Arial" w:cs="Arial" w:eastAsia="Arial" w:hAnsi="Arial"/>
                <w:sz w:val="20"/>
                <w:szCs w:val="20"/>
                <w:color w:val="auto"/>
              </w:rPr>
              <w:t>March 6, 2023</w:t>
            </w:r>
          </w:p>
        </w:tc>
      </w:tr>
      <w:tr>
        <w:trPr>
          <w:trHeight w:val="808"/>
        </w:trPr>
        <w:tc>
          <w:tcPr>
            <w:tcW w:w="5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8"/>
        <w:spacing w:after="0" w:line="263" w:lineRule="auto"/>
        <w:tabs>
          <w:tab w:leader="none" w:pos="1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7"/>
        <w:spacing w:after="0" w:line="277" w:lineRule="auto"/>
        <w:tabs>
          <w:tab w:leader="none" w:pos="7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40" w:firstLine="517"/>
        <w:spacing w:after="0" w:line="277" w:lineRule="auto"/>
        <w:tabs>
          <w:tab w:leader="none" w:pos="7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26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23495</wp:posOffset>
            </wp:positionV>
            <wp:extent cx="30689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Feng-Ming Wang</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Brian C. White,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8"/>
        <w:spacing w:after="0" w:line="263"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7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7"/>
        <w:spacing w:after="0" w:line="277" w:lineRule="auto"/>
        <w:tabs>
          <w:tab w:leader="none" w:pos="7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40" w:firstLine="517"/>
        <w:spacing w:after="0" w:line="277" w:lineRule="auto"/>
        <w:tabs>
          <w:tab w:leader="none" w:pos="7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35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Brian C. White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April 30,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320" w:lineRule="exact"/>
        <w:rPr>
          <w:sz w:val="20"/>
          <w:szCs w:val="20"/>
          <w:color w:val="auto"/>
        </w:rPr>
      </w:pPr>
    </w:p>
    <w:tbl>
      <w:tblPr>
        <w:tblLayout w:type="fixed"/>
        <w:tblInd w:w="64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Feng-Ming Wang</w:t>
            </w:r>
          </w:p>
        </w:tc>
      </w:tr>
      <w:tr>
        <w:trPr>
          <w:trHeight w:val="242"/>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Brian C. White, certify, pursuant to 18 U.S.C. Section 1350, as adopted pursuant to Section 906 of the Sarbanes-Oxley Act of 2002, that the Quarterly Report of Ambarella, Inc. on Form 10-Q for the fiscal quarter ended April 30, 2023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6, 2023</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00" w:type="dxa"/>
            <w:vAlign w:val="bottom"/>
          </w:tcPr>
          <w:p>
            <w:pPr>
              <w:ind w:left="64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 White</w:t>
            </w:r>
          </w:p>
        </w:tc>
      </w:tr>
      <w:tr>
        <w:trPr>
          <w:trHeight w:val="230"/>
        </w:trPr>
        <w:tc>
          <w:tcPr>
            <w:tcW w:w="7300" w:type="dxa"/>
            <w:vAlign w:val="bottom"/>
          </w:tcPr>
          <w:p>
            <w:pPr>
              <w:ind w:left="642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Brian C. White</w:t>
            </w:r>
          </w:p>
        </w:tc>
      </w:tr>
      <w:tr>
        <w:trPr>
          <w:trHeight w:val="242"/>
        </w:trPr>
        <w:tc>
          <w:tcPr>
            <w:tcW w:w="7300" w:type="dxa"/>
            <w:vAlign w:val="bottom"/>
          </w:tcPr>
          <w:p>
            <w:pPr>
              <w:ind w:left="642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60"/>
        </w:trPr>
        <w:tc>
          <w:tcPr>
            <w:tcW w:w="7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9"/>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0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09"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2023-06-06T14:09:24Z</dcterms:created>
  <dcterms:modified xsi:type="dcterms:W3CDTF">2023-06-06T14:09:24Z</dcterms:modified>
</cp:coreProperties>
</file>