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952d8k.htm"/>
      <w:bookmarkStart w:id="1" w:name="ksd889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September 3,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Cayman Islands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001-35667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98-0459628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 R. 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3001 Tasman Drive</w:t>
      </w:r>
    </w:p>
    <w:p>
      <w:pPr>
        <w:pStyle w:val="TextBody"/>
        <w:bidi w:val="0"/>
        <w:spacing w:before="0" w:after="0"/>
        <w:jc w:val="center"/>
        <w:rPr>
          <w:rFonts w:ascii="Times New Roman" w:hAnsi="Times New Roman"/>
          <w:b/>
          <w:sz w:val="20"/>
        </w:rPr>
      </w:pPr>
      <w:r>
        <w:rPr>
          <w:rFonts w:ascii="Times New Roman" w:hAnsi="Times New Roman"/>
          <w:b/>
          <w:sz w:val="20"/>
        </w:rPr>
        <w:t>Santa Clara, CA 95054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(408) 734-8888</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65" w:type="dxa"/>
        <w:jc w:val="left"/>
        <w:tblInd w:w="0" w:type="dxa"/>
        <w:tblLayout w:type="fixed"/>
        <w:tblCellMar>
          <w:top w:w="0" w:type="dxa"/>
          <w:left w:w="0" w:type="dxa"/>
          <w:bottom w:w="0" w:type="dxa"/>
          <w:right w:w="0" w:type="dxa"/>
        </w:tblCellMar>
      </w:tblPr>
      <w:tblGrid>
        <w:gridCol w:w="3530"/>
        <w:gridCol w:w="60"/>
        <w:gridCol w:w="755"/>
        <w:gridCol w:w="60"/>
        <w:gridCol w:w="3260"/>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5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530" w:type="dxa"/>
            <w:tcBorders/>
            <w:vAlign w:val="center"/>
          </w:tcPr>
          <w:p>
            <w:pPr>
              <w:pStyle w:val="TableContents"/>
              <w:bidi w:val="0"/>
              <w:spacing w:before="0" w:after="283"/>
              <w:jc w:val="center"/>
              <w:rPr/>
            </w:pPr>
            <w:r>
              <w:rPr/>
              <w:t>Ordinary Shares, $0.00045 par value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AMBA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 2026, Ambarella, Inc. (the “Company”) issued a press release announcing its financial results for the second quarter of fiscal year 2027 ended July 31, 2026. A copy of the press release is attached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and the exhibits attached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8952dex991.htm">
              <w:r>
                <w:rPr>
                  <w:rStyle w:val="InternetLink"/>
                </w:rPr>
                <w:t xml:space="preserve">Press Release dated September 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961" w:type="dxa"/>
        <w:jc w:val="left"/>
        <w:tblInd w:w="0" w:type="dxa"/>
        <w:tblLayout w:type="fixed"/>
        <w:tblCellMar>
          <w:top w:w="0" w:type="dxa"/>
          <w:left w:w="0" w:type="dxa"/>
          <w:bottom w:w="0" w:type="dxa"/>
          <w:right w:w="0" w:type="dxa"/>
        </w:tblCellMar>
      </w:tblPr>
      <w:tblGrid>
        <w:gridCol w:w="2510"/>
        <w:gridCol w:w="60"/>
        <w:gridCol w:w="23"/>
        <w:gridCol w:w="60"/>
        <w:gridCol w:w="23"/>
        <w:gridCol w:w="60"/>
        <w:gridCol w:w="22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September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b/>
              </w:rPr>
            </w:pPr>
            <w:r>
              <w:rPr>
                <w:b/>
              </w:rPr>
              <w:t>Ambarella,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A. Young</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8952dex991.htm"/>
      <w:bookmarkStart w:id="3" w:name="ksd8895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Ambarella, Inc. Announces Second Quarter Fiscal Year 2027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September 3, 2026 —Santa Clara, Calif. – Ambarella, Inc. (NASDAQ: AMBA), an edge AI semiconductor company, today announced second quarter fiscal 2027 financial results for the period ended July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second quarter of fiscal 2027 was $108.1 million, up 13.2% from $95.5 million in the same period in fiscal 2026. For the six months ended July 31, 2026, revenue was $208.5 million, up 14.9% from $181.4 million for the six months ended July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under U.S. generally accepted accounting principles (GAAP) for the second quarter of fiscal 2027 was 57.7%, compared with 58.9% for the same period in fiscal 2026. For the six months ended July 31, 2026, GAAP gross margin was 58.0%, compared with 59.4% for the six months ended July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loss for the second quarter of fiscal 2027 was $6.7 million, or loss per diluted ordinary share of $0.15, compared with a GAAP net loss of $20.0 million, or loss per diluted ordinary share of $0.47, for the same period in fiscal 2026. GAAP net loss for the six months ended July 31, 2026 was $24.8 million or loss per diluted ordinary share of $0.57. This compares with GAAP net loss of $44.3 million, or loss per diluted ordinary share of $1.05, for the six months ended July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Financial results on a non-GAAP basis for the second quarter of fiscal 2027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on a non-GAAP basis for the second quarter of fiscal 2027 was 59.3%, compared with 60.5% for the same period in fiscal 2026. For the six months ended July 31, 2026, non-GAAP gross margin was 59.6%, compared with 61.2% for the six months ended July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for the second quarter of fiscal 2027 was $8.2 million, or earnings per diluted ordinary share of $0.18. This compares with non-GAAP net income of $6.4 million, or earnings per diluted ordinary share of $0.15, for the same period in fiscal 2026. Non-GAAP net income for the six months ended July 31, 2026 was $13.3 million, or earnings per diluted ordinary share of $0.30. This compares with non-GAAP net income of $9.5 million, or earnings per diluted ordinary share of $0.22, for the six months ended July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today, Ambarella is offering the following guidance for the third quarter of fiscal year 2027, ending October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is expected to be between $115.0 million and $124.0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on a non-GAAP basis is expected to be between 59.0% and 60.0%.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 are expected to be between $56.5 million and $59.5 million.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Ambarella reports gross margin, net income (loss) and earnings (losses) per share in accordance with GAAP and, additionally, on a non-GAAP basis. Non-GAAP financial information excludes the impact of stock-based compensation and acquisition-related costs adjusted for the associated tax impact, which includes the effect of any benefits or shortfalls recognized. In addition, in our second quarter of fiscal 2027, we recognized a one-time $9.0 million reduction in our GAAP research and development expense on release of a deposit liability following the termination of a development project. Given the nature of this credit and that it is non-recurring, we excluded it from operating expenses for the purpose of reporting non-GAAP financial results. A reconciliation of the GAAP to non-GAAP gross margin, net income (loss) and earnings (losses) per share for the periods presented, as well as a description of the items excluded from the non-GAAP calculations, is included in the financial statements portion of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Total cash, cash equivalents and marketable debt securities on hand at the end of the second quarter of fiscal 2027 was $272.3 million, compared with $277.8 million at the end of the prior quarter and $261.2 million at the end of the same quarter a year ago. </w:t>
      </w:r>
    </w:p>
    <w:p>
      <w:pPr>
        <w:pStyle w:val="TextBody"/>
        <w:bidi w:val="0"/>
        <w:spacing w:before="240" w:after="0"/>
        <w:jc w:val="left"/>
        <w:rPr/>
      </w:pPr>
      <w:r>
        <w:rPr/>
        <w:t>“</w:t>
      </w:r>
      <w:r>
        <w:rPr>
          <w:rFonts w:ascii="Times New Roman" w:hAnsi="Times New Roman"/>
          <w:sz w:val="20"/>
        </w:rPr>
        <w:t xml:space="preserve">Our edge AI revenue reached record levels in Q2, with balanced sequential growth in Auto and IoT markets with very strong growth from our 5nm CV75 and CV72 AI SoCs. We are making significant progress with our strategic priorities to extend our market reach with new higher value products and the implementation of new go-to-market strategies. These include the introduction of our first stand-alone AI Accelerator, X7, and the execution of 7-year agreements to develop the indirect sales channel with both Macnica, a leading global technical distributor, and CapGemini, a leading global engineering and systems integration firm,” said Fermi Wang, President &amp; CEO. “These developments are contributing to an increase in our 5-year serviceable market (“SAM”) forecast for edge AI and Physical AI.” </w:t>
      </w:r>
    </w:p>
    <w:p>
      <w:pPr>
        <w:pStyle w:val="TextBody"/>
        <w:bidi w:val="0"/>
        <w:spacing w:before="360" w:after="0"/>
        <w:jc w:val="left"/>
        <w:rPr>
          <w:rFonts w:ascii="Times New Roman" w:hAnsi="Times New Roman"/>
          <w:b/>
          <w:sz w:val="20"/>
        </w:rPr>
      </w:pPr>
      <w:r>
        <w:rPr>
          <w:rFonts w:ascii="Times New Roman" w:hAnsi="Times New Roman"/>
          <w:b/>
          <w:sz w:val="20"/>
        </w:rPr>
        <w:t xml:space="preserve">Quarterly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Ambarella plans to hold a conference call at 4:30 p.m. Eastern Time / 1:30 p.m. Pacific Time today with Fermi Wang, President and Chief Executive Officer, and John Young, Chief Financial Officer, to discuss the second quarter of fiscal year 2027 results. A live and archived webcast of the call will be available on Ambarella’s website at </w:t>
      </w:r>
      <w:r>
        <w:rPr>
          <w:rFonts w:ascii="Times New Roman" w:hAnsi="Times New Roman"/>
          <w:sz w:val="20"/>
          <w:u w:val="single"/>
        </w:rPr>
        <w:t>http://www.ambarella.com/</w:t>
      </w:r>
      <w:r>
        <w:rPr>
          <w:rFonts w:ascii="Times New Roman" w:hAnsi="Times New Roman"/>
          <w:sz w:val="20"/>
        </w:rPr>
        <w:t xml:space="preserve"> for up to 30 days after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About Ambarella </w:t>
      </w:r>
    </w:p>
    <w:p>
      <w:pPr>
        <w:pStyle w:val="TextBody"/>
        <w:bidi w:val="0"/>
        <w:spacing w:before="120" w:after="0"/>
        <w:jc w:val="left"/>
        <w:rPr>
          <w:rFonts w:ascii="Times New Roman" w:hAnsi="Times New Roman"/>
          <w:sz w:val="20"/>
        </w:rPr>
      </w:pPr>
      <w:r>
        <w:rPr>
          <w:rFonts w:ascii="Times New Roman" w:hAnsi="Times New Roman"/>
          <w:sz w:val="20"/>
        </w:rPr>
        <w:t xml:space="preserve">With an installed base of more than 50 million AI SoC units, Ambarella’s products are utilized in a wide variety of physical edge AI applications, spanning edge endpoint and edge infrastructure use cases including physical security, vehicle safety, telematics, autonomy, portable video, aerial drones, and other emerging robotic applications. Building on this footprint, Ambarella offers a full-stack edge AI platform, from highly optimized silicon and programmable software to AI agentic frameworks that coordinate perception, decision-making and control across devices. Ambarella’s low-power systems-on-chip (SoCs) integrate proprietary and highly efficient perception and deep learning neural network AI accelerators, enabling electronic systems to become more productive with partial or complete levels of machine autonomy. For more information, please visit </w:t>
      </w:r>
      <w:r>
        <w:rPr>
          <w:rFonts w:ascii="Times New Roman" w:hAnsi="Times New Roman"/>
          <w:sz w:val="20"/>
          <w:u w:val="single"/>
        </w:rPr>
        <w:t>www.ambarella.com.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are not historical facts and often can be identified by terms such as “outlook,” “projected,” “intends,” “will,” “estimates,” “anticipates,” “expects,” “believes,” “could,” “should,” or similar expressions, including the guidance for the third quarter of fiscal year 2027 ending October 31, 2026, and the comments of our CEO relating to demand for edge AI solutions, our progress with strategic priorities to extend our market reach, our ability to successfully build an indirect sales channel, the forecasted size of our serviceable market (“SAM”), and our ability to successfully penetrate the edge AI and Physical AI markets. The achievement or success of the matters covered by such forward-looking statements involves risks, uncertainties and assumptions. Our actual results could differ materially from those predicted or implied and reported results should not be considered as an indication of our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risks and uncertainties referred to above include, but are not limited to, global economic and political conditions; changes in government policies, including possible trade tariffs and restrictions; revenue being generated from new customers or design wins, neither of which is assured; the commercial success of our customers’ products; our customers’ ability to manage their inventory requirements; our growth strategy; our ability to anticipate future market demands and future needs of our customers, particularly for AI inference applications; our ability to introduce, and to generate revenue from, new and enhanced solutions; our ability to develop, and to generate revenue from, new advanced technologies, such as AI functionality and advanced networks, including vision-language models and GenAI; our ability to retain and expand customer relationships and to achieve design wins; the expansion of our current markets and our ability to successfully enter new markets and applications, such as edge infrastructure; anticipated trends and challenges, including competition, in the markets in which we operate; risks associated with global health conditions and associated risk mitigation measures; our ability to effectively manage growth; our ability to retain key employees; and the potential for intellectual property disputes or other litigation. </w:t>
      </w:r>
    </w:p>
    <w:p>
      <w:pPr>
        <w:pStyle w:val="TextBody"/>
        <w:bidi w:val="0"/>
        <w:spacing w:before="240" w:after="0"/>
        <w:jc w:val="left"/>
        <w:rPr>
          <w:rFonts w:ascii="Times New Roman" w:hAnsi="Times New Roman"/>
          <w:sz w:val="20"/>
        </w:rPr>
      </w:pPr>
      <w:r>
        <w:rPr>
          <w:rFonts w:ascii="Times New Roman" w:hAnsi="Times New Roman"/>
          <w:sz w:val="20"/>
        </w:rPr>
        <w:t xml:space="preserve">Further information on these and other factors that could affect our financial results is included in the company’s Annual Report on Form 10-K for our 2026 fiscal year, which is on file with the Securities and Exchange Commission. Additional information will also be set forth in the company’s quarterly reports on Form 10-Q, annual reports on Form 10-K and other filings the company makes with the Securities and Exchange Commission from time to time, copies of which may be obtained by visiting the Investor Relations portion of our web site at </w:t>
      </w:r>
      <w:r>
        <w:rPr>
          <w:rFonts w:ascii="Times New Roman" w:hAnsi="Times New Roman"/>
          <w:sz w:val="20"/>
          <w:u w:val="single"/>
        </w:rPr>
        <w:t>www.ambarella.com</w:t>
      </w:r>
      <w:r>
        <w:rPr>
          <w:rFonts w:ascii="Times New Roman" w:hAnsi="Times New Roman"/>
          <w:sz w:val="20"/>
        </w:rPr>
        <w:t xml:space="preserve"> or the SEC’s web site at www.sec.gov. Undue reliance should not be placed on the forward-looking statements in this release, which are based on information available to us on the date hereof. The results we report in our Quarterly Report on Form 10-Q for the second quarter of fiscal 2027 ended July 31, 2026 could differ from the preliminary results announced in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Ambarella assumes no obligation and does not intend to update the forward-looking statements made in this press release,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provided in this release non-GAAP financial information, including non-GAAP gross margin, net income (loss), and earnings (losses) per share, as a supplement to the condensed consolidated financial statements, which are prepared in accordance with generally accepted accounting principles (“GAAP”). Management uses these non-GAAP financial measures internally in analyzing the company’s financial results to assess operational performance and liquidity. The company believes that both management and investors benefit from referring to these non-GAAP financial measures in assessing its performance and when planning, forecasting and analyzing future periods. Further, the company believes these non-GAAP financial measures are useful to investors because they allow for greater transparency with respect to key financial metrics that the company uses in making operating decisions and because the company believes that investors and analysts use them to help assess the health of its business and for comparison to other companies. Non-GAAP results are presented for supplemental informational purposes only for understanding the company’s operating results. The non-GAAP information should not be considered a substitute for financial information presented in accordance with GAAP and may be different from non-GAAP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its financial results for the second quarter of fiscal year 2027, the company has provided below reconciliations of its non-GAAP financial measures to its most directly comparable GAAP financial measures. With respect to the company’s expectations for the third quarter of fiscal year 2027, a reconciliation of non-GAAP gross margin and non-GAAP operating expenses guidance to the closest corresponding GAAP measure is not available without unreasonable efforts on a forward-looking basis due to the high variability and low visibility with respect to the charges excluded from these non-GAAP measures. We expect the variability of the above charges to have a significant, and potentially unpredictable, impact on our future GAAP financial results. </w:t>
      </w:r>
    </w:p>
    <w:p>
      <w:pPr>
        <w:pStyle w:val="TextBody"/>
        <w:bidi w:val="0"/>
        <w:spacing w:before="48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0"/>
        <w:gridCol w:w="222"/>
        <w:gridCol w:w="140"/>
        <w:gridCol w:w="1144"/>
        <w:gridCol w:w="155"/>
        <w:gridCol w:w="170"/>
        <w:gridCol w:w="140"/>
        <w:gridCol w:w="1144"/>
        <w:gridCol w:w="155"/>
        <w:gridCol w:w="170"/>
        <w:gridCol w:w="140"/>
        <w:gridCol w:w="1105"/>
        <w:gridCol w:w="155"/>
        <w:gridCol w:w="170"/>
        <w:gridCol w:w="140"/>
        <w:gridCol w:w="1105"/>
        <w:gridCol w:w="160"/>
      </w:tblGrid>
      <w:tr>
        <w:trPr/>
        <w:tc>
          <w:tcPr>
            <w:tcW w:w="379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8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July 31,</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8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July 31,</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108,125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95,511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208,482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181,383</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45,709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39,280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87,477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73,616</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62,416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56,231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121,005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107,767</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50,581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59,734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108,721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118,553</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19,978</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18,486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39,843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37,061</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70,559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78,220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148,564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155,614</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(8,143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(21,989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(27,559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(47,847</w:t>
            </w:r>
          </w:p>
        </w:tc>
        <w:tc>
          <w:tcPr>
            <w:tcW w:w="160" w:type="dxa"/>
            <w:tcBorders/>
            <w:vAlign w:val="bottom"/>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1,806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2,247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3,889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4,422</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(6,337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(19,742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(23,670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(43,425</w:t>
            </w:r>
          </w:p>
        </w:tc>
        <w:tc>
          <w:tcPr>
            <w:tcW w:w="160" w:type="dxa"/>
            <w:tcBorders/>
            <w:vAlign w:val="bottom"/>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352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1,112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898</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(6,689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(19,995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(24,782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(44,323</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ordinary shareholders: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(0.47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(1.05</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(0.47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(0.57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(1.05</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to compute net loss per share attributable to ordinary shareholders: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44,005,576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42,546,979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43,805,429</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42,383,475</w:t>
            </w:r>
          </w:p>
        </w:tc>
        <w:tc>
          <w:tcPr>
            <w:tcW w:w="160" w:type="dxa"/>
            <w:tcBorders/>
            <w:shd w:fill="CCEEFF" w:val="clear"/>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9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44,005,576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42,546,979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43,805,429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42,383,475</w:t>
            </w:r>
          </w:p>
        </w:tc>
        <w:tc>
          <w:tcPr>
            <w:tcW w:w="160" w:type="dxa"/>
            <w:tcBorders/>
            <w:vAlign w:val="bottom"/>
          </w:tcPr>
          <w:p>
            <w:pPr>
              <w:pStyle w:val="TableContents"/>
              <w:bidi w:val="0"/>
              <w:spacing w:before="0" w:after="283"/>
              <w:jc w:val="left"/>
              <w:rPr/>
            </w:pPr>
            <w:r>
              <w:rPr/>
              <w:t> </w:t>
            </w:r>
          </w:p>
        </w:tc>
      </w:tr>
      <w:tr>
        <w:trPr/>
        <w:tc>
          <w:tcPr>
            <w:tcW w:w="379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present details of stock-based compensation, acquisition-related costs and development project termination credit, included in each functional line item in the condensed consolidated statements of operations above: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3"/>
        <w:gridCol w:w="229"/>
        <w:gridCol w:w="219"/>
        <w:gridCol w:w="1085"/>
        <w:gridCol w:w="243"/>
        <w:gridCol w:w="268"/>
        <w:gridCol w:w="219"/>
        <w:gridCol w:w="1087"/>
        <w:gridCol w:w="60"/>
        <w:gridCol w:w="229"/>
        <w:gridCol w:w="197"/>
        <w:gridCol w:w="962"/>
        <w:gridCol w:w="217"/>
        <w:gridCol w:w="251"/>
        <w:gridCol w:w="197"/>
        <w:gridCol w:w="966"/>
        <w:gridCol w:w="66"/>
      </w:tblGrid>
      <w:tr>
        <w:trPr/>
        <w:tc>
          <w:tcPr>
            <w:tcW w:w="2893"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July 31,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July 31,</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200" w:type="dxa"/>
            <w:gridSpan w:val="14"/>
            <w:tcBorders/>
            <w:vAlign w:val="bottom"/>
          </w:tcPr>
          <w:p>
            <w:pPr>
              <w:pStyle w:val="TableContents"/>
              <w:bidi w:val="0"/>
              <w:spacing w:before="0" w:after="283"/>
              <w:jc w:val="center"/>
              <w:rPr>
                <w:b/>
              </w:rPr>
            </w:pPr>
            <w:r>
              <w:rPr>
                <w:b/>
              </w:rPr>
              <w:t>(unaudited, in thousands)</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2"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951</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780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1,734</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1,731</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14,007</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16,972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27,721</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34,557</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7,742</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7,436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15,138</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15,030</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22,700</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25,188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44,593</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6" w:type="dxa"/>
            <w:tcBorders/>
            <w:shd w:fill="CCEEFF" w:val="clear"/>
            <w:vAlign w:val="bottom"/>
          </w:tcPr>
          <w:p>
            <w:pPr>
              <w:pStyle w:val="TableContents"/>
              <w:bidi w:val="0"/>
              <w:spacing w:before="0" w:after="283"/>
              <w:jc w:val="right"/>
              <w:rPr/>
            </w:pPr>
            <w:r>
              <w:rPr/>
              <w:t>51,318</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2893" w:type="dxa"/>
            <w:tcBorders/>
            <w:vAlign w:val="center"/>
          </w:tcPr>
          <w:p>
            <w:pPr>
              <w:pStyle w:val="TableContents"/>
              <w:bidi w:val="0"/>
              <w:spacing w:before="0" w:after="283"/>
              <w:jc w:val="left"/>
              <w:rPr>
                <w:sz w:val="4"/>
                <w:szCs w:val="4"/>
              </w:rPr>
            </w:pPr>
            <w:r>
              <w:rPr>
                <w:sz w:val="4"/>
                <w:szCs w:val="4"/>
              </w:rPr>
            </w:r>
          </w:p>
        </w:tc>
        <w:tc>
          <w:tcPr>
            <w:tcW w:w="3410" w:type="dxa"/>
            <w:gridSpan w:val="8"/>
            <w:tcBorders/>
            <w:vAlign w:val="center"/>
          </w:tcPr>
          <w:p>
            <w:pPr>
              <w:pStyle w:val="TableContents"/>
              <w:bidi w:val="0"/>
              <w:spacing w:before="0" w:after="283"/>
              <w:jc w:val="left"/>
              <w:rPr>
                <w:sz w:val="4"/>
                <w:szCs w:val="4"/>
              </w:rPr>
            </w:pPr>
            <w:r>
              <w:rPr>
                <w:sz w:val="4"/>
                <w:szCs w:val="4"/>
              </w:rPr>
            </w:r>
          </w:p>
        </w:tc>
        <w:tc>
          <w:tcPr>
            <w:tcW w:w="3085" w:type="dxa"/>
            <w:gridSpan w:val="8"/>
            <w:tcBorders/>
            <w:vAlign w:val="center"/>
          </w:tcPr>
          <w:p>
            <w:pPr>
              <w:pStyle w:val="TableContents"/>
              <w:bidi w:val="0"/>
              <w:spacing w:before="0" w:after="283"/>
              <w:jc w:val="left"/>
              <w:rPr>
                <w:sz w:val="4"/>
                <w:szCs w:val="4"/>
              </w:rPr>
            </w:pPr>
            <w:r>
              <w:rPr>
                <w:sz w:val="4"/>
                <w:szCs w:val="4"/>
              </w:rPr>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July 31,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July 31,</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200" w:type="dxa"/>
            <w:gridSpan w:val="14"/>
            <w:tcBorders/>
            <w:vAlign w:val="bottom"/>
          </w:tcPr>
          <w:p>
            <w:pPr>
              <w:pStyle w:val="TableContents"/>
              <w:bidi w:val="0"/>
              <w:spacing w:before="0" w:after="283"/>
              <w:jc w:val="center"/>
              <w:rPr>
                <w:b/>
              </w:rPr>
            </w:pPr>
            <w:r>
              <w:rPr>
                <w:b/>
              </w:rPr>
              <w:t>(unaudited, in thousands)</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costs:</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2"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757</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757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1,514</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1,514</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456</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456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912</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912</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acquisition-related costs</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1,213</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2,426</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6" w:type="dxa"/>
            <w:tcBorders/>
            <w:shd w:fill="CCEEFF" w:val="clear"/>
            <w:vAlign w:val="bottom"/>
          </w:tcPr>
          <w:p>
            <w:pPr>
              <w:pStyle w:val="TableContents"/>
              <w:bidi w:val="0"/>
              <w:spacing w:before="0" w:after="283"/>
              <w:jc w:val="right"/>
              <w:rPr/>
            </w:pPr>
            <w:r>
              <w:rPr/>
              <w:t>2,426</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2893" w:type="dxa"/>
            <w:tcBorders/>
            <w:vAlign w:val="center"/>
          </w:tcPr>
          <w:p>
            <w:pPr>
              <w:pStyle w:val="TableContents"/>
              <w:bidi w:val="0"/>
              <w:spacing w:before="0" w:after="283"/>
              <w:jc w:val="left"/>
              <w:rPr>
                <w:sz w:val="4"/>
                <w:szCs w:val="4"/>
              </w:rPr>
            </w:pPr>
            <w:r>
              <w:rPr>
                <w:sz w:val="4"/>
                <w:szCs w:val="4"/>
              </w:rPr>
            </w:r>
          </w:p>
        </w:tc>
        <w:tc>
          <w:tcPr>
            <w:tcW w:w="3410" w:type="dxa"/>
            <w:gridSpan w:val="8"/>
            <w:tcBorders/>
            <w:vAlign w:val="center"/>
          </w:tcPr>
          <w:p>
            <w:pPr>
              <w:pStyle w:val="TableContents"/>
              <w:bidi w:val="0"/>
              <w:spacing w:before="0" w:after="283"/>
              <w:jc w:val="left"/>
              <w:rPr>
                <w:sz w:val="4"/>
                <w:szCs w:val="4"/>
              </w:rPr>
            </w:pPr>
            <w:r>
              <w:rPr>
                <w:sz w:val="4"/>
                <w:szCs w:val="4"/>
              </w:rPr>
            </w:r>
          </w:p>
        </w:tc>
        <w:tc>
          <w:tcPr>
            <w:tcW w:w="3085" w:type="dxa"/>
            <w:gridSpan w:val="8"/>
            <w:tcBorders/>
            <w:vAlign w:val="center"/>
          </w:tcPr>
          <w:p>
            <w:pPr>
              <w:pStyle w:val="TableContents"/>
              <w:bidi w:val="0"/>
              <w:spacing w:before="0" w:after="283"/>
              <w:jc w:val="left"/>
              <w:rPr>
                <w:sz w:val="4"/>
                <w:szCs w:val="4"/>
              </w:rPr>
            </w:pPr>
            <w:r>
              <w:rPr>
                <w:sz w:val="4"/>
                <w:szCs w:val="4"/>
              </w:rPr>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July 31,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July 31,</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200" w:type="dxa"/>
            <w:gridSpan w:val="14"/>
            <w:tcBorders/>
            <w:vAlign w:val="bottom"/>
          </w:tcPr>
          <w:p>
            <w:pPr>
              <w:pStyle w:val="TableContents"/>
              <w:bidi w:val="0"/>
              <w:spacing w:before="0" w:after="283"/>
              <w:jc w:val="center"/>
              <w:rPr>
                <w:b/>
              </w:rPr>
            </w:pPr>
            <w:r>
              <w:rPr>
                <w:b/>
              </w:rPr>
              <w:t>(unaudited, in thousands)</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project termination credit:</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2"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— </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(9,000</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(9,000</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2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development project termination credit</w:t>
            </w:r>
          </w:p>
        </w:tc>
        <w:tc>
          <w:tcPr>
            <w:tcW w:w="22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(9,000</w:t>
            </w:r>
          </w:p>
        </w:tc>
        <w:tc>
          <w:tcPr>
            <w:tcW w:w="2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(9,000</w:t>
            </w:r>
          </w:p>
        </w:tc>
        <w:tc>
          <w:tcPr>
            <w:tcW w:w="2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96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difference between GAAP and non-GAAP gross margin was 1.6% and 1.6%, or $1.7 million and $1.5 million, for the three months ended July 31, 2026 and 2025, respectively. The difference between GAAP and non-GAAP gross margin was 1.6% and 1.8%, or $3.2 million and $3.2 million, for the six months ended July 31, 2026 and 2025, respectively. The differences were due to the effect of stock-based compensation and acquisition-related costs.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TO NON-GAAP DILUTED EARNINGS (LOSSES)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0"/>
        <w:gridCol w:w="258"/>
        <w:gridCol w:w="140"/>
        <w:gridCol w:w="1100"/>
        <w:gridCol w:w="155"/>
        <w:gridCol w:w="206"/>
        <w:gridCol w:w="140"/>
        <w:gridCol w:w="1100"/>
        <w:gridCol w:w="155"/>
        <w:gridCol w:w="206"/>
        <w:gridCol w:w="140"/>
        <w:gridCol w:w="1100"/>
        <w:gridCol w:w="155"/>
        <w:gridCol w:w="206"/>
        <w:gridCol w:w="140"/>
        <w:gridCol w:w="1100"/>
        <w:gridCol w:w="164"/>
      </w:tblGrid>
      <w:tr>
        <w:trPr/>
        <w:tc>
          <w:tcPr>
            <w:tcW w:w="374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8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July 31,</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8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July 31,</w:t>
            </w:r>
          </w:p>
        </w:tc>
        <w:tc>
          <w:tcPr>
            <w:tcW w:w="164"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841"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net loss</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(6,689</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(19,995</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(24,782</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(44,323</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22,700</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25,188</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44,593</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51,318</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costs</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1,213</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1,213</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2,426</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2,426</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project termination credit</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(9,000</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(9,000</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w:t>
            </w:r>
          </w:p>
        </w:tc>
        <w:tc>
          <w:tcPr>
            <w:tcW w:w="164" w:type="dxa"/>
            <w:tcBorders/>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8,233</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6,428</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13,266</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9,457</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GAAP - diluted weighted average shares</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44,005,576</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42,546,979</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43,805,429</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42,383,475</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 diluted weighted average shares</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44,515,009</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42,946,324</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44,207,416</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42,698,780</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GAAP - diluted net loss per share</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(0.47</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(1.05</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0.52</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costs</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0.06</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project termination credit</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(0.21</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740" w:type="dxa"/>
            <w:tcBorders/>
          </w:tcPr>
          <w:p>
            <w:pPr>
              <w:pStyle w:val="TableContents"/>
              <w:bidi w:val="0"/>
              <w:spacing w:before="0" w:after="0"/>
              <w:jc w:val="left"/>
              <w:rPr>
                <w:rFonts w:ascii="Times New Roman" w:hAnsi="Times New Roman"/>
                <w:sz w:val="20"/>
              </w:rPr>
            </w:pPr>
            <w:r>
              <w:rPr>
                <w:rFonts w:ascii="Times New Roman" w:hAnsi="Times New Roman"/>
                <w:sz w:val="20"/>
              </w:rPr>
              <w:t>Effect of Non-GAAP - diluted weighted average shares</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 diluted net income per share</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0.18</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0.30</w:t>
            </w:r>
          </w:p>
        </w:tc>
        <w:tc>
          <w:tcPr>
            <w:tcW w:w="15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0.22</w:t>
            </w:r>
          </w:p>
        </w:tc>
        <w:tc>
          <w:tcPr>
            <w:tcW w:w="164"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13"/>
        <w:gridCol w:w="226"/>
        <w:gridCol w:w="140"/>
        <w:gridCol w:w="878"/>
        <w:gridCol w:w="155"/>
        <w:gridCol w:w="186"/>
        <w:gridCol w:w="170"/>
        <w:gridCol w:w="1078"/>
        <w:gridCol w:w="159"/>
      </w:tblGrid>
      <w:tr>
        <w:trPr/>
        <w:tc>
          <w:tcPr>
            <w:tcW w:w="721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31,</w:t>
              <w:br/>
              <w:t>2026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31,</w:t>
              <w:br/>
              <w:t>2026</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101,850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191,019</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Marketable debt securities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170,482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121,552</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37,440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39,180</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76,923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52,246</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442</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6,885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5,836</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394,022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410,275</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12,061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11,553</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56,672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58,046</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10,923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12,118</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303,625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303,625</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2,902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2,983</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780,205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798,600</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26,478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54,029</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86,490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97,964</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2,027</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2,309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1,531</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20,865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22,393</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138,371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177,944</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10,413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11,408</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11,105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14,459</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159,889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203,811</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19</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973,864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922,119</w:t>
            </w:r>
          </w:p>
        </w:tc>
        <w:tc>
          <w:tcPr>
            <w:tcW w:w="159" w:type="dxa"/>
            <w:tcBorders/>
            <w:vAlign w:val="bottom"/>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(864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573</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(352,704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(327,922</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620,316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594,789</w:t>
            </w:r>
          </w:p>
        </w:tc>
        <w:tc>
          <w:tcPr>
            <w:tcW w:w="159"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1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780,205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078" w:type="dxa"/>
            <w:tcBorders/>
            <w:vAlign w:val="bottom"/>
          </w:tcPr>
          <w:p>
            <w:pPr>
              <w:pStyle w:val="TableContents"/>
              <w:bidi w:val="0"/>
              <w:spacing w:before="0" w:after="283"/>
              <w:jc w:val="right"/>
              <w:rPr/>
            </w:pPr>
            <w:r>
              <w:rPr/>
              <w:t>798,600</w:t>
            </w:r>
          </w:p>
        </w:tc>
        <w:tc>
          <w:tcPr>
            <w:tcW w:w="159"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Louis Gerhardy </w:t>
      </w:r>
    </w:p>
    <w:p>
      <w:pPr>
        <w:pStyle w:val="TextBody"/>
        <w:bidi w:val="0"/>
        <w:spacing w:before="0" w:after="0"/>
        <w:jc w:val="left"/>
        <w:rPr>
          <w:rFonts w:ascii="Times New Roman" w:hAnsi="Times New Roman"/>
          <w:sz w:val="20"/>
        </w:rPr>
      </w:pPr>
      <w:r>
        <w:rPr>
          <w:rFonts w:ascii="Times New Roman" w:hAnsi="Times New Roman"/>
          <w:sz w:val="20"/>
        </w:rPr>
        <w:t xml:space="preserve">408.636.2310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lgerhardy@ambarella.com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3144</Words>
  <Characters>17318</Characters>
  <CharactersWithSpaces>21395</CharactersWithSpaces>
  <Paragraphs>1706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