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0"/>
          <w:szCs w:val="40"/>
          <w:b w:val="1"/>
          <w:bCs w:val="1"/>
          <w:color w:val="auto"/>
        </w:rPr>
        <w:t>Ambarella, Inc.</w:t>
      </w:r>
    </w:p>
    <w:p>
      <w:pPr>
        <w:spacing w:after="0" w:line="41"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9"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4" w:hanging="544"/>
        <w:spacing w:after="0"/>
        <w:tabs>
          <w:tab w:leader="none" w:pos="54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44" w:hanging="544"/>
        <w:spacing w:after="0"/>
        <w:tabs>
          <w:tab w:leader="none" w:pos="54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44" w:hanging="544"/>
        <w:spacing w:after="0"/>
        <w:tabs>
          <w:tab w:leader="none" w:pos="54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3001 TASMAN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26,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1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NOTICE IS HEREBY GIVEN that the Annual Meeting of Shareholders of Ambarella, Inc., a Cayman Islands company, will be held on Friday, June 26, 2026, at 9:00 a.m. Pacific Time at 3001 Tasman Drive, Santa Clara, CA 95054. The agenda for the meeting is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 AGENDA</w:t>
      </w:r>
    </w:p>
    <w:p>
      <w:pPr>
        <w:spacing w:after="0" w:line="237"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3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Proposal No.</w:t>
            </w:r>
          </w:p>
        </w:tc>
        <w:tc>
          <w:tcPr>
            <w:tcW w:w="6700" w:type="dxa"/>
            <w:vAlign w:val="bottom"/>
            <w:gridSpan w:val="2"/>
            <w:vMerge w:val="restart"/>
          </w:tcPr>
          <w:p>
            <w:pPr>
              <w:ind w:left="302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Vote</w:t>
            </w:r>
          </w:p>
        </w:tc>
        <w:tc>
          <w:tcPr>
            <w:tcW w:w="0" w:type="dxa"/>
            <w:vAlign w:val="bottom"/>
          </w:tcPr>
          <w:p>
            <w:pPr>
              <w:spacing w:after="0"/>
              <w:rPr>
                <w:sz w:val="1"/>
                <w:szCs w:val="1"/>
                <w:color w:val="auto"/>
              </w:rPr>
            </w:pPr>
          </w:p>
        </w:tc>
      </w:tr>
      <w:tr>
        <w:trPr>
          <w:trHeight w:val="193"/>
        </w:trPr>
        <w:tc>
          <w:tcPr>
            <w:tcW w:w="1360" w:type="dxa"/>
            <w:vAlign w:val="bottom"/>
            <w:gridSpan w:val="2"/>
            <w:vMerge w:val="continue"/>
          </w:tcPr>
          <w:p>
            <w:pPr>
              <w:spacing w:after="0"/>
              <w:rPr>
                <w:sz w:val="16"/>
                <w:szCs w:val="16"/>
                <w:color w:val="auto"/>
              </w:rPr>
            </w:pPr>
          </w:p>
        </w:tc>
        <w:tc>
          <w:tcPr>
            <w:tcW w:w="6700" w:type="dxa"/>
            <w:vAlign w:val="bottom"/>
            <w:gridSpan w:val="2"/>
            <w:vMerge w:val="continue"/>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185"/>
        </w:trPr>
        <w:tc>
          <w:tcPr>
            <w:tcW w:w="8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6"/>
                <w:szCs w:val="16"/>
                <w:color w:val="auto"/>
              </w:rPr>
            </w:pPr>
          </w:p>
        </w:tc>
        <w:tc>
          <w:tcPr>
            <w:tcW w:w="66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to elect the Board’s three nominees for Class II director, Gregory M. Bryant, D. Jeffrey</w:t>
            </w:r>
          </w:p>
        </w:tc>
        <w:tc>
          <w:tcPr>
            <w:tcW w:w="100" w:type="dxa"/>
            <w:vAlign w:val="bottom"/>
          </w:tcPr>
          <w:p>
            <w:pPr>
              <w:spacing w:after="0"/>
              <w:rPr>
                <w:sz w:val="16"/>
                <w:szCs w:val="16"/>
                <w:color w:val="auto"/>
              </w:rPr>
            </w:pPr>
          </w:p>
        </w:tc>
        <w:tc>
          <w:tcPr>
            <w:tcW w:w="25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For each Ambarella</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Richardson and Elizabeth M. Schwarting, to hold office until the 2029 Annual Meeting of</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nominee</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1"/>
                <w:szCs w:val="21"/>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ratify the appointment of PricewaterhouseCoopers LLP as the independent registered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accounting firm of Ambarella, Inc. for the fiscal year ending January 31, 2027</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23"/>
                <w:szCs w:val="23"/>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approve, on an advisory basis, executive compensation</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5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21"/>
                <w:szCs w:val="21"/>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approve an amendment and restatement of the Ambarella, Inc. 2021 Equity Incentive</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These items of business are more fully described in the Proxy Statement, which is available at </w:t>
      </w:r>
      <w:r>
        <w:rPr>
          <w:rFonts w:ascii="Times New Roman" w:cs="Times New Roman" w:eastAsia="Times New Roman" w:hAnsi="Times New Roman"/>
          <w:sz w:val="18"/>
          <w:szCs w:val="18"/>
          <w:i w:val="1"/>
          <w:iCs w:val="1"/>
          <w:color w:val="auto"/>
        </w:rPr>
        <w:t>www.edocumentview.com/AMBA</w:t>
      </w:r>
      <w:r>
        <w:rPr>
          <w:rFonts w:ascii="Times New Roman" w:cs="Times New Roman" w:eastAsia="Times New Roman" w:hAnsi="Times New Roman"/>
          <w:sz w:val="18"/>
          <w:szCs w:val="18"/>
          <w:color w:val="auto"/>
        </w:rPr>
        <w:t>. This notice, the Notice of Internet Availability, the Proxy Statement, the 2026 Annual Report, and the form of proxy are being made available to shareholders on or about May 15, 2026. We are providing access to our proxy materials over the Internet under the rules and regulations adopted by the U.S. Securities and Exchange Commission.</w:t>
      </w:r>
    </w:p>
    <w:p>
      <w:pPr>
        <w:spacing w:after="0" w:line="18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record date for the Annual Meeting is May 5, 2026. Only shareholders of record at the close of business on that date may vote at the meeting or any adjournment thereof. We are not aware of any other business to come before the Annual Meeting. You may vote over the Internet, by telephone or by mailing a proxy card. Voting over the Internet, by telephone or by written proxy will ensure your representation at the Annual Meeting if you do not attend in person. Please review the instructions on the proxy card regarding each of these voting options. The Proxy Statement explains proxy voting and the matters to be voted on in more detail. We look forward to your attendance at the Annual Meeting.</w:t>
      </w:r>
    </w:p>
    <w:p>
      <w:pPr>
        <w:spacing w:after="0" w:line="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171450</wp:posOffset>
            </wp:positionV>
            <wp:extent cx="1997075"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970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Michael Morehead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9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in person. Your vote is important. Whether or not you expect to attend the meeting, please vote your shares as instructed in the Notice of Internet Availability, which is being mailed to you on May 15, 2026, as promptly as possible to ensure your representation at the meeting. Even if you have voted by proxy, you may still vote in person if you attend the meeting. Please note, however, that if your shares are held of record by a broker, bank or other nominee and you wish to vote at the meeting, you must obtain a proxy issued in your name from that record holder.</w:t>
      </w:r>
    </w:p>
    <w:p>
      <w:pPr>
        <w:sectPr>
          <w:pgSz w:w="11900" w:h="16838" w:orient="portrait"/>
          <w:cols w:equalWidth="0" w:num="1">
            <w:col w:w="11020"/>
          </w:cols>
          <w:pgMar w:left="440" w:top="293"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90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6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color w:val="0000EE"/>
                <w:w w:val="99"/>
              </w:rPr>
              <w:t>Information Concerning Voting and Solicitation</w:t>
            </w:r>
          </w:p>
        </w:tc>
        <w:tc>
          <w:tcPr>
            <w:tcW w:w="7200" w:type="dxa"/>
            <w:vAlign w:val="bottom"/>
            <w:gridSpan w:val="8"/>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60" w:type="dxa"/>
            <w:vAlign w:val="bottom"/>
            <w:tcBorders>
              <w:bottom w:val="single" w:sz="8" w:color="0000EE"/>
            </w:tcBorders>
            <w:gridSpan w:val="35"/>
            <w:vMerge w:val="continue"/>
          </w:tcPr>
          <w:p>
            <w:pPr>
              <w:spacing w:after="0"/>
              <w:rPr>
                <w:sz w:val="13"/>
                <w:szCs w:val="13"/>
                <w:color w:val="auto"/>
              </w:rPr>
            </w:pPr>
          </w:p>
        </w:tc>
        <w:tc>
          <w:tcPr>
            <w:tcW w:w="7200" w:type="dxa"/>
            <w:vAlign w:val="bottom"/>
            <w:gridSpan w:val="8"/>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8"/>
                <w:szCs w:val="18"/>
                <w:color w:val="0000EE"/>
                <w:w w:val="99"/>
              </w:rPr>
              <w:t>General Information About the Annual Meeting</w:t>
            </w:r>
          </w:p>
        </w:tc>
        <w:tc>
          <w:tcPr>
            <w:tcW w:w="7200" w:type="dxa"/>
            <w:vAlign w:val="bottom"/>
            <w:gridSpan w:val="8"/>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Notice of Internet Availability</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Appointment of Proxy Holders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Who Can Vote</w:t>
            </w:r>
          </w:p>
        </w:tc>
        <w:tc>
          <w:tcPr>
            <w:tcW w:w="1140" w:type="dxa"/>
            <w:vAlign w:val="bottom"/>
            <w:tcBorders>
              <w:top w:val="single" w:sz="8" w:color="0000EE"/>
            </w:tcBorders>
            <w:gridSpan w:val="17"/>
          </w:tcPr>
          <w:p>
            <w:pPr>
              <w:spacing w:after="0"/>
              <w:rPr>
                <w:sz w:val="17"/>
                <w:szCs w:val="17"/>
                <w:color w:val="auto"/>
              </w:rPr>
            </w:pPr>
          </w:p>
        </w:tc>
        <w:tc>
          <w:tcPr>
            <w:tcW w:w="80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How You Can Vote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8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7"/>
              </w:rPr>
              <w:t>Matters to be Voted Upon</w:t>
            </w:r>
          </w:p>
        </w:tc>
        <w:tc>
          <w:tcPr>
            <w:tcW w:w="844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Revocation of Proxies</w:t>
            </w:r>
          </w:p>
        </w:tc>
        <w:tc>
          <w:tcPr>
            <w:tcW w:w="870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Required Vote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08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Other Matters Brought Before the Meeting</w:t>
            </w:r>
          </w:p>
        </w:tc>
        <w:tc>
          <w:tcPr>
            <w:tcW w:w="722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Solicitation of Proxies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Voting Results</w:t>
            </w:r>
          </w:p>
        </w:tc>
        <w:tc>
          <w:tcPr>
            <w:tcW w:w="540" w:type="dxa"/>
            <w:vAlign w:val="bottom"/>
            <w:tcBorders>
              <w:top w:val="single" w:sz="8" w:color="0000EE"/>
            </w:tcBorders>
            <w:gridSpan w:val="9"/>
          </w:tcPr>
          <w:p>
            <w:pPr>
              <w:spacing w:after="0"/>
              <w:rPr>
                <w:sz w:val="17"/>
                <w:szCs w:val="17"/>
                <w:color w:val="auto"/>
              </w:rPr>
            </w:pPr>
          </w:p>
        </w:tc>
        <w:tc>
          <w:tcPr>
            <w:tcW w:w="870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Important Notice Regarding Availability of Proxy Materials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 Election of Class II Directors</w:t>
            </w:r>
          </w:p>
        </w:tc>
        <w:tc>
          <w:tcPr>
            <w:tcW w:w="768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Vote Required</w:t>
            </w:r>
          </w:p>
        </w:tc>
        <w:tc>
          <w:tcPr>
            <w:tcW w:w="9260" w:type="dxa"/>
            <w:vAlign w:val="bottom"/>
            <w:gridSpan w:val="3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Regarding the Board of Directors and Corporate Governance</w:t>
            </w:r>
          </w:p>
        </w:tc>
        <w:tc>
          <w:tcPr>
            <w:tcW w:w="53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Lead Independent Director</w:t>
            </w:r>
          </w:p>
        </w:tc>
        <w:tc>
          <w:tcPr>
            <w:tcW w:w="40" w:type="dxa"/>
            <w:vAlign w:val="bottom"/>
            <w:tcBorders>
              <w:top w:val="single" w:sz="8" w:color="0000EE"/>
            </w:tcBorders>
          </w:tcPr>
          <w:p>
            <w:pPr>
              <w:spacing w:after="0"/>
              <w:rPr>
                <w:sz w:val="17"/>
                <w:szCs w:val="17"/>
                <w:color w:val="auto"/>
              </w:rPr>
            </w:pPr>
          </w:p>
        </w:tc>
        <w:tc>
          <w:tcPr>
            <w:tcW w:w="832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866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Demographics</w:t>
            </w:r>
          </w:p>
        </w:tc>
        <w:tc>
          <w:tcPr>
            <w:tcW w:w="876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Overboarding</w:t>
            </w:r>
          </w:p>
        </w:tc>
        <w:tc>
          <w:tcPr>
            <w:tcW w:w="9280" w:type="dxa"/>
            <w:vAlign w:val="bottom"/>
            <w:gridSpan w:val="3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Meetings</w:t>
            </w:r>
          </w:p>
        </w:tc>
        <w:tc>
          <w:tcPr>
            <w:tcW w:w="9140" w:type="dxa"/>
            <w:vAlign w:val="bottom"/>
            <w:gridSpan w:val="3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Committees</w:t>
            </w:r>
          </w:p>
        </w:tc>
        <w:tc>
          <w:tcPr>
            <w:tcW w:w="8920" w:type="dxa"/>
            <w:vAlign w:val="bottom"/>
            <w:gridSpan w:val="3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770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Evaluation of Board and Director Performance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Skills, Competencies and Experience</w:t>
            </w:r>
          </w:p>
        </w:tc>
        <w:tc>
          <w:tcPr>
            <w:tcW w:w="40" w:type="dxa"/>
            <w:vAlign w:val="bottom"/>
            <w:tcBorders>
              <w:top w:val="single" w:sz="8" w:color="0000EE"/>
            </w:tcBorders>
          </w:tcPr>
          <w:p>
            <w:pPr>
              <w:spacing w:after="0"/>
              <w:rPr>
                <w:sz w:val="17"/>
                <w:szCs w:val="17"/>
                <w:color w:val="auto"/>
              </w:rPr>
            </w:pPr>
          </w:p>
        </w:tc>
        <w:tc>
          <w:tcPr>
            <w:tcW w:w="69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Refreshment</w:t>
            </w:r>
          </w:p>
        </w:tc>
        <w:tc>
          <w:tcPr>
            <w:tcW w:w="874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Nominations</w:t>
            </w:r>
          </w:p>
        </w:tc>
        <w:tc>
          <w:tcPr>
            <w:tcW w:w="872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Director Voting Policy</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Communications with the Board</w:t>
            </w:r>
          </w:p>
        </w:tc>
        <w:tc>
          <w:tcPr>
            <w:tcW w:w="796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0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Governance Principles and Practices</w:t>
            </w:r>
          </w:p>
        </w:tc>
        <w:tc>
          <w:tcPr>
            <w:tcW w:w="69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 and Compliance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Sustainability</w:t>
            </w:r>
          </w:p>
        </w:tc>
        <w:tc>
          <w:tcPr>
            <w:tcW w:w="1060" w:type="dxa"/>
            <w:vAlign w:val="bottom"/>
            <w:tcBorders>
              <w:top w:val="single" w:sz="8" w:color="0000EE"/>
            </w:tcBorders>
            <w:gridSpan w:val="13"/>
          </w:tcPr>
          <w:p>
            <w:pPr>
              <w:spacing w:after="0"/>
              <w:rPr>
                <w:sz w:val="17"/>
                <w:szCs w:val="17"/>
                <w:color w:val="auto"/>
              </w:rPr>
            </w:pPr>
          </w:p>
        </w:tc>
        <w:tc>
          <w:tcPr>
            <w:tcW w:w="748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8980" w:type="dxa"/>
            <w:vAlign w:val="bottom"/>
            <w:gridSpan w:val="3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20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 for Fiscal Year 2026</w:t>
            </w:r>
          </w:p>
        </w:tc>
        <w:tc>
          <w:tcPr>
            <w:tcW w:w="71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6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 Accounting Firm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860" w:type="dxa"/>
            <w:vAlign w:val="bottom"/>
            <w:tcBorders>
              <w:top w:val="single" w:sz="8" w:color="0000EE"/>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3400" w:type="dxa"/>
            <w:vAlign w:val="bottom"/>
            <w:tcBorders>
              <w:top w:val="single" w:sz="8" w:color="0000EE"/>
            </w:tcBorders>
            <w:gridSpan w:val="9"/>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Pre-Approval Policies and Procedures</w:t>
            </w:r>
          </w:p>
        </w:tc>
        <w:tc>
          <w:tcPr>
            <w:tcW w:w="756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Vote Required</w:t>
            </w:r>
          </w:p>
        </w:tc>
        <w:tc>
          <w:tcPr>
            <w:tcW w:w="9260" w:type="dxa"/>
            <w:vAlign w:val="bottom"/>
            <w:gridSpan w:val="3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6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340" w:type="dxa"/>
            <w:vAlign w:val="bottom"/>
            <w:gridSpan w:val="3"/>
            <w:shd w:val="clear" w:color="auto" w:fill="0000EE"/>
          </w:tcPr>
          <w:p>
            <w:pPr>
              <w:spacing w:after="0" w:line="20" w:lineRule="exact"/>
              <w:rPr>
                <w:sz w:val="1"/>
                <w:szCs w:val="1"/>
                <w:color w:val="auto"/>
              </w:rPr>
            </w:pPr>
          </w:p>
        </w:tc>
        <w:tc>
          <w:tcPr>
            <w:tcW w:w="460" w:type="dxa"/>
            <w:vAlign w:val="bottom"/>
            <w:gridSpan w:val="8"/>
            <w:shd w:val="clear" w:color="auto" w:fill="0000EE"/>
          </w:tcPr>
          <w:p>
            <w:pPr>
              <w:spacing w:after="0" w:line="20" w:lineRule="exact"/>
              <w:rPr>
                <w:sz w:val="1"/>
                <w:szCs w:val="1"/>
                <w:color w:val="auto"/>
              </w:rPr>
            </w:pPr>
          </w:p>
        </w:tc>
        <w:tc>
          <w:tcPr>
            <w:tcW w:w="440" w:type="dxa"/>
            <w:vAlign w:val="bottom"/>
            <w:gridSpan w:val="9"/>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Proposal 3: Advisory Vote to Approve Executive Compensation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4300" w:type="dxa"/>
            <w:vAlign w:val="bottom"/>
            <w:tcBorders>
              <w:top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60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860" w:type="dxa"/>
            <w:vAlign w:val="bottom"/>
            <w:gridSpan w:val="1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9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340" w:type="dxa"/>
            <w:vAlign w:val="bottom"/>
            <w:gridSpan w:val="3"/>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60" w:type="dxa"/>
            <w:vAlign w:val="bottom"/>
            <w:gridSpan w:val="1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9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86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Committee Report</w:t>
            </w:r>
          </w:p>
        </w:tc>
        <w:tc>
          <w:tcPr>
            <w:tcW w:w="420" w:type="dxa"/>
            <w:vAlign w:val="bottom"/>
            <w:tcBorders>
              <w:top w:val="single" w:sz="8" w:color="0000EE"/>
            </w:tcBorders>
            <w:gridSpan w:val="5"/>
          </w:tcPr>
          <w:p>
            <w:pPr>
              <w:spacing w:after="0"/>
              <w:rPr>
                <w:sz w:val="17"/>
                <w:szCs w:val="17"/>
                <w:color w:val="auto"/>
              </w:rPr>
            </w:pPr>
          </w:p>
        </w:tc>
        <w:tc>
          <w:tcPr>
            <w:tcW w:w="746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Compensation Risk Assessment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300" w:type="dxa"/>
            <w:vAlign w:val="bottom"/>
            <w:gridSpan w:val="24"/>
            <w:shd w:val="clear" w:color="auto" w:fill="0000EE"/>
          </w:tcPr>
          <w:p>
            <w:pPr>
              <w:spacing w:after="0" w:line="20" w:lineRule="exact"/>
              <w:rPr>
                <w:sz w:val="1"/>
                <w:szCs w:val="1"/>
                <w:color w:val="auto"/>
              </w:rPr>
            </w:pPr>
          </w:p>
        </w:tc>
        <w:tc>
          <w:tcPr>
            <w:tcW w:w="1060" w:type="dxa"/>
            <w:vAlign w:val="bottom"/>
            <w:gridSpan w:val="13"/>
          </w:tcPr>
          <w:p>
            <w:pPr>
              <w:spacing w:after="0" w:line="20" w:lineRule="exact"/>
              <w:rPr>
                <w:sz w:val="1"/>
                <w:szCs w:val="1"/>
                <w:color w:val="auto"/>
              </w:rPr>
            </w:pPr>
          </w:p>
        </w:tc>
        <w:tc>
          <w:tcPr>
            <w:tcW w:w="69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36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Compensation Table for Fiscal 2026</w:t>
            </w:r>
          </w:p>
        </w:tc>
        <w:tc>
          <w:tcPr>
            <w:tcW w:w="69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93"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Grants of Plan-Based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5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Option Exercises and Stock Vested</w:t>
            </w:r>
          </w:p>
        </w:tc>
        <w:tc>
          <w:tcPr>
            <w:tcW w:w="728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36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Year-End</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Potential Payments upon Termination or Change in Control</w:t>
            </w:r>
          </w:p>
        </w:tc>
        <w:tc>
          <w:tcPr>
            <w:tcW w:w="552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360" w:type="dxa"/>
            <w:vAlign w:val="bottom"/>
          </w:tcPr>
          <w:p>
            <w:pPr>
              <w:spacing w:after="0"/>
              <w:rPr>
                <w:sz w:val="17"/>
                <w:szCs w:val="17"/>
                <w:color w:val="auto"/>
              </w:rPr>
            </w:pPr>
          </w:p>
        </w:tc>
        <w:tc>
          <w:tcPr>
            <w:tcW w:w="1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Pay Ratio Disclosure</w:t>
            </w:r>
          </w:p>
        </w:tc>
        <w:tc>
          <w:tcPr>
            <w:tcW w:w="828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8400" w:type="dxa"/>
            <w:vAlign w:val="bottom"/>
            <w:gridSpan w:val="1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01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528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01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3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4: Approval of Amendment to the Ambarella, Inc. 2021 Equity Incentive Plan</w:t>
            </w:r>
          </w:p>
        </w:tc>
        <w:tc>
          <w:tcPr>
            <w:tcW w:w="386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360" w:type="dxa"/>
            <w:vAlign w:val="bottom"/>
          </w:tcPr>
          <w:p>
            <w:pPr>
              <w:spacing w:after="0"/>
              <w:rPr>
                <w:sz w:val="17"/>
                <w:szCs w:val="17"/>
                <w:color w:val="auto"/>
              </w:rPr>
            </w:pPr>
          </w:p>
        </w:tc>
        <w:tc>
          <w:tcPr>
            <w:tcW w:w="9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Delinquent Section 16(A) Reports</w:t>
            </w:r>
          </w:p>
        </w:tc>
        <w:tc>
          <w:tcPr>
            <w:tcW w:w="768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49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Shareholder Proposals for the 2027 Annual Meeting of Shareholders</w:t>
            </w:r>
          </w:p>
        </w:tc>
        <w:tc>
          <w:tcPr>
            <w:tcW w:w="522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24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776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96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Important Notice Regarding the Availability of Proxy Materials for the Annual Meeting of Shareholders To Be Held on June 26, 2026</w:t>
            </w:r>
          </w:p>
        </w:tc>
        <w:tc>
          <w:tcPr>
            <w:tcW w:w="5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01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37"/>
        </w:trPr>
        <w:tc>
          <w:tcPr>
            <w:tcW w:w="10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Annex A</w:t>
            </w:r>
          </w:p>
        </w:tc>
        <w:tc>
          <w:tcPr>
            <w:tcW w:w="9160" w:type="dxa"/>
            <w:vAlign w:val="bottom"/>
            <w:gridSpan w:val="15"/>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84"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3001 Tasman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VOTING AND SOLICITATION</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solicitation of proxies by the Board of Directors of Ambarella, Inc., a Cayman Islands company (the “Board”), and pursuant to the rules and regulations adopted by the U.S. Securities and Exchange Commission, we are furnishing our proxy materials to shareholders for use at our 2026 Annual Meeting of Shareholders (the “Annual Meeting”), and any adjournments or postponements thereof. The Annual Meeting will be held on June 26, 2026, at 9:00 a.m. Pacific Time at our offices located at 3001 Tasman Drive, Santa Clara, CA 95054.</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have mailed the Notice of Internet Availability to all shareholders and beneficial owners of record as of the record date, May 5, 2026. All shareholders will have the ability to access the proxy materials via the Internet, including this Proxy Statement and our 2026 Annual Report to Shareholders for the fiscal year ended January 31, 2026. The Notice of Internet Availability includes information on how to access the proxy materials, how to submit your vote over the Internet or by phone or how to request a paper copy of the proxy materials. This Proxy Statement and our 2026 Annual Report to Shareholders are available at </w:t>
      </w:r>
      <w:r>
        <w:rPr>
          <w:rFonts w:ascii="Times New Roman" w:cs="Times New Roman" w:eastAsia="Times New Roman" w:hAnsi="Times New Roman"/>
          <w:sz w:val="18"/>
          <w:szCs w:val="18"/>
          <w:i w:val="1"/>
          <w:iCs w:val="1"/>
          <w:color w:val="auto"/>
        </w:rPr>
        <w:t>www.edocumentview.com/AMBA</w:t>
      </w:r>
      <w:r>
        <w:rPr>
          <w:rFonts w:ascii="Times New Roman" w:cs="Times New Roman" w:eastAsia="Times New Roman" w:hAnsi="Times New Roman"/>
          <w:sz w:val="18"/>
          <w:szCs w:val="18"/>
          <w:color w:val="auto"/>
        </w:rPr>
        <w:t xml:space="preserve">. If you are a shareholder of record, you also may view these materials at </w:t>
      </w:r>
      <w:r>
        <w:rPr>
          <w:rFonts w:ascii="Times New Roman" w:cs="Times New Roman" w:eastAsia="Times New Roman" w:hAnsi="Times New Roman"/>
          <w:sz w:val="18"/>
          <w:szCs w:val="18"/>
          <w:i w:val="1"/>
          <w:iCs w:val="1"/>
          <w:color w:val="auto"/>
        </w:rPr>
        <w:t>http://www.envisionreports.com/AMBA.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Company,” “Ambarella,” “we,” “us” or “our” throughout this Proxy Statement mean Ambarella,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Internet Availability</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Instead of mailing a paper copy of our proxy materials, we have provided access to our proxy materials over the Internet, which are available at </w:t>
      </w:r>
      <w:r>
        <w:rPr>
          <w:rFonts w:ascii="Times New Roman" w:cs="Times New Roman" w:eastAsia="Times New Roman" w:hAnsi="Times New Roman"/>
          <w:sz w:val="18"/>
          <w:szCs w:val="18"/>
          <w:i w:val="1"/>
          <w:iCs w:val="1"/>
          <w:color w:val="auto"/>
        </w:rPr>
        <w:t>www.edocumentview.com/AMBA</w:t>
      </w:r>
      <w:r>
        <w:rPr>
          <w:rFonts w:ascii="Times New Roman" w:cs="Times New Roman" w:eastAsia="Times New Roman" w:hAnsi="Times New Roman"/>
          <w:sz w:val="18"/>
          <w:szCs w:val="18"/>
          <w:color w:val="auto"/>
        </w:rPr>
        <w:t>. If you are a shareholder of record, you also may view these materials at</w:t>
      </w:r>
      <w:r>
        <w:rPr>
          <w:rFonts w:ascii="Times New Roman" w:cs="Times New Roman" w:eastAsia="Times New Roman" w:hAnsi="Times New Roman"/>
          <w:sz w:val="18"/>
          <w:szCs w:val="18"/>
          <w:i w:val="1"/>
          <w:iCs w:val="1"/>
          <w:color w:val="auto"/>
        </w:rPr>
        <w:t xml:space="preserve"> http://www.envisionreports.com/AMBA</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rules and regulations adopted by the U.S. Securities and Exchange Commission, the Notice of Internet Availability has been sent to our shareholders of record and beneficial owners as of the record date, May 5, 2026. The Notice of Internet Availability includes information on how to access the proxy materials, how to submit your vote via the Internet and how to request a paper copy of the proxy materials. By accessing the proxy materials on the Internet or choosing to receive your future proxy materials by email, you will save us the cost of printing and mailing documents to you and will reduce the impact of our annual meeting of shareholders on the environment.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Proxy Holders</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Board asks you to appoint Feng-Ming (Fermi) Wang, John A. Young and Michael Morehead as your proxy holders to vote your shares at the Annual Meeting. You make this appointment by voting your shares by proxy, as instructed in the Notice of Internet Availability.</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If appointed by you, the proxy holders will vote your shares as you direct on the matters described in this Proxy Statement. In the absence of your direction, they will vote your shares as recommended by the Board.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93" w:right="459" w:bottom="1440" w:gutter="0" w:footer="0" w:header="0"/>
        </w:sectPr>
      </w:pPr>
    </w:p>
    <w:bookmarkStart w:id="5" w:name="page6"/>
    <w:bookmarkEnd w:id="5"/>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Unless you otherwise indicate, you also authorize your proxy holders to vote your shares on any matters not known by the Board at the time this Proxy Statement was made available to shareholders and which may be properly presented for action at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21"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Only shareholders of record at the close of business on May 5, 2026 will be entitled to vote at the Annual Meeting. On this record date, there were 43,861,484 ordinary shares outstanding and entitled to vote. Each holder of ordinary shares is entitled to one vote for each share held as of May 5, 2026. There is no cumulative voting in the election of directors.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Shareholder of Record: Shares Registered in Your Name</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If on May 5, 2026, your shares were registered directly in your name with Ambarella’s transfer agent, Computershare Trust Company, N.A., then you are a shareholder of record. As a shareholder of record, you may vote in person at the Annual Meeting or vote by proxy. Whether or not you plan to attend the Annual Meeting, we urge you to vote your shares by proxy over the Internet, by telephone, or by mail as instructed in the Notice of Internet Availability to ensure your vote is counted if you later decide not to attend the Annual Meeting.</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or Bank</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on May 5, 2026, your shares were held not in your name, but rather in an account at a brokerage firm, bank, dealer, or other similar organization, then you are the beneficial owner of shares held in “street name” and the Proxy Statement is being forwarded to you by that organization. The organization holding your account is considered to be the shareholder of record for purposes of voting at the Annual Meeting. As a beneficial owner, you have the right to direct your broker or other agent regarding how to vote the shares in your account. You are also invited to attend the Annual Meeting. However, since you are not the shareholder of record, you may not vote your shares in person at the meeting unless you request and obtain a valid proxy from your broker or other agent.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You may either vote “For” the nominees for Class II Director or you may “Withhold” your vote for the nominees. For proposals 2, 3 and 4, you may vote “For” or “Against” or abstain from voting.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Shareholder of Record: Shares Registered in Your Name</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you may vote in person at the Annual Meeting, vote by proxy over the Internet, by telephone or by mail, as instructed in the Notice of Internet Availability. Whether or not you plan to attend the Annual Meeting, we urge you to vote by proxy to ensure your vote is counted. You may still attend the meeting and vote in person even if you have already voted by proxy.</w:t>
      </w:r>
    </w:p>
    <w:p>
      <w:pPr>
        <w:spacing w:after="0" w:line="81" w:lineRule="exact"/>
        <w:rPr>
          <w:sz w:val="20"/>
          <w:szCs w:val="20"/>
          <w:color w:val="auto"/>
        </w:rPr>
      </w:pPr>
    </w:p>
    <w:p>
      <w:pPr>
        <w:ind w:left="960" w:right="4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1-800-652-8683 using a touch-tone phone and follow the recorded instructions. You will be asked to provide the company number and control number from the proxy card. Your vote must be received by 11:59 p.m. Eastern Time on June 25, 2026 to be counted.</w:t>
      </w:r>
    </w:p>
    <w:p>
      <w:pPr>
        <w:spacing w:after="0" w:line="79" w:lineRule="exact"/>
        <w:rPr>
          <w:rFonts w:ascii="Times New Roman" w:cs="Times New Roman" w:eastAsia="Times New Roman" w:hAnsi="Times New Roman"/>
          <w:sz w:val="18"/>
          <w:szCs w:val="18"/>
          <w:color w:val="auto"/>
        </w:rPr>
      </w:pPr>
    </w:p>
    <w:p>
      <w:pPr>
        <w:ind w:left="960" w:right="620" w:hanging="424"/>
        <w:spacing w:after="0" w:line="28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http://www.envisionreports.com/AMBA</w:t>
      </w:r>
      <w:r>
        <w:rPr>
          <w:rFonts w:ascii="Times New Roman" w:cs="Times New Roman" w:eastAsia="Times New Roman" w:hAnsi="Times New Roman"/>
          <w:sz w:val="18"/>
          <w:szCs w:val="18"/>
          <w:color w:val="auto"/>
        </w:rPr>
        <w:t xml:space="preserve"> to complete an electronic proxy card. Your vote must be received by 11:59 p.m. Eastern Time on June 25, 2026 to be counted.</w:t>
      </w:r>
    </w:p>
    <w:p>
      <w:pPr>
        <w:spacing w:after="0" w:line="65" w:lineRule="exact"/>
        <w:rPr>
          <w:rFonts w:ascii="Times New Roman" w:cs="Times New Roman" w:eastAsia="Times New Roman" w:hAnsi="Times New Roman"/>
          <w:sz w:val="18"/>
          <w:szCs w:val="18"/>
          <w:color w:val="auto"/>
        </w:rPr>
      </w:pPr>
    </w:p>
    <w:p>
      <w:pPr>
        <w:jc w:val="both"/>
        <w:ind w:left="960" w:right="2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(if you requested paper copies of the proxy materials to be mailed to you), simply complete, sign and date the proxy card and return it promptly in the envelope to be provided. If you return your signed proxy card to us before the Annual Meeting, we will vote your shares as you direct.</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person, come to the Annual Meeting and we will give you a ballot when you arrive.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7" w:right="45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Beneficial Owner: Shares Registered in the Name of Broker or Bank</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receive voting instructions from that organization rather than from Ambarella. You must follow the voting instructions provided by your broker, bank or other agent in order to direct your broker, bank or other agent on how to vote your shares. You should generally be able to vote by returning a voting instruction form, or by telephone or on the Internet. However, the availability of telephone and Internet voting will depend on the voting process of your broker, bank or other agent. To vote in person at the Annual Meeting, you must obtain a valid proxy from your broker, bank or other agent. Follow the instructions from your broker, bank or other agent, or contact your broker, bank or other agent to request a proxy form.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to be Voted Upon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four matters scheduled for a vote at the Annual Meeting:</w:t>
      </w:r>
    </w:p>
    <w:p>
      <w:pPr>
        <w:sectPr>
          <w:pgSz w:w="11900" w:h="16838" w:orient="portrait"/>
          <w:cols w:equalWidth="0" w:num="1">
            <w:col w:w="10980"/>
          </w:cols>
          <w:pgMar w:left="440" w:top="293" w:right="479" w:bottom="1440" w:gutter="0" w:footer="0" w:header="0"/>
        </w:sectPr>
      </w:pP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– Election of the three nominees for Class II director named in this Proxy Statement to hold office until the 2029 Annual</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Meeting of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– Ratification of the appointment of PricewaterhouseCoopers LLP as the Company’s independent registered public</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accounting firm for the fiscal year ending January 31,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– Approval, on an advisory basis, of executive compensation, as described in this Proxy Statement;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Proposal 4 – Approval of an amendment and restatement of the Ambarella, Inc. 2021 Equity Incentive Plan, as described in this Proxy</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Statement.</w:t>
      </w:r>
    </w:p>
    <w:p>
      <w:pPr>
        <w:spacing w:after="0" w:line="200" w:lineRule="exact"/>
        <w:rPr>
          <w:sz w:val="20"/>
          <w:szCs w:val="20"/>
          <w:color w:val="auto"/>
        </w:rPr>
      </w:pPr>
    </w:p>
    <w:p>
      <w:pPr>
        <w:sectPr>
          <w:pgSz w:w="11900" w:h="16838" w:orient="portrait"/>
          <w:cols w:equalWidth="0" w:num="4">
            <w:col w:w="320" w:space="140"/>
            <w:col w:w="40" w:space="140"/>
            <w:col w:w="40" w:space="300"/>
            <w:col w:w="10000"/>
          </w:cols>
          <w:pgMar w:left="440" w:top="293" w:right="479" w:bottom="1440" w:gutter="0" w:footer="0" w:header="0"/>
          <w:type w:val="continuous"/>
        </w:sectPr>
      </w:pPr>
    </w:p>
    <w:p>
      <w:pPr>
        <w:spacing w:after="0" w:line="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If you are a shareholder of record and you vote via the Internet, by telephone or return a proxy card by mail, but do not select a voting preference, the persons who are authorized to vote your shares will vote:</w:t>
      </w:r>
    </w:p>
    <w:p>
      <w:pPr>
        <w:sectPr>
          <w:pgSz w:w="11900" w:h="16838" w:orient="portrait"/>
          <w:cols w:equalWidth="0" w:num="1">
            <w:col w:w="10980"/>
          </w:cols>
          <w:pgMar w:left="440" w:top="293" w:right="479" w:bottom="1440" w:gutter="0" w:footer="0" w:header="0"/>
          <w:type w:val="continuous"/>
        </w:sectPr>
      </w:pP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three nominees for Class II director named herein to hold office until the 2029 Annual Meeting of</w:t>
      </w:r>
    </w:p>
    <w:p>
      <w:pPr>
        <w:spacing w:after="0" w:line="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Proposal 2 – 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ratification of the appointment of PricewaterhouseCoopers LLP as the Company’s independent registered public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accounting firm for the fiscal year ending January 31,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on an advisory basis, of executive compensation, as described in this Proxy Statement;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4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an amendment and restatement of the Ambarella, Inc. 2021 Equity Incentive Plan, as described in</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this Proxy Statement.</w:t>
      </w:r>
    </w:p>
    <w:p>
      <w:pPr>
        <w:spacing w:after="0" w:line="200" w:lineRule="exact"/>
        <w:rPr>
          <w:sz w:val="20"/>
          <w:szCs w:val="20"/>
          <w:color w:val="auto"/>
        </w:rPr>
      </w:pPr>
    </w:p>
    <w:p>
      <w:pPr>
        <w:sectPr>
          <w:pgSz w:w="11900" w:h="16838" w:orient="portrait"/>
          <w:cols w:equalWidth="0" w:num="4">
            <w:col w:w="320" w:space="140"/>
            <w:col w:w="40" w:space="140"/>
            <w:col w:w="40" w:space="300"/>
            <w:col w:w="10000"/>
          </w:cols>
          <w:pgMar w:left="440" w:top="293" w:right="479" w:bottom="1440" w:gutter="0" w:footer="0" w:header="0"/>
          <w:type w:val="continuous"/>
        </w:sectPr>
      </w:pPr>
    </w:p>
    <w:p>
      <w:pPr>
        <w:spacing w:after="0" w:line="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follow the voting instructions provided by your broker, bank or other agent in order to instruct your broker, bank or other agent how to vote your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Shareholders of record can revoke their proxies at any time before they are exercised in any of three ways:</w:t>
      </w:r>
    </w:p>
    <w:p>
      <w:pPr>
        <w:spacing w:after="0" w:line="131"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written notice of revocation to the Secretary of the Company prior to the Annual Meeting;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properly executed proxy of a later date prior to the Annual Meeting;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in person at the Annual Meeting.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Beneficial owners of shares held in street name must contact their broker, bank or other agent to revoke any prior voting instructions.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93" w:right="4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Required Vote</w:t>
      </w:r>
    </w:p>
    <w:p>
      <w:pPr>
        <w:spacing w:after="0" w:line="121"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Directors are elected by a plurality vote, which means that the three nominees for Class II director receiving the most affirmative votes will be elected. All other matters submitted for shareholder approval require the affirmative vote of the majority of shares present in person or represented by proxy and entitled to vote.</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A quorum of shareholders is necessary to hold a valid Annual Meeting. A quorum will be present if shareholders holding not less than an aggregate of one-third of the outstanding shares entitled to vote are present at the meeting in person or represented by proxy. On the record date, there were 43,861,484 shares outstanding and entitled to vote. As a result, shareholders holding at least 14,620,495 shares will need to be present at the meeting in person or represented by proxy to constitute a quorum. Your shares will be counted towards the quorum only if you submit a valid proxy (or one is submitted on your behalf by your broker, bank or other nominee) over the Internet, by telephone, by mail or if you attend the Annual Meeting in person. Abstentions and broker non-votes will be counted towards the quorum requirement but will have no effect on any of the proposals. If there is no quorum, then either the chairman of the meeting or the holders of a majority of shares present at the meeting in person or represented by proxy may adjourn the meeting to another date.</w:t>
      </w:r>
    </w:p>
    <w:p>
      <w:pPr>
        <w:spacing w:after="0" w:line="19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If your shares are held in street name and you do not instruct your broker on how to vote your shares, your broker, in its discretion, may either leave your shares unvoted or vote your shares on routine matters. Only Proposal 2 (ratifying the appointment of our independent registered public accounting firm) is considered a routine matter. Proposal 1 (election of directors), Proposal 3 (advisory vote on executive compensation) and Proposal 4 (approval of an amendment and restatement of the 2021 Equity Incentive Plan) are not considered routine matters, and without your instruction, your broker cannot vote your shares as to those proposals. If your broker returns a proxy but does not vote your shares, this results in a “broker non-vote.” Broker non-votes will be counted as present for the purpose of determining a quorum. However, as brokers do not have discretionary authority to vote on Proposal 1, Proposal 3 or Proposal 4, broker non-votes will not be counted for the purpose of determining the number of votes cast on such proposals.</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with respect to the election of directors, “For” and “Withhold” votes and, with respect to other proposals, votes “For” and “Against”. Abstentions and broker non-votes, although counted toward the quorum requirement, will not be counted towards the vote total for any proposal.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 Brought Before the Meeting</w:t>
      </w:r>
    </w:p>
    <w:p>
      <w:pPr>
        <w:spacing w:after="0" w:line="121"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The Company will pay for the entire cost of soliciting proxies. In addition to these proxy materials, the Company’s directors and employees may also solicit proxies in person, by telephone, or by other means of communication. Directors and employees will not be paid any additional compensation for soliciting proxies. We also may reimburse brokerage firms, banks and other agents for the cost of forwarding proxy materials to beneficial owners.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the Company expects to file within four business days after the Annual Meeting. If final voting results are not available in time to file a Form 8-K within four business days after the meeting, the Company intends to file a Form 8-K to publish preliminary results and, within four business days after the final results are known, file an additional Form 8-K to publish the final results.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93"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Important Notice Regarding Availability of Proxy Materials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Proxy Statement and our 2026 Annual Report to Shareholders are available at </w:t>
      </w:r>
      <w:r>
        <w:rPr>
          <w:rFonts w:ascii="Times New Roman" w:cs="Times New Roman" w:eastAsia="Times New Roman" w:hAnsi="Times New Roman"/>
          <w:sz w:val="18"/>
          <w:szCs w:val="18"/>
          <w:b w:val="1"/>
          <w:bCs w:val="1"/>
          <w:i w:val="1"/>
          <w:iCs w:val="1"/>
          <w:color w:val="auto"/>
        </w:rPr>
        <w:t>www.edocumentview.com/AMBA</w:t>
      </w:r>
      <w:r>
        <w:rPr>
          <w:rFonts w:ascii="Times New Roman" w:cs="Times New Roman" w:eastAsia="Times New Roman" w:hAnsi="Times New Roman"/>
          <w:sz w:val="18"/>
          <w:szCs w:val="18"/>
          <w:b w:val="1"/>
          <w:bCs w:val="1"/>
          <w:color w:val="auto"/>
        </w:rPr>
        <w:t>. Please promptly vote your shares as instructed in the Notice of Internet Availability. This will not limit your rights to attend or vote at the Annual Meeting.</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93" w:right="459" w:bottom="1440" w:gutter="0" w:footer="0" w:header="0"/>
        </w:sectPr>
      </w:pPr>
    </w:p>
    <w:bookmarkStart w:id="9" w:name="page10"/>
    <w:bookmarkEnd w:id="9"/>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1</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ELECTION OF CLASS II DIRECTORS</w:t>
      </w:r>
    </w:p>
    <w:p>
      <w:pPr>
        <w:spacing w:after="0" w:line="229"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Ambarella’s Board of Directors (the “Board”) currently has eight members. The authorized number of directors may be changed by resolution of the Board. Vacancies on the Board may be filled only by an affirmative vote of a majority of the remaining directors, or by the sole remaining director or, if not filled, by the shareholders. A director elected to fill a vacancy in a class, including vacancies created by an increase in the number of directors, shall serve until the next succeeding annual general meeting or until his or her death, resignation or removal.</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Board is divided into three classes, Class I, Class II and Class III, which serve staggered three-year terms:</w:t>
      </w:r>
    </w:p>
    <w:p>
      <w:pPr>
        <w:spacing w:after="0" w:line="131" w:lineRule="exact"/>
        <w:rPr>
          <w:sz w:val="20"/>
          <w:szCs w:val="20"/>
          <w:color w:val="auto"/>
        </w:rPr>
      </w:pPr>
    </w:p>
    <w:p>
      <w:pPr>
        <w:ind w:left="964" w:right="12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are Chantelle Y. Breithaupt, Dr. Chenming C. Hu and Dr. Feng-Ming (“Fermi”) Wang and their current terms will expire at the annual meeting of shareholders to be held in 2028.</w:t>
      </w:r>
    </w:p>
    <w:p>
      <w:pPr>
        <w:spacing w:after="0" w:line="67" w:lineRule="exact"/>
        <w:rPr>
          <w:rFonts w:ascii="Times New Roman" w:cs="Times New Roman" w:eastAsia="Times New Roman" w:hAnsi="Times New Roman"/>
          <w:sz w:val="18"/>
          <w:szCs w:val="18"/>
          <w:color w:val="auto"/>
        </w:rPr>
      </w:pPr>
    </w:p>
    <w:p>
      <w:pPr>
        <w:ind w:left="964" w:right="34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are Gregory M. Bryant, D. Jeffrey Richardson and Elizabeth M. Schwarting and their current terms will expire at the upcoming Annual Meeting.</w:t>
      </w:r>
    </w:p>
    <w:p>
      <w:pPr>
        <w:spacing w:after="0" w:line="67" w:lineRule="exact"/>
        <w:rPr>
          <w:rFonts w:ascii="Times New Roman" w:cs="Times New Roman" w:eastAsia="Times New Roman" w:hAnsi="Times New Roman"/>
          <w:sz w:val="18"/>
          <w:szCs w:val="18"/>
          <w:color w:val="auto"/>
        </w:rPr>
      </w:pPr>
    </w:p>
    <w:p>
      <w:pPr>
        <w:ind w:left="964" w:right="64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are Dr. Hsiao-Wuen Hon and Christopher B. Paisley and their current terms will expire at the annual meeting of shareholders to be held in 2027.</w:t>
      </w:r>
    </w:p>
    <w:p>
      <w:pPr>
        <w:spacing w:after="0" w:line="162" w:lineRule="exact"/>
        <w:rPr>
          <w:sz w:val="20"/>
          <w:szCs w:val="20"/>
          <w:color w:val="auto"/>
        </w:rPr>
      </w:pPr>
    </w:p>
    <w:p>
      <w:pPr>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Mr. Bryant was appointed to the Board in February 2026 upon recommendation of the remaining directors and the Nominating and Corporate Governance Committee following his identification as a director candidate by a third-party search firm, and is standing for election by the shareholders for the first time. The Board, upon the recommendation of the Nominating and Corporate Governance Committee, has selected Mr. Bryant,</w:t>
      </w:r>
    </w:p>
    <w:p>
      <w:pPr>
        <w:spacing w:after="0" w:line="2"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Mr. Richardson and Ms. Schwarting as nominees for election as Class II directors at the upcoming Annual Meeting. The proxies given to the proxy holders will be voted or not voted as directed and, if no direction is given, will be voted FOR each of the three nominees. If any nominee is unable or declines to serve as director at the time of the Annual Meeting, an event not now anticipated, proxies will be voted for any nominee designated by the Board to fill the vacancy. The three nominees for Class II director receiving the highest number of affirmative votes will be elected as Class II directors and will serve until the annual meeting of shareholders to be held in 2029 or until their successors are elected and qualified.</w:t>
      </w:r>
    </w:p>
    <w:p>
      <w:pPr>
        <w:spacing w:after="0" w:line="18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names of the nominees for election as Class II directors, who have been nominated by the Board, and the names of the continuing directors not up for election at the upcoming Annual Meeting, along with certain biographical information about the nominees and continuing directors, including the director’s business experience, public company director positions held currently or at any time during the last five years, information regarding involvement in certain legal or administrative proceedings (if applicable), and the experiences, qualifications, attributes or skills that caused the Nominating and Corporate Governance Committee to recommend that the director should continue to serve on the Board, are set forth below.</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Names of Nominees for Class II Directors</w:t>
            </w:r>
          </w:p>
        </w:tc>
        <w:tc>
          <w:tcPr>
            <w:tcW w:w="2120" w:type="dxa"/>
            <w:vAlign w:val="bottom"/>
          </w:tcPr>
          <w:p>
            <w:pPr>
              <w:spacing w:after="0"/>
              <w:rPr>
                <w:sz w:val="15"/>
                <w:szCs w:val="15"/>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9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Position(s)</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Gregory M. Bryant(2)</w:t>
            </w:r>
          </w:p>
        </w:tc>
        <w:tc>
          <w:tcPr>
            <w:tcW w:w="2120" w:type="dxa"/>
            <w:vAlign w:val="bottom"/>
          </w:tcPr>
          <w:p>
            <w:pPr>
              <w:spacing w:after="0"/>
              <w:rPr>
                <w:sz w:val="16"/>
                <w:szCs w:val="16"/>
                <w:color w:val="auto"/>
              </w:rPr>
            </w:pPr>
          </w:p>
        </w:tc>
        <w:tc>
          <w:tcPr>
            <w:tcW w:w="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57</w:t>
            </w:r>
          </w:p>
        </w:tc>
        <w:tc>
          <w:tcPr>
            <w:tcW w:w="29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 Jeffrey Richardson(2)(3)(4)</w:t>
            </w:r>
          </w:p>
        </w:tc>
        <w:tc>
          <w:tcPr>
            <w:tcW w:w="2360" w:type="dxa"/>
            <w:vAlign w:val="bottom"/>
            <w:gridSpan w:val="2"/>
          </w:tcPr>
          <w:p>
            <w:pPr>
              <w:jc w:val="center"/>
              <w:ind w:left="2050"/>
              <w:spacing w:after="0"/>
              <w:rPr>
                <w:sz w:val="20"/>
                <w:szCs w:val="20"/>
                <w:color w:val="auto"/>
              </w:rPr>
            </w:pPr>
            <w:r>
              <w:rPr>
                <w:rFonts w:ascii="Times New Roman" w:cs="Times New Roman" w:eastAsia="Times New Roman" w:hAnsi="Times New Roman"/>
                <w:sz w:val="18"/>
                <w:szCs w:val="18"/>
                <w:color w:val="auto"/>
                <w:w w:val="99"/>
              </w:rPr>
              <w:t>61</w:t>
            </w:r>
          </w:p>
        </w:tc>
        <w:tc>
          <w:tcPr>
            <w:tcW w:w="3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Elizabeth M. Schwarting(1)(3)</w:t>
            </w:r>
          </w:p>
        </w:tc>
        <w:tc>
          <w:tcPr>
            <w:tcW w:w="2360" w:type="dxa"/>
            <w:vAlign w:val="bottom"/>
            <w:gridSpan w:val="2"/>
          </w:tcPr>
          <w:p>
            <w:pPr>
              <w:jc w:val="center"/>
              <w:ind w:left="2050"/>
              <w:spacing w:after="0"/>
              <w:rPr>
                <w:sz w:val="20"/>
                <w:szCs w:val="20"/>
                <w:color w:val="auto"/>
              </w:rPr>
            </w:pPr>
            <w:r>
              <w:rPr>
                <w:rFonts w:ascii="Times New Roman" w:cs="Times New Roman" w:eastAsia="Times New Roman" w:hAnsi="Times New Roman"/>
                <w:sz w:val="18"/>
                <w:szCs w:val="18"/>
                <w:color w:val="auto"/>
                <w:w w:val="99"/>
              </w:rPr>
              <w:t>63</w:t>
            </w:r>
          </w:p>
        </w:tc>
        <w:tc>
          <w:tcPr>
            <w:tcW w:w="3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Corporate Governance Committee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w:t>
      </w:r>
    </w:p>
    <w:p>
      <w:pPr>
        <w:spacing w:after="0" w:line="203"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M. Bryant </w:t>
      </w:r>
      <w:r>
        <w:rPr>
          <w:rFonts w:ascii="Times New Roman" w:cs="Times New Roman" w:eastAsia="Times New Roman" w:hAnsi="Times New Roman"/>
          <w:sz w:val="18"/>
          <w:szCs w:val="18"/>
          <w:color w:val="auto"/>
        </w:rPr>
        <w:t>has been a member of our Board since February 2026. Mr. Bryant currently serves as principal of Xcendra Ventures, a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and advisory services firm focused on healthcare and technology</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93" w:right="479" w:bottom="1440" w:gutter="0" w:footer="0" w:header="0"/>
        </w:sectPr>
      </w:pPr>
    </w:p>
    <w:bookmarkStart w:id="10" w:name="page11"/>
    <w:bookmarkEnd w:id="10"/>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sectors that he founded in 2025. Prior to founding Xcendra Ventures, Mr. Bryant served as President of Global Business Units of Analog Devices Inc., a semiconductor company, from March 2022 to March 2025. Previously, Mr. Bryant had a long career at Intel Corporation, a semiconductor company, most recently in the role of EVP and General Manager of Intel’s Client Computing Group from September 2019 to January 2022. Mr. Bryant holds a Bachelor of Science degree in Electrical Engineering from the University of Kansas and a Master’s degree in Program and Systems Management from Golden Gate University. We believe that Mr. Bryant possesses specific attributes that qualify him to serve as a member of our Board, including his extensive managerial experience in the semiconductor industry as President of Global Business Units of Analog Devices and senior management positions with Intel.</w:t>
      </w:r>
    </w:p>
    <w:p>
      <w:pPr>
        <w:spacing w:after="0" w:line="18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 Jeffrey Richardson </w:t>
      </w:r>
      <w:r>
        <w:rPr>
          <w:rFonts w:ascii="Times New Roman" w:cs="Times New Roman" w:eastAsia="Times New Roman" w:hAnsi="Times New Roman"/>
          <w:sz w:val="18"/>
          <w:szCs w:val="18"/>
          <w:color w:val="auto"/>
        </w:rPr>
        <w:t>has been a member of our Board since March 2014. Mr. Richardson served as a senior executive of LSI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(“LSI”), a semiconductor company, from 2005 until its acquisition by Avago Technologies Company in 2014, including most recently serving as Executive Vice President and Chief Operating Officer. Prior to joining LSI, Mr. Richardson served in several capacities at Intel Corporation, including as its Vice President and General Manager of Server Platform Group and Vice President and General Manager of Enterprise Platforms and Services Division. Mr. Richardson currently serves on the board of directors of Kulicke and Soffa Industries, Inc., a provider of semiconductor capital equipment, and Lattice Semiconductor Corporation, a semiconductor company. Mr. Richardson received a B.S. degree in electrical engineering from the University of Colorado Boulder. We believe that Mr. Richardson possesses specific attributes that qualify him to serve as a member of our Board, including his extensive managerial experience in the semiconductor industry as Chief Operating Officer of LSI and senior management positions with LSI and Intel, and his experience as a board member of Lattice Semiconductor and Kulicke and Soffa.</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Elizabeth M. Schwarting </w:t>
      </w:r>
      <w:r>
        <w:rPr>
          <w:rFonts w:ascii="Times New Roman" w:cs="Times New Roman" w:eastAsia="Times New Roman" w:hAnsi="Times New Roman"/>
          <w:sz w:val="18"/>
          <w:szCs w:val="18"/>
          <w:color w:val="auto"/>
        </w:rPr>
        <w:t>has been a member of our Board since June 2020. From October 2015 to October 2024, Ms. Schwarting was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Principal Member of DBS Ventures, LLC, where she served as a consultant for various audiences relating to the automotive market, including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automotive technology (with a special emphasis on ADAS/Automated Driving), regulatory trends and business development. From 2009 to 2015,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Ms. Schwarting served as Vice President of the Electronic Controls business unit for Delphi Corporation (now Aptiv PLC), an automotive manufacturer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and supplier. From 1999 to 2009, Ms. Schwarting held several leadership positions at Delphi, including Vice President, Safety Systems, Global Director,</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Sales and Marketing, and General Motors Global Customer Director. Prior to joining Delphi, Ms. Schwarting held the position of General Manager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Strategic Accounts for Eastman Kodak Company within the Consumer Imaging Division. Ms. Schwarting also currently serves on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board of directors of Lattice Semiconductor Corporation, a semiconductor company. Ms. Schwarting received a B.S. degree in language arts from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University of Nebraska. We believe that Ms. Schwarting possesses specific attributes that qualify her to serve as a member of our Board, including 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extensive managerial experience in the automotive industry in senior management positions with Delphi, her sales and customer management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experience with Eastman Kodak, and her experience as a board member of Lattice Semiconductor.</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Names of Continuing Directors</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9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191"/>
        </w:trPr>
        <w:tc>
          <w:tcPr>
            <w:tcW w:w="1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8"/>
              </w:rPr>
              <w:t>Chantelle Y. Breithaupt(1)</w:t>
            </w:r>
          </w:p>
        </w:tc>
        <w:tc>
          <w:tcPr>
            <w:tcW w:w="2740" w:type="dxa"/>
            <w:vAlign w:val="bottom"/>
          </w:tcPr>
          <w:p>
            <w:pPr>
              <w:spacing w:after="0"/>
              <w:rPr>
                <w:sz w:val="16"/>
                <w:szCs w:val="16"/>
                <w:color w:val="auto"/>
              </w:rPr>
            </w:pPr>
          </w:p>
        </w:tc>
        <w:tc>
          <w:tcPr>
            <w:tcW w:w="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53</w:t>
            </w:r>
          </w:p>
        </w:tc>
        <w:tc>
          <w:tcPr>
            <w:tcW w:w="2980" w:type="dxa"/>
            <w:vAlign w:val="bottom"/>
            <w:vMerge w:val="continue"/>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Hsiao-Wuen Hon, Ph.D.(2)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5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Chenming C. Hu, Ph.D.(1)(2)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5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B. Paisley(1)(3)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5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Feng-Ming (Fermi) Wang, Ph.D.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5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Chairman of the Board of Directors, President and Chief Executive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Corporate Governance Committee</w:t>
      </w:r>
    </w:p>
    <w:p>
      <w:pPr>
        <w:spacing w:after="0" w:line="203"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Chantelle Y. Breithaupt </w:t>
      </w:r>
      <w:r>
        <w:rPr>
          <w:rFonts w:ascii="Times New Roman" w:cs="Times New Roman" w:eastAsia="Times New Roman" w:hAnsi="Times New Roman"/>
          <w:sz w:val="18"/>
          <w:szCs w:val="18"/>
          <w:color w:val="auto"/>
        </w:rPr>
        <w:t>has been a member of our Board since February 2025. Ms. Breithaupt currently serves as the Senior Vice President,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Arista Networks, Inc., a networking technology</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97" w:right="459" w:bottom="1440" w:gutter="0" w:footer="0" w:header="0"/>
        </w:sectPr>
      </w:pPr>
    </w:p>
    <w:bookmarkStart w:id="11" w:name="page12"/>
    <w:bookmarkEnd w:id="11"/>
    <w:p>
      <w:pPr>
        <w:ind w:right="1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company, a position she has held since February 2024 having joined Arista in January 2024. Ms. Breithaupt served as Senior Vice President and Chief Financial Officer of Aspen Technology, a provider of asset management software, from March 2021 to December 2023. Prior to Aspen Technology, Ms. Breithaupt spent seven years with Cisco Systems, Inc., a network technology company. She held multiple leadership positions at Cisco, most recently as Senior Vice President, Finance from January 2021 to March 2021, Vice President of Finance – Customer Experience/Services from August 2018 to January 2021, Vice President – Finance, Americas from October 2017 to August 2018 and Senior Director – Operational Finance from April 2014 to August 2015. Before Cisco, Ms. Breithaupt worked for General Electric Company for 15 years, where she held progressive, executive global finance roles. Ms. Breithaupt holds an Honors Business Administration degree from Wilfrid Laurier University (Canada). We believe that</w:t>
      </w:r>
    </w:p>
    <w:p>
      <w:pPr>
        <w:spacing w:after="0" w:line="2"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Ms. Breithaupt possesses specific attributes that qualify her to serve as a member of our Board, including her managerial experience in technology markets and expertise in finance, including accounting and financial reporting, as a chief financial officer and in other finance roles.</w:t>
      </w:r>
    </w:p>
    <w:p>
      <w:pPr>
        <w:spacing w:after="0" w:line="17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Hsiao-Wuen Hon, Ph.D. </w:t>
      </w:r>
      <w:r>
        <w:rPr>
          <w:rFonts w:ascii="Times New Roman" w:cs="Times New Roman" w:eastAsia="Times New Roman" w:hAnsi="Times New Roman"/>
          <w:sz w:val="18"/>
          <w:szCs w:val="18"/>
          <w:color w:val="auto"/>
        </w:rPr>
        <w:t>has been a member of our Board since August 2017. Dr. Hon is a former technology industry executive with over 28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experience at Microsoft Corporation, where he held various leadership positions before retiring in 2024. Most recently, he served as Corporate Vice President at Microsoft, and previously held the positions of Asia-Pacific R&amp;D Group Chairman and Managing Director of Microsoft Research Asia. During his tenure at Microsoft, he made significant contributions in the areas of artificial intelligence, natural language processing, spoken language recognition, and internet search. Prior to joining Microsoft, Dr. Hon served as Technology Director of the Apple-ISS Research Center on behalf of Apple Corporation. Dr. Hon also serves on the board of directors of MediaTek Inc., a Taiwanese fabless semiconductor company. Dr. Hon holds a Bachelor of Science degree in Electrical Engineering from National Taiwan University, a Master of Science degree in Computer Science with a focus on Artificial Intelligence from Carnegie Mellon University, and a Ph.D. degree in Computer Science, with a focus on Artificial Intelligence and Speech Recognition, also from Carnegie Mellon University. We believe that Dr. Hon possesses specific attributes that qualify him to serve as a member of our Board, including his extensive experience and wealth of knowledge in artificial intelligence and his managerial experience in the technology industry at Microsoft and Apple.</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Chenming C. Hu, Ph.D. </w:t>
      </w:r>
      <w:r>
        <w:rPr>
          <w:rFonts w:ascii="Times New Roman" w:cs="Times New Roman" w:eastAsia="Times New Roman" w:hAnsi="Times New Roman"/>
          <w:sz w:val="18"/>
          <w:szCs w:val="18"/>
          <w:color w:val="auto"/>
        </w:rPr>
        <w:t>has been a member of our Board since November 2011. Since 1976, Dr. Hu has been a professor in electrical engineering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computer sciences at the University of California, Berkeley, where he has been the TSMC Distinguished Chair Professor Emeritus since 2010. He was the Chief Technology Officer of TSMC, a semiconductor company, from 2001 to 2004. Dr. Hu was the founding chairman of Celestry Design Technologies, which was acquired by Cadence Design Systems in 2002. Dr. Hu previously served as a director of numerous companies, including Inphi Corporation, a semiconductor company, from 2010 to 2021, when it was acquired by Marvell Technology, Inc., a semiconductor company, and ACM Research, Inc., a semiconductor equipment producer, from 2017 to 2025. Dr. Hu is a member of the U.S. National Academy of Engineering, the Chinese Academy of Sciences, and Taiwan’s Academia Sinica, and, in 2016, he received the US National Medal of Technology and Innovation from President Barack Obama. Dr. Hu received his B.S. degree from National Taiwan University and his M.S. degree and Ph.D. from the University of California, Berkeley, all in Electrical Engineering. We believe that Dr. Hu possesses specific attributes that qualify him to serve as a member of our Board, including his extensive experience in the microelectronics and semiconductor industries as Chief Technology Officer of TSMC and as a board member of a number of technology companies, as well as his experience in academia as a professor of microelectronics, which gives him in-depth knowledge of technology trends and developments.</w:t>
      </w:r>
    </w:p>
    <w:p>
      <w:pPr>
        <w:spacing w:after="0" w:line="19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B. Paisley </w:t>
      </w:r>
      <w:r>
        <w:rPr>
          <w:rFonts w:ascii="Times New Roman" w:cs="Times New Roman" w:eastAsia="Times New Roman" w:hAnsi="Times New Roman"/>
          <w:sz w:val="18"/>
          <w:szCs w:val="18"/>
          <w:color w:val="auto"/>
        </w:rPr>
        <w:t>has served as a member of our Board since August 2012. Since January 2001, Mr. Paisley has served as the Dean’s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Professor of Accounting at the Leavey School of Business at Santa Clara University. Mr. Paisley also serves on the board of directors of Equinix, Inc., a provider of network colocation, interconnection and managed services, and Fastly, Inc., a cloud computing services provider. Mr. Paisley has previously served on the board of directors of numerous companies, including Fortinet, Inc., a provider of unified threat management solutions, from February 2004 to June 2021, and Enterprise 4.0 Technology Acquisition Corp., a Special Purpose Acquisition Corporation, from October 2021 to March 2023. Mr. Paisley holds a B.A. degree in business economics from the University of California at Santa Barbara and an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97" w:right="459" w:bottom="1440" w:gutter="0" w:footer="0" w:header="0"/>
        </w:sectPr>
      </w:pPr>
    </w:p>
    <w:bookmarkStart w:id="12" w:name="page13"/>
    <w:bookmarkEnd w:id="12"/>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M.B.A. from the Anderson School at the University of California at Los Angeles. We believe that Mr. Paisley possesses specific attributes that qualify him to serve as a member of our Board, including expertise in finance, including accounting and financial reporting, as a chief financial officer and in other finance roles and currently as a professor in the field of accounting and finance. Mr. Paisley also has over 20 years of outside board experience, which includes serving as audit committee chairman, at numerous public and private companies.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Feng-Ming (Fermi) Wang, Ph.D. </w:t>
      </w:r>
      <w:r>
        <w:rPr>
          <w:rFonts w:ascii="Times New Roman" w:cs="Times New Roman" w:eastAsia="Times New Roman" w:hAnsi="Times New Roman"/>
          <w:sz w:val="18"/>
          <w:szCs w:val="18"/>
          <w:color w:val="auto"/>
        </w:rPr>
        <w:t>has served as our Chairman of the Board of Directors, President and Chief Executive Officer since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co-founded Ambarella in January 2004. Prior to co-founding Ambarella, Dr. Wang was Chief Executive Officer and co-founder of Afara Websystems, a developer of throughput-oriented microprocessor technology, from November 2000 to July 2002, when Afara was acquired by Sun Microsystems, Inc. Before founding Afara, Dr. Wang served in various positions at C-Cube Microsystems, Inc., a digital video company, from August 1991 to August 2000, and last served as Vice President and General Manager from 1997 to 2000. Dr. Wang holds a B.S. degree in electrical engineering from National Taiwan University and an M.S. degree and Ph.D. in electrical engineering from Columbia University. We believe that Dr. Wang possesses specific attributes that qualify him to serve as a member of our Board, including his service as our Chairman of the Board of Directors, President and Chief Executive Officer, his leadership as a co-founder of Ambarella and his years of experience in the digital video industry.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ask that you vote “FOR” the following resolution:</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RESOLVED that each of Gregory M. Bryant, D. Jeffrey Richardson and Elizabeth M. Schwarting be appointed as Class II Directors to hold office in accordance with the Amended and Restated Memorandum and Articles of Association of the Company until the 2029 Annual Shareholder Meeting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three nominees for Class II director receiving the highest number of affirmative votes will be elected as Class II directors. Abstentions and broker non-votes, although counted toward the quorum requirement, will not be counted towards the vote total for this proposal. Unless otherwise indicated, all proxies received will be voted “FOR” each of the nominees listed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nominees set forth above as Class II directors of Ambarella.</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97" w:right="4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INFORMATION REGARDING THE 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Our business is managed by our executive officers under the direction and oversight of our Board, which is currently composed of eight members. In addition, when the chairman of the Board is an employee director—or when there is no current chairman—we are committed to having a lead independent director.</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Board is dedicated to good corporate governance practices, which provide a framework within which our directors and management can pursue strategic objectives for the benefit of our shareholders. Our Board has adopted Corporate Governance Guidelines that address corporate governance policies and standards applicable to the Company. These Corporate Governance Guidelines are available in the Investor Relations portion of our website at https://investor.ambarella.com/. These Corporate Governance Guidelines address topics such as: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Role of the Board and Directors</w:t>
            </w:r>
          </w:p>
        </w:tc>
        <w:tc>
          <w:tcPr>
            <w:tcW w:w="3580" w:type="dxa"/>
            <w:vAlign w:val="bottom"/>
          </w:tcPr>
          <w:p>
            <w:pPr>
              <w:ind w:left="560"/>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Election of directors</w:t>
            </w:r>
          </w:p>
        </w:tc>
        <w:tc>
          <w:tcPr>
            <w:tcW w:w="3320" w:type="dxa"/>
            <w:vAlign w:val="bottom"/>
          </w:tcPr>
          <w:p>
            <w:pPr>
              <w:ind w:left="840"/>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Composition of the Board</w:t>
            </w:r>
          </w:p>
        </w:tc>
      </w:tr>
      <w:tr>
        <w:trPr>
          <w:trHeight w:val="324"/>
        </w:trPr>
        <w:tc>
          <w:tcPr>
            <w:tcW w:w="3180" w:type="dxa"/>
            <w:vAlign w:val="bottom"/>
          </w:tcPr>
          <w:p>
            <w:pPr>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Board membership criteria</w:t>
            </w:r>
          </w:p>
        </w:tc>
        <w:tc>
          <w:tcPr>
            <w:tcW w:w="3580" w:type="dxa"/>
            <w:vAlign w:val="bottom"/>
          </w:tcPr>
          <w:p>
            <w:pPr>
              <w:ind w:left="560"/>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Overboarding</w:t>
            </w:r>
          </w:p>
        </w:tc>
        <w:tc>
          <w:tcPr>
            <w:tcW w:w="3320" w:type="dxa"/>
            <w:vAlign w:val="bottom"/>
          </w:tcPr>
          <w:p>
            <w:pPr>
              <w:ind w:left="840"/>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Board committees</w:t>
            </w:r>
          </w:p>
        </w:tc>
      </w:tr>
      <w:tr>
        <w:trPr>
          <w:trHeight w:val="324"/>
        </w:trPr>
        <w:tc>
          <w:tcPr>
            <w:tcW w:w="3180" w:type="dxa"/>
            <w:vAlign w:val="bottom"/>
          </w:tcPr>
          <w:p>
            <w:pPr>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Evaluation of management</w:t>
            </w:r>
          </w:p>
        </w:tc>
        <w:tc>
          <w:tcPr>
            <w:tcW w:w="3580" w:type="dxa"/>
            <w:vAlign w:val="bottom"/>
          </w:tcPr>
          <w:p>
            <w:pPr>
              <w:ind w:left="560"/>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Succession planning</w:t>
            </w:r>
          </w:p>
        </w:tc>
        <w:tc>
          <w:tcPr>
            <w:tcW w:w="3320" w:type="dxa"/>
            <w:vAlign w:val="bottom"/>
          </w:tcPr>
          <w:p>
            <w:pPr>
              <w:ind w:left="840"/>
              <w:spacing w:after="0"/>
              <w:rPr>
                <w:sz w:val="20"/>
                <w:szCs w:val="20"/>
                <w:color w:val="auto"/>
              </w:rPr>
            </w:pPr>
            <w:r>
              <w:rPr>
                <w:rFonts w:ascii="Wingdings" w:cs="Wingdings" w:eastAsia="Wingdings" w:hAnsi="Wingdings"/>
                <w:sz w:val="18"/>
                <w:szCs w:val="18"/>
                <w:b w:val="1"/>
                <w:bCs w:val="1"/>
                <w:color w:val="auto"/>
                <w:w w:val="98"/>
              </w:rPr>
              <w:t xml:space="preserve">v </w:t>
            </w:r>
            <w:r>
              <w:rPr>
                <w:rFonts w:ascii="Times New Roman" w:cs="Times New Roman" w:eastAsia="Times New Roman" w:hAnsi="Times New Roman"/>
                <w:sz w:val="18"/>
                <w:szCs w:val="18"/>
                <w:color w:val="auto"/>
                <w:w w:val="98"/>
              </w:rPr>
              <w:t>Assessing Board performance</w:t>
            </w:r>
          </w:p>
        </w:tc>
      </w:tr>
      <w:tr>
        <w:trPr>
          <w:trHeight w:val="324"/>
        </w:trPr>
        <w:tc>
          <w:tcPr>
            <w:tcW w:w="3180" w:type="dxa"/>
            <w:vAlign w:val="bottom"/>
          </w:tcPr>
          <w:p>
            <w:pPr>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Continuing education of directors</w:t>
            </w:r>
          </w:p>
        </w:tc>
        <w:tc>
          <w:tcPr>
            <w:tcW w:w="3580" w:type="dxa"/>
            <w:vAlign w:val="bottom"/>
          </w:tcPr>
          <w:p>
            <w:pPr>
              <w:ind w:left="560"/>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Stock ownership guidelines</w:t>
            </w:r>
          </w:p>
        </w:tc>
        <w:tc>
          <w:tcPr>
            <w:tcW w:w="3320" w:type="dxa"/>
            <w:vAlign w:val="bottom"/>
          </w:tcPr>
          <w:p>
            <w:pPr>
              <w:ind w:left="840"/>
              <w:spacing w:after="0"/>
              <w:rPr>
                <w:sz w:val="20"/>
                <w:szCs w:val="20"/>
                <w:color w:val="auto"/>
              </w:rPr>
            </w:pPr>
            <w:r>
              <w:rPr>
                <w:rFonts w:ascii="Wingdings" w:cs="Wingdings" w:eastAsia="Wingdings" w:hAnsi="Wingdings"/>
                <w:sz w:val="18"/>
                <w:szCs w:val="18"/>
                <w:b w:val="1"/>
                <w:bCs w:val="1"/>
                <w:color w:val="auto"/>
                <w:w w:val="93"/>
              </w:rPr>
              <w:t xml:space="preserve">v </w:t>
            </w:r>
            <w:r>
              <w:rPr>
                <w:rFonts w:ascii="Times New Roman" w:cs="Times New Roman" w:eastAsia="Times New Roman" w:hAnsi="Times New Roman"/>
                <w:sz w:val="18"/>
                <w:szCs w:val="18"/>
                <w:color w:val="auto"/>
                <w:w w:val="93"/>
              </w:rPr>
              <w:t>Compensation Recovery Policy</w:t>
            </w:r>
          </w:p>
        </w:tc>
      </w:tr>
    </w:tbl>
    <w:p>
      <w:pPr>
        <w:spacing w:after="0" w:line="198"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We believe that good governance leads to board effectiveness, promotes the long-term interests of our shareholders, and strengthens the accountability of the Board and management to our stakeholders.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Board is currently chaired by Dr. Wang, the President and Chief Executive Officer of Ambarella. We believe that combining the positions of Chief Executive Officer and Chairman helps ensure that the Board and management act with a common purpose. In our view, separating the positions of Chief Executive Officer and Chairman has the potential to give rise to divided leadership, which could interfere with good decision-making or weaken our ability to develop and implement strategy. Instead, we believe that combining the positions of Chief Executive Officer and Chairman provides a single, clear chain of command to execute our strategic initiatives and business plans. In addition, we believe that a combined Chief Executive Officer and Chairman is better positioned to act as a bridge between management and the Board, facilitating the regular flow of information. The Chairman determines the agenda and presides over Board meetings. Dr. Wang’s extensive experience with the Company as a co-founder, President and Chief Executive Officer, and Chairman makes him a strong strategic leader and enables the Board to oversee and support the Company’s initiatives.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Board determined, as part of our corporate governance principles, that one of our independent directors should serve as a lead director at any time when the title of chairman is held by an employee director or there is no current chairman. Responsibilities of the lead independent director include:</w:t>
      </w:r>
    </w:p>
    <w:p>
      <w:pPr>
        <w:spacing w:after="0" w:line="81" w:lineRule="exact"/>
        <w:rPr>
          <w:sz w:val="20"/>
          <w:szCs w:val="20"/>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with the Chief Executive Officer on behalf of the non-employee directors;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over meetings of the non-employee directors;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issues with management on behalf of the non-employee directors when appropriate;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Board’s oversight responsibilities with respect to Company strategy, risk management and succession planning;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function of the Board and committees, including advising on agendas and materials to be distributed to the Board;</w:t>
      </w:r>
    </w:p>
    <w:p>
      <w:pPr>
        <w:spacing w:after="0" w:line="157"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93" w:right="479" w:bottom="1440" w:gutter="0" w:footer="0" w:header="0"/>
        </w:sectPr>
      </w:pPr>
    </w:p>
    <w:bookmarkStart w:id="14" w:name="page15"/>
    <w:bookmarkEnd w:id="14"/>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being available for meetings with the Company’s shareholders;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duties as the Board may from time to time designate.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Mr. Richardson, who has been a member of our Board since 2014, has served as our lead independent director since June 2024. We believe that the current leadership structure of the Board, as well as our emphasis on Board independence, is appropriate at the present time and allows the Board to fulfill its duties effectively and efficiently based on our current needs.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provide that a majority of our directors will be independent. Based on the review and recommendation by the Nominating and Corporate Governance Committee, the Board has determined that Ms. Breithaupt, Mr. Bryant, Dr. Hon, Dr. Hu, Mr. Paisley,</w:t>
      </w:r>
    </w:p>
    <w:p>
      <w:pPr>
        <w:ind w:right="40"/>
        <w:spacing w:after="0" w:line="253" w:lineRule="auto"/>
        <w:rPr>
          <w:sz w:val="20"/>
          <w:szCs w:val="20"/>
          <w:color w:val="auto"/>
        </w:rPr>
      </w:pPr>
      <w:r>
        <w:rPr>
          <w:rFonts w:ascii="Times New Roman" w:cs="Times New Roman" w:eastAsia="Times New Roman" w:hAnsi="Times New Roman"/>
          <w:sz w:val="18"/>
          <w:szCs w:val="18"/>
          <w:color w:val="auto"/>
        </w:rPr>
        <w:t>Mr. Richardson, and Ms. Schwarting, representing a majority of our directors, are independent directors under the rules of Nasdaq. In making these determinations, the Board found that none of these directors has a material or other disqualifying relationship with Ambarella that would interfere with the exercise of independent judgment in carrying out the responsibilities of a director. Dr. Wang, Ambarella’s Chairman of the Board, President and Chief Executive Officer, is not independent by virtue of his employment with Ambarella.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Demographics</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committed to continuing to identify, recruit and retain highly qualified directors and director candidates with a broad range of experiences, tenures, perspectives, and backgrounds to join and remain on the Board. The graphics below summarize the current gender, age and tenure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149225</wp:posOffset>
            </wp:positionV>
            <wp:extent cx="4989195" cy="2957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919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40" w:top="297"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Overboarding</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2026, upon the recommendation of the Nominating and Corporate Governance Committee, the Board added a requirement to its Corporate Governance Guidelines to limit the number of public company boards on which our directors may serve to a total of four (including the Board), and to a total of two (including the Board) for any director who also serves as a chief executive officer of a public company or in an equivalent position, without the prior approval of the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Board and its committees meet throughout the year on a set schedule and hold special meetings from time to time as appropriate. The Board held seven meetings during the 2026 fiscal year. Each director attended at least 75% of the total aggregate of the regularly scheduled and special meetings held by the Board and the committees on which such director served during his or her tenure in fiscal year 2026. Our non-employee directors meet in regularly scheduled executive sessions without the presence of management. The lead independent director of the Board presides over each such executive session. Under our Corporate Governance Guidelines, our directors are encouraged to attend our annual meeting of shareholders and five of our directors attended the 2025 annual meeting.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have established an Audit Committee, a Compensation Committee, and a Nominating and Corporate Governance Committee. Each of the committees has authority to engage legal counsel or other experts or consultants, as it deems appropriate to carry out its responsibilities. The Board has determined that each member of each committee meets the applicable Nasdaq and SEC rules and regulations regarding “independence” and that each member is free of any relationship that would impair his or her individual exercise of independent judgment with regard to Ambarella. Each of the committees operates under a written charter adopted by the Board, each of which can be found on our website at </w:t>
      </w:r>
      <w:r>
        <w:rPr>
          <w:rFonts w:ascii="Times New Roman" w:cs="Times New Roman" w:eastAsia="Times New Roman" w:hAnsi="Times New Roman"/>
          <w:sz w:val="18"/>
          <w:szCs w:val="18"/>
          <w:i w:val="1"/>
          <w:iCs w:val="1"/>
          <w:color w:val="auto"/>
        </w:rPr>
        <w:t>http://investor.ambarella.com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is currently composed of four directors: Ms. Breithaupt, Dr. Hu, Mr. Paisley, and Ms. Schwarting. Mr. Paisley serves as the chair of the committee. The Audit Committee met five times during fiscal year 2026.</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responsibilities of our Audit Committee include:</w:t>
      </w:r>
    </w:p>
    <w:p>
      <w:pPr>
        <w:spacing w:after="0" w:line="131" w:lineRule="exact"/>
        <w:rPr>
          <w:sz w:val="20"/>
          <w:szCs w:val="20"/>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hiring, discharging and compensation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independence and performance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and discussing the statements and reports with our independent registered public accounting firm and management;</w:t>
      </w:r>
    </w:p>
    <w:p>
      <w:pPr>
        <w:spacing w:after="0" w:line="67"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and management, significant issues that may arise regarding accounting principles and financial statement presentation, as well as matters concerning the scope, adequacy and effectiveness of our financial controls;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with respect to related party transactions; and</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financial controls, accounting or auditing matters.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93" w:right="479" w:bottom="1440" w:gutter="0" w:footer="0" w:header="0"/>
        </w:sectPr>
      </w:pPr>
    </w:p>
    <w:bookmarkStart w:id="16" w:name="page17"/>
    <w:bookmarkEnd w:id="16"/>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Board has determined that each of Ms. Breithaupt and Mr. Paisley qualifies as an “Audit Committee financial expert,” as defined in applicable SEC rules. The Board made qualitative assessments of Ms. Breithaupt’s and Mr. Paisley’s level of knowledge and experience based on a number of factors, including their formal education and their experiences as chief financial officer for public reporting companies, and in the case of Mr. Paisley, his service on the audit committees of other publicly traded companies and his role as a university professor in the field of accounting and finance.</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is currently composed of four directors: Mr. Bryant, Dr. Hon, Dr. Hu, and Mr. Richardson, who serves as the chair of the committee. The Compensation Committee formally met five times during fiscal year 2026. Each member of the Compensation Committee is a non-employee director, as defined pursuant to Rule 16b-3 promulgated under the Securities Exchange Act of 1934, as amended.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responsibilities of our Compensation Committee include:</w:t>
      </w:r>
    </w:p>
    <w:p>
      <w:pPr>
        <w:spacing w:after="0" w:line="131" w:lineRule="exact"/>
        <w:rPr>
          <w:sz w:val="20"/>
          <w:szCs w:val="20"/>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policies relating to compensation and benefits of our executive officers;</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changes with respect to the compensation levels of our chief executive officer and other executive officers;</w:t>
      </w:r>
    </w:p>
    <w:p>
      <w:pPr>
        <w:spacing w:after="0" w:line="67" w:lineRule="exact"/>
        <w:rPr>
          <w:rFonts w:ascii="Times New Roman" w:cs="Times New Roman" w:eastAsia="Times New Roman" w:hAnsi="Times New Roman"/>
          <w:sz w:val="18"/>
          <w:szCs w:val="18"/>
          <w:color w:val="auto"/>
        </w:rPr>
      </w:pPr>
    </w:p>
    <w:p>
      <w:pPr>
        <w:jc w:val="both"/>
        <w:ind w:left="960" w:right="300" w:hanging="424"/>
        <w:spacing w:after="0" w:line="26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chief executive officer and other executive officers, and evaluating the performance of our chief executive officer and other executive officers in light of the established goals and objectives;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changes with respect to the compensation of our directors; and</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option plans, stock purchase plans, compensation plans and similar programs, including the adoption, amendment and termination of such plans.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has the authority to retain its own compensation consultants and outside legal, accounting and other advisers at the Company’s expense. The Compensation Committee does not delegate its authority to such consultants or advisers. The Compensation Committee has engaged the services of Semler Brossy Consulting Group, LLP (“Semler Brossy”), a compensation consulting firm, and has considered such firm’s input in evaluating compensation trends and best practices, identifying peer group companies and benchmarking compensation data and other aspects of administering the Company’s executive compensation program. There were no conflicts of interest between the Company and Semler Brossy or the Company’s outside legal counsel, Wilson Sonsini Goodrich &amp; Rosati P.C.</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During fiscal year 2026, Anne De Greef-Safft, who left the Board in June 2025, Dr. Hon, Dr. Hu, and Mr. Richardson served as members of the Compensation Committee. None of the members of our Compensation Committee is or has in the past served as an officer or employee of the Company. None of our executive officers currently serves, or in the past year has served, as a member of the board of directors or compensation committee of any entity that has one or more executive officers serving on our Board or our Compensation Committee.</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Nominating and Corporate Governance Committee is currently composed of three directors: Mr. Paisley, Mr. Richardson, and</w:t>
      </w:r>
    </w:p>
    <w:p>
      <w:pPr>
        <w:spacing w:after="0" w:line="27"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Ms. Schwarting, who serves as the chair of the committee. The Nominating and Corporate Governance Committee met four times during fiscal year 2026.</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97"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responsibilities of our Nominating and Corporate Governance Committee include:</w:t>
      </w:r>
    </w:p>
    <w:p>
      <w:pPr>
        <w:spacing w:after="0" w:line="131" w:lineRule="exact"/>
        <w:rPr>
          <w:sz w:val="20"/>
          <w:szCs w:val="20"/>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performance of the Board, including its committees and individual directors, as well as the size of the Board;</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recommending candidates for membership on the Board, including nominations by shareholders of candidates for election to the Board;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incumbent directors;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membership of the committees of the Board;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for the continuing education of directors;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succession planning for our chief executive officer;</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evaluation of risks, controls and procedures related to cybersecurity and information and technology security, including the disclosure of any significant risks and incidents to the extent required;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sustainability practices;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changes with respect to corporate governance practices and policies.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One of the key functions of the Board is informed oversight of our risk management process. Risk oversight is conducted by the full Board, rather than a dedicated risk committee, to leverage the breadth of experience and strengthen coordination across the standing committees. Our management is responsible for day-to-day management of key risk areas. The Board regularly receives updates from management and discusses risks at regular Board meetings, and considers both the immediacy of a risk and its materiality in making strategic decisions and helping management to prioritize resources. In light of the Company’s increasing focus on edge and physical AI applications, the Board also receives updates regarding technology roadmap execution, AI software development risks, product quality and security, supply chain resilience, and relevant regulatory and geopolitical developments.</w:t>
      </w:r>
    </w:p>
    <w:p>
      <w:pPr>
        <w:spacing w:after="0" w:line="17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Our Audit Committee has the responsibility to consider and discuss our major financial risk exposures and the steps our management has taken to monitor and control these exposures, including policies to govern the process by which risk assessment and management is undertaken. The Audit Committee also monitors compliance with regulatory requirements, in addition to oversight of the performance of our external audit function.</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assesses and monitors whether any of our compensation policies and programs has the potential to encourage excessive risk-taking by management or employees. The Compensation Committee also oversees organizational risks, including leadership succession, employee turnover and workforce culture.</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risks related to board composition and effectiveness, and monitors the Company’s evaluation of risks, controls and procedures related to cybersecurity and information and technology security as well as the effectiveness of our corporate, social and governance guidelines and policies.</w:t>
      </w:r>
    </w:p>
    <w:p>
      <w:pPr>
        <w:spacing w:after="0" w:line="176"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The committees regularly provide reports to the Board on their activities, including those related to risk management. The Board and its committees engage outside advisors and experts from time to time to assist in understanding risks, threats and trends.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97"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Evaluation of Board and Director Performance</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The Board believes that a regular evaluation process is an essential component of strong corporate governance practices. The Nominating and Corporate Governance Committee oversees an annual evaluation process to evaluate Board effectiveness and aid in board refreshment planning. This process consists of a full Board evaluation as well as evaluations of each of the Board’s standing committees, and is designed to identify areas for improvement. The evaluations, which are distributed and obtained through outside counsel to promote candidness, seek feedback on a range of topics, including:</w:t>
      </w:r>
    </w:p>
    <w:p>
      <w:pPr>
        <w:sectPr>
          <w:pgSz w:w="11900" w:h="16838" w:orient="portrait"/>
          <w:cols w:equalWidth="0" w:num="1">
            <w:col w:w="10960"/>
          </w:cols>
          <w:pgMar w:left="440" w:top="293" w:right="499" w:bottom="1440" w:gutter="0" w:footer="0" w:header="0"/>
        </w:sectPr>
      </w:pPr>
    </w:p>
    <w:p>
      <w:pPr>
        <w:spacing w:after="0" w:line="210" w:lineRule="exact"/>
        <w:rPr>
          <w:sz w:val="20"/>
          <w:szCs w:val="20"/>
          <w:color w:val="auto"/>
        </w:rPr>
      </w:pPr>
    </w:p>
    <w:p>
      <w:pPr>
        <w:ind w:left="180"/>
        <w:spacing w:after="0"/>
        <w:tabs>
          <w:tab w:leader="none" w:pos="4160" w:val="left"/>
        </w:tabs>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Overall Board and committee dynamics</w:t>
      </w:r>
      <w:r>
        <w:rPr>
          <w:sz w:val="20"/>
          <w:szCs w:val="20"/>
          <w:color w:val="auto"/>
        </w:rPr>
        <w:tab/>
      </w:r>
      <w:r>
        <w:rPr>
          <w:rFonts w:ascii="Wingdings" w:cs="Wingdings" w:eastAsia="Wingdings" w:hAnsi="Wingdings"/>
          <w:sz w:val="17"/>
          <w:szCs w:val="17"/>
          <w:b w:val="1"/>
          <w:bCs w:val="1"/>
          <w:color w:val="auto"/>
        </w:rPr>
        <w:t xml:space="preserve">v </w:t>
      </w:r>
      <w:r>
        <w:rPr>
          <w:rFonts w:ascii="Times New Roman" w:cs="Times New Roman" w:eastAsia="Times New Roman" w:hAnsi="Times New Roman"/>
          <w:sz w:val="17"/>
          <w:szCs w:val="17"/>
          <w:color w:val="auto"/>
        </w:rPr>
        <w:t>Effectiveness of Board and committee</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leadership</w:t>
      </w:r>
    </w:p>
    <w:p>
      <w:pPr>
        <w:spacing w:after="0" w:line="99" w:lineRule="exact"/>
        <w:rPr>
          <w:sz w:val="20"/>
          <w:szCs w:val="20"/>
          <w:color w:val="auto"/>
        </w:rPr>
      </w:pPr>
    </w:p>
    <w:p>
      <w:pPr>
        <w:ind w:left="180"/>
        <w:spacing w:after="0"/>
        <w:tabs>
          <w:tab w:leader="none" w:pos="4160" w:val="left"/>
        </w:tabs>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Director preparation and participation</w:t>
      </w:r>
      <w:r>
        <w:rPr>
          <w:sz w:val="20"/>
          <w:szCs w:val="20"/>
          <w:color w:val="auto"/>
        </w:rPr>
        <w:tab/>
      </w:r>
      <w:r>
        <w:rPr>
          <w:rFonts w:ascii="Wingdings" w:cs="Wingdings" w:eastAsia="Wingdings" w:hAnsi="Wingdings"/>
          <w:sz w:val="17"/>
          <w:szCs w:val="17"/>
          <w:b w:val="1"/>
          <w:bCs w:val="1"/>
          <w:color w:val="auto"/>
        </w:rPr>
        <w:t xml:space="preserve">v </w:t>
      </w:r>
      <w:r>
        <w:rPr>
          <w:rFonts w:ascii="Times New Roman" w:cs="Times New Roman" w:eastAsia="Times New Roman" w:hAnsi="Times New Roman"/>
          <w:sz w:val="17"/>
          <w:szCs w:val="17"/>
          <w:color w:val="auto"/>
        </w:rPr>
        <w:t>Information flow and access to</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management</w:t>
      </w:r>
    </w:p>
    <w:p>
      <w:pPr>
        <w:spacing w:after="0" w:line="99" w:lineRule="exact"/>
        <w:rPr>
          <w:sz w:val="20"/>
          <w:szCs w:val="20"/>
          <w:color w:val="auto"/>
        </w:rPr>
      </w:pPr>
    </w:p>
    <w:p>
      <w:pPr>
        <w:ind w:left="180"/>
        <w:spacing w:after="0"/>
        <w:tabs>
          <w:tab w:leader="none" w:pos="4160" w:val="left"/>
        </w:tabs>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Executive sessions of independent directors</w:t>
      </w:r>
      <w:r>
        <w:rPr>
          <w:sz w:val="20"/>
          <w:szCs w:val="20"/>
          <w:color w:val="auto"/>
        </w:rPr>
        <w:tab/>
      </w:r>
      <w:r>
        <w:rPr>
          <w:rFonts w:ascii="Wingdings" w:cs="Wingdings" w:eastAsia="Wingdings" w:hAnsi="Wingdings"/>
          <w:sz w:val="16"/>
          <w:szCs w:val="16"/>
          <w:b w:val="1"/>
          <w:bCs w:val="1"/>
          <w:color w:val="auto"/>
        </w:rPr>
        <w:t xml:space="preserve">v </w:t>
      </w:r>
      <w:r>
        <w:rPr>
          <w:rFonts w:ascii="Times New Roman" w:cs="Times New Roman" w:eastAsia="Times New Roman" w:hAnsi="Times New Roman"/>
          <w:sz w:val="16"/>
          <w:szCs w:val="16"/>
          <w:color w:val="auto"/>
        </w:rPr>
        <w:t>Use of experts</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Following is a summary of the board evaluation process: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Meeting agenda topics</w:t>
      </w:r>
    </w:p>
    <w:p>
      <w:pPr>
        <w:spacing w:after="0" w:line="333" w:lineRule="exact"/>
        <w:rPr>
          <w:sz w:val="20"/>
          <w:szCs w:val="20"/>
          <w:color w:val="auto"/>
        </w:rPr>
      </w:pPr>
    </w:p>
    <w:p>
      <w:pPr>
        <w:ind w:left="180" w:right="380" w:hanging="179"/>
        <w:spacing w:after="0" w:line="282" w:lineRule="auto"/>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Board and management succession</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planning</w:t>
      </w:r>
    </w:p>
    <w:p>
      <w:pPr>
        <w:spacing w:after="0" w:line="54" w:lineRule="exact"/>
        <w:rPr>
          <w:sz w:val="20"/>
          <w:szCs w:val="20"/>
          <w:color w:val="auto"/>
        </w:rPr>
      </w:pPr>
    </w:p>
    <w:p>
      <w:pPr>
        <w:ind w:left="180" w:right="620" w:hanging="179"/>
        <w:spacing w:after="0" w:line="282" w:lineRule="auto"/>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Additional topics for Board and</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committee attention</w:t>
      </w:r>
    </w:p>
    <w:p>
      <w:pPr>
        <w:spacing w:after="0" w:line="568" w:lineRule="exact"/>
        <w:rPr>
          <w:sz w:val="20"/>
          <w:szCs w:val="20"/>
          <w:color w:val="auto"/>
        </w:rPr>
      </w:pPr>
    </w:p>
    <w:p>
      <w:pPr>
        <w:sectPr>
          <w:pgSz w:w="11900" w:h="16838" w:orient="portrait"/>
          <w:cols w:equalWidth="0" w:num="2">
            <w:col w:w="7140" w:space="700"/>
            <w:col w:w="3120"/>
          </w:cols>
          <w:pgMar w:left="440" w:top="293" w:right="499" w:bottom="1440" w:gutter="0" w:footer="0" w:header="0"/>
          <w:type w:val="continuous"/>
        </w:sectPr>
      </w:pPr>
    </w:p>
    <w:p>
      <w:pPr>
        <w:spacing w:after="0" w:line="52" w:lineRule="exact"/>
        <w:rPr>
          <w:sz w:val="20"/>
          <w:szCs w:val="20"/>
          <w:color w:val="auto"/>
        </w:rPr>
      </w:pPr>
    </w:p>
    <w:p>
      <w:pPr>
        <w:ind w:left="1200" w:hanging="435"/>
        <w:spacing w:after="0"/>
        <w:tabs>
          <w:tab w:leader="none" w:pos="12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Evaluation process discussed and approved by Nominating and Corporate Governance Committee</w:t>
      </w:r>
    </w:p>
    <w:p>
      <w:pPr>
        <w:spacing w:after="0" w:line="131" w:lineRule="exact"/>
        <w:rPr>
          <w:sz w:val="20"/>
          <w:szCs w:val="20"/>
          <w:color w:val="auto"/>
        </w:rPr>
      </w:pPr>
    </w:p>
    <w:p>
      <w:pPr>
        <w:ind w:left="1200" w:right="220" w:hanging="435"/>
        <w:spacing w:after="0" w:line="282" w:lineRule="auto"/>
        <w:tabs>
          <w:tab w:leader="none" w:pos="12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Board member assesses the performance and effectiveness of the Board and, as applicable, the committees on which the Board member serves</w:t>
      </w:r>
    </w:p>
    <w:p>
      <w:pPr>
        <w:spacing w:after="0" w:line="67" w:lineRule="exact"/>
        <w:rPr>
          <w:sz w:val="20"/>
          <w:szCs w:val="20"/>
          <w:color w:val="auto"/>
        </w:rPr>
      </w:pPr>
    </w:p>
    <w:p>
      <w:pPr>
        <w:ind w:left="1200" w:hanging="435"/>
        <w:spacing w:after="0"/>
        <w:tabs>
          <w:tab w:leader="none" w:pos="12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Outside counsel shares feedback with the Company’s General Counsel and Lead Independent Director</w:t>
      </w:r>
    </w:p>
    <w:p>
      <w:pPr>
        <w:spacing w:after="0" w:line="131" w:lineRule="exact"/>
        <w:rPr>
          <w:sz w:val="20"/>
          <w:szCs w:val="20"/>
          <w:color w:val="auto"/>
        </w:rPr>
      </w:pPr>
    </w:p>
    <w:p>
      <w:pPr>
        <w:ind w:left="1200" w:hanging="435"/>
        <w:spacing w:after="0"/>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Lead Independent Director presents the results to the Nominating and Corporate Governance Committee</w:t>
      </w:r>
    </w:p>
    <w:p>
      <w:pPr>
        <w:spacing w:after="0" w:line="131" w:lineRule="exact"/>
        <w:rPr>
          <w:sz w:val="20"/>
          <w:szCs w:val="20"/>
          <w:color w:val="auto"/>
        </w:rPr>
      </w:pPr>
    </w:p>
    <w:p>
      <w:pPr>
        <w:ind w:left="1200" w:hanging="435"/>
        <w:spacing w:after="0"/>
        <w:tabs>
          <w:tab w:leader="none" w:pos="12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Nominating and Corporate Governance Committee reviews and discusses the results and reports to the full Board</w:t>
      </w:r>
    </w:p>
    <w:p>
      <w:pPr>
        <w:spacing w:after="0" w:line="131" w:lineRule="exact"/>
        <w:rPr>
          <w:sz w:val="20"/>
          <w:szCs w:val="20"/>
          <w:color w:val="auto"/>
        </w:rPr>
      </w:pPr>
    </w:p>
    <w:p>
      <w:pPr>
        <w:ind w:left="1200" w:hanging="435"/>
        <w:spacing w:after="0"/>
        <w:tabs>
          <w:tab w:leader="none" w:pos="12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Lead Independent Director meets with board members on a one-on-one basis, as necessary, to address any significant concerns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results of the Board evaluation process are used by the Nominating and Corporate Governance Committee and the Board to identify strengths as well as opportunities for improvement. In addition, results may be used by the Board to improve its agenda topics so that the information directors receive enables them to effectively address issues they see as most important.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93" w:right="4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 Skills, Competencies and Experience</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maintains a skill set survey of the current Board members. The Board uses the survey to evaluate the experience and expertise of the existing Board members and to identify the skills and characteristics of future director candidates. The table below sets forth certain skills, competencies and experience of our continuing directors and nominees for director standing for re-election at this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160020</wp:posOffset>
            </wp:positionV>
            <wp:extent cx="128905" cy="514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514350"/>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356870</wp:posOffset>
            </wp:positionV>
            <wp:extent cx="128905" cy="316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31686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476885</wp:posOffset>
            </wp:positionV>
            <wp:extent cx="128905"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97485"/>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537210</wp:posOffset>
            </wp:positionV>
            <wp:extent cx="12890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5937885</wp:posOffset>
            </wp:positionH>
            <wp:positionV relativeFrom="paragraph">
              <wp:posOffset>339725</wp:posOffset>
            </wp:positionV>
            <wp:extent cx="128905" cy="334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33464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142875</wp:posOffset>
            </wp:positionV>
            <wp:extent cx="128905" cy="531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53149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142875</wp:posOffset>
            </wp:positionV>
            <wp:extent cx="128905" cy="531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531495"/>
                    </a:xfrm>
                    <a:prstGeom prst="rect">
                      <a:avLst/>
                    </a:prstGeom>
                    <a:noFill/>
                  </pic:spPr>
                </pic:pic>
              </a:graphicData>
            </a:graphic>
          </wp:anchor>
        </w:drawing>
        <w:drawing>
          <wp:anchor simplePos="0" relativeHeight="251657728" behindDoc="1" locked="0" layoutInCell="0" allowOverlap="1">
            <wp:simplePos x="0" y="0"/>
            <wp:positionH relativeFrom="column">
              <wp:posOffset>6838315</wp:posOffset>
            </wp:positionH>
            <wp:positionV relativeFrom="paragraph">
              <wp:posOffset>400050</wp:posOffset>
            </wp:positionV>
            <wp:extent cx="128905"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16510</wp:posOffset>
            </wp:positionV>
            <wp:extent cx="22802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Industry-Specific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4445</wp:posOffset>
            </wp:positionV>
            <wp:extent cx="1371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4445</wp:posOffset>
            </wp:positionV>
            <wp:extent cx="1371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4445</wp:posOffset>
            </wp:positionV>
            <wp:extent cx="1371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4445</wp:posOffset>
            </wp:positionV>
            <wp:extent cx="13716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Semiconductor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5715</wp:posOffset>
            </wp:positionV>
            <wp:extent cx="1371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5715</wp:posOffset>
            </wp:positionV>
            <wp:extent cx="137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5715</wp:posOffset>
            </wp:positionV>
            <wp:extent cx="13716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5715</wp:posOffset>
            </wp:positionV>
            <wp:extent cx="1371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5715</wp:posOffset>
            </wp:positionV>
            <wp:extent cx="1371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5715</wp:posOffset>
            </wp:positionV>
            <wp:extent cx="1371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North American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5715</wp:posOffset>
            </wp:positionV>
            <wp:extent cx="1371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5715</wp:posOffset>
            </wp:positionV>
            <wp:extent cx="1371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5715</wp:posOffset>
            </wp:positionV>
            <wp:extent cx="1371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5715</wp:posOffset>
            </wp:positionV>
            <wp:extent cx="1371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5715</wp:posOffset>
            </wp:positionV>
            <wp:extent cx="1371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5715</wp:posOffset>
            </wp:positionV>
            <wp:extent cx="1371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5715</wp:posOffset>
            </wp:positionV>
            <wp:extent cx="13716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International Business Experience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19685</wp:posOffset>
            </wp:positionV>
            <wp:extent cx="1371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19685</wp:posOffset>
            </wp:positionV>
            <wp:extent cx="1371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19685</wp:posOffset>
            </wp:positionV>
            <wp:extent cx="1371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Camera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5715</wp:posOffset>
            </wp:positionV>
            <wp:extent cx="1371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5715</wp:posOffset>
            </wp:positionV>
            <wp:extent cx="13716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5715</wp:posOffset>
            </wp:positionV>
            <wp:extent cx="13716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5715</wp:posOffset>
            </wp:positionV>
            <wp:extent cx="13716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Robotics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5715</wp:posOffset>
            </wp:positionV>
            <wp:extent cx="13716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5715</wp:posOffset>
            </wp:positionV>
            <wp:extent cx="13716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5715</wp:posOffset>
            </wp:positionV>
            <wp:extent cx="1371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Consumer Products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19685</wp:posOffset>
            </wp:positionV>
            <wp:extent cx="13716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19685</wp:posOffset>
            </wp:positionV>
            <wp:extent cx="13716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19685</wp:posOffset>
            </wp:positionV>
            <wp:extent cx="13716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19685</wp:posOffset>
            </wp:positionV>
            <wp:extent cx="13716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19685</wp:posOffset>
            </wp:positionV>
            <wp:extent cx="1371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19685</wp:posOffset>
            </wp:positionV>
            <wp:extent cx="1371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19685</wp:posOffset>
            </wp:positionV>
            <wp:extent cx="1371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19685</wp:posOffset>
            </wp:positionV>
            <wp:extent cx="1371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5715</wp:posOffset>
            </wp:positionV>
            <wp:extent cx="1371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5715</wp:posOffset>
            </wp:positionV>
            <wp:extent cx="13716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5715</wp:posOffset>
            </wp:positionV>
            <wp:extent cx="13716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5715</wp:posOffset>
            </wp:positionV>
            <wp:extent cx="1371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Product Management &amp;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5715</wp:posOffset>
            </wp:positionV>
            <wp:extent cx="1371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5715</wp:posOffset>
            </wp:positionV>
            <wp:extent cx="1371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5715</wp:posOffset>
            </wp:positionV>
            <wp:extent cx="13716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Sales and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5715</wp:posOffset>
            </wp:positionV>
            <wp:extent cx="13716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5715</wp:posOffset>
            </wp:positionV>
            <wp:extent cx="13716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5715</wp:posOffset>
            </wp:positionV>
            <wp:extent cx="13716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5715</wp:posOffset>
            </wp:positionV>
            <wp:extent cx="13716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5715</wp:posOffset>
            </wp:positionV>
            <wp:extent cx="13716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5715</wp:posOffset>
            </wp:positionV>
            <wp:extent cx="13716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Operations &amp; Supply Chain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5715</wp:posOffset>
            </wp:positionV>
            <wp:extent cx="13716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5715</wp:posOffset>
            </wp:positionV>
            <wp:extent cx="13716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5715</wp:posOffset>
            </wp:positionV>
            <wp:extent cx="1371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5715</wp:posOffset>
            </wp:positionV>
            <wp:extent cx="13716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5715</wp:posOffset>
            </wp:positionV>
            <wp:extent cx="13716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5715</wp:posOffset>
            </wp:positionV>
            <wp:extent cx="13716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CEO/Executive Level Management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5715</wp:posOffset>
            </wp:positionV>
            <wp:extent cx="1371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5715</wp:posOffset>
            </wp:positionV>
            <wp:extent cx="13716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5715</wp:posOffset>
            </wp:positionV>
            <wp:extent cx="13716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5715</wp:posOffset>
            </wp:positionV>
            <wp:extent cx="13716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5715</wp:posOffset>
            </wp:positionV>
            <wp:extent cx="13716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5715</wp:posOffset>
            </wp:positionV>
            <wp:extent cx="13716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Financial Literacy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5715</wp:posOffset>
            </wp:positionV>
            <wp:extent cx="13716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5715</wp:posOffset>
            </wp:positionV>
            <wp:extent cx="13716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5715</wp:posOffset>
            </wp:positionV>
            <wp:extent cx="13716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5715</wp:posOffset>
            </wp:positionV>
            <wp:extent cx="13716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5715</wp:posOffset>
            </wp:positionV>
            <wp:extent cx="13716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5715</wp:posOffset>
            </wp:positionV>
            <wp:extent cx="13716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Information Technology &amp; Cybersecurity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5715</wp:posOffset>
            </wp:positionV>
            <wp:extent cx="13716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5715</wp:posOffset>
            </wp:positionV>
            <wp:extent cx="13716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5715</wp:posOffset>
            </wp:positionV>
            <wp:extent cx="13716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5715</wp:posOffset>
            </wp:positionV>
            <wp:extent cx="13716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5715</wp:posOffset>
            </wp:positionV>
            <wp:extent cx="13716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5715</wp:posOffset>
            </wp:positionV>
            <wp:extent cx="13716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5715</wp:posOffset>
            </wp:positionV>
            <wp:extent cx="13716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Strategy Development and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5715</wp:posOffset>
            </wp:positionV>
            <wp:extent cx="13716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5715</wp:posOffset>
            </wp:positionV>
            <wp:extent cx="13716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5715</wp:posOffset>
            </wp:positionV>
            <wp:extent cx="13716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5715</wp:posOffset>
            </wp:positionV>
            <wp:extent cx="13716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5715</wp:posOffset>
            </wp:positionV>
            <wp:extent cx="13716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Additional Public Board /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5715</wp:posOffset>
            </wp:positionV>
            <wp:extent cx="13716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5715</wp:posOffset>
            </wp:positionV>
            <wp:extent cx="13716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5715</wp:posOffset>
            </wp:positionV>
            <wp:extent cx="13716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5955030</wp:posOffset>
            </wp:positionH>
            <wp:positionV relativeFrom="paragraph">
              <wp:posOffset>5715</wp:posOffset>
            </wp:positionV>
            <wp:extent cx="13716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5715</wp:posOffset>
            </wp:positionV>
            <wp:extent cx="13716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5715</wp:posOffset>
            </wp:positionV>
            <wp:extent cx="13716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5715</wp:posOffset>
            </wp:positionV>
            <wp:extent cx="13716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Mergers &amp; Acquisitions / Organizational Change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Refreshment</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Board recognizes the importance of director refreshment to maintaining a well-constructed and high-performing Board. As discussed above, the Nominating and Corporate Governance Committee conducts an annual evaluation process and regularly discusses the skill set of the current Board and potential needs of the Board.</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selects director nominees who think and act independently and can effectively communicate their thoughts and opinions. The Board does not believe long tenure alone presumptively renders a director not independent. Rather, the Board has determined that its longer-tenured directors have important experience, bring diverse perspectives, and provide tangible value to the Board and the Company. Their length of tenure has allowed these directors to accumulate valuable knowledge and experience based upon their history with the Company and their breadth of experience in leadership roles outside the Company. This knowledge and experience improve the ability of the Board to provide constructive guidance and oversight to the management team.</w:t>
      </w:r>
    </w:p>
    <w:p>
      <w:pPr>
        <w:spacing w:after="0" w:line="18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has structured the Board such that there is an appropriate mix of directors of varying tenures, with new directors and perspectives joining the Board over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93" w:right="47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while retaining the institutional knowledge and broader business experience of longer-tenured directors. We have added three highly qualified independent directors to the Board in the past six years; and we have also seen three other independent directors retire over the same period. The Board’s average tenure among independent directors is currently eight years, with two directors having served less than five years and five having served more than five years. We believe these demographics reflect the balance the Board seeks to bring to refreshment of adding new voices and viewpoints while maintaining the benefits of experience.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Board nominates directors for election at each annual meeting of shareholders and elects new directors to fill vacancies when they arise, including vacancies created by an increase in the number of directors. The Nominating and Corporate Governance Committee has the responsibility to identify, evaluate, recruit and recommend qualified candidates to the Board for nomination or election.</w:t>
      </w:r>
    </w:p>
    <w:p>
      <w:pPr>
        <w:spacing w:after="0" w:line="174"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Director Criteria</w:t>
      </w:r>
      <w:r>
        <w:rPr>
          <w:rFonts w:ascii="Times New Roman" w:cs="Times New Roman" w:eastAsia="Times New Roman" w:hAnsi="Times New Roman"/>
          <w:sz w:val="18"/>
          <w:szCs w:val="18"/>
          <w:color w:val="auto"/>
        </w:rPr>
        <w:t>. The Nominating and Corporate Governance Committee has a policy regarding consideration of director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by shareholders. The Nominating and Corporate Governance Committee reviews suggestions for director candidates recommended by shareholders and considers such candidates for recommendation based upon an appropriate balance of knowledge, experience and capability. In addition to considering an appropriate balance of knowledge, experience and capability, the Board has as an objective that its membership be composed of experienced and dedicated individuals with diversity of backgrounds, perspectives and skills. Except as may be required by rules promulgated by Nasdaq or the SEC, there are currently no specific, minimum qualifications that must be met by each candidate for the Board, nor are there any specific qualities or skills that are necessary for one or more of the members of the Board to possess. The Nominating and Corporate Governance Committee selects candidates for director based on their character, judgment, diversity of experience, independence, corporate experience, length of service, potential conflicts of interest, and their willingness and ability to devote sufficient time to effectively carry out their duties as a director.</w:t>
      </w:r>
    </w:p>
    <w:p>
      <w:pPr>
        <w:spacing w:after="0" w:line="19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Prior to each annual meeting of shareholders, the Nominating and Corporate Governance Committee will identify nominees first by reviewing the current directors whose term expires at the annual meeting of shareholders and who are willing to continue in service. These candidates are evaluated based on the criteria described above, including as demonstrated by the candidate’s prior service as a director, and the needs of the Board with respect to the particular talents and experience of its directors. In the event that a director does not wish to continue in service, the Nominating and Corporate Governance Committee determines not to nominate the director, or a vacancy is created on the Board as a result of a resignation, an increase in the size of the Board or other event, the Nominating and Corporate Governance Committee will consider various candidates for Board membership, including those suggested by members of the Nominating and Corporate Governance Committee, by other members of the Board, by any executive search firm engaged by the Nominating and Corporate Governance Committee and by shareholders. The Nominating and Corporate Governance Committee has from time to time retained an executive search firm to assist in sourcing potential candidates for our Board.</w:t>
      </w:r>
    </w:p>
    <w:p>
      <w:pPr>
        <w:spacing w:after="0" w:line="186"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i w:val="1"/>
          <w:iCs w:val="1"/>
          <w:color w:val="auto"/>
        </w:rPr>
        <w:t>Shareholder Nominees</w:t>
      </w:r>
      <w:r>
        <w:rPr>
          <w:rFonts w:ascii="Times New Roman" w:cs="Times New Roman" w:eastAsia="Times New Roman" w:hAnsi="Times New Roman"/>
          <w:sz w:val="18"/>
          <w:szCs w:val="18"/>
          <w:color w:val="auto"/>
        </w:rPr>
        <w:t>. In addition, our articles of association contain provisions that address the process by which a shareholder may nominate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to stand for election to the Board at our annual meeting of shareholders. In order to nominate a candidate for director, a shareholder must give timely notice in writing to Ambarella, Inc.’s Secretary and comply with the provisions of our articles of association. To be timely, we must have received the shareholder’s notice not more than 120 days nor less than 90 days prior to the anniversary of the date our proxy statement was provided to shareholders in connection with the previous year’s annual meeting of shareholders. However, if we did not hold an annual meeting of shareholders in the prior year or if the date of the annual meeting of shareholders is more than 30 days before or after the anniversary date of the prior year’s annual meeting of shareholders, we must receive the shareholder’s notice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Annual Meeting and not later than the close of business on the later of 90 days prior to the annual meeting of shareholders and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day we provided such public disclosure of the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97" w:right="459" w:bottom="1440" w:gutter="0" w:footer="0" w:header="0"/>
        </w:sectPr>
      </w:pPr>
    </w:p>
    <w:bookmarkStart w:id="21" w:name="page22"/>
    <w:bookmarkEnd w:id="21"/>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meeting date. Information required by the articles of association to be in the notice include the name and contact information for the candidate and the person making the nomination, the principal occupation or employment of the candidate, the class and number of Ambarella securities held by the candidate, and other information about the nominee that must be disclosed in proxy solicitations under Section 14 of the Securities Exchange Act of 1934 and the related rules and regulations under that Section. Any notice of director nomination must include the additional information required by Rule 14a-19(b) under the Exchange Act. We received no director nominees from our shareholders for the upcoming Annual Meeting. Shareholder nominations must be made in accordance with the procedures outlined in, and include the information required by, our articles of association and must be addressed to 3001 Tasman Drive, Santa Clara, CA 95054, Attn: Secretary. You can obtain a copy of our articles of association by writing to the Secretary at this address.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Voting Policy</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Board has adopted a director voting policy, which establishes that any director nominee who receives a greater number of “Withhold” votes than “For” votes in an uncontested election held in an annual meeting of shareholders shall submit his or her offer of resignation to the Nominating and Corporate Governance Committee. The Nominating and Corporate Governance Committee shall evaluate the relevant facts and circumstances and recommend to the Board an action to be taken on the resignation offer. The Board will promptly publicly disclose its decision and, if applicable, the reasons for rejecting the tendered resignation.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Board has adopted a formal process by which shareholders may communicate with the Board or any of its directors. Shareholders who wish to communicate with the Board or an individual director may send a written communication addressed as follows: Ambarella Board Communication, 3001 Tasman Drive, Santa Clara, California 95054. Each communication will be reviewed by the General Counsel of Ambarella who will forward the communication to the Board or to any individual director to whom the communication is addressed unless the communication is of a commercial, frivolous or similarly inappropriate nature, in which case, the General Counsel will discard the communication.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40" w:top="297"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 Principles and Practices</w:t>
      </w:r>
    </w:p>
    <w:p>
      <w:pPr>
        <w:spacing w:after="0" w:line="121" w:lineRule="exact"/>
        <w:rPr>
          <w:sz w:val="20"/>
          <w:szCs w:val="20"/>
          <w:color w:val="auto"/>
        </w:rPr>
      </w:pPr>
    </w:p>
    <w:p>
      <w:pPr>
        <w:jc w:val="both"/>
        <w:ind w:right="200" w:firstLine="440"/>
        <w:spacing w:after="0" w:line="289" w:lineRule="auto"/>
        <w:rPr>
          <w:sz w:val="20"/>
          <w:szCs w:val="20"/>
          <w:color w:val="auto"/>
        </w:rPr>
      </w:pPr>
      <w:r>
        <w:rPr>
          <w:rFonts w:ascii="Times New Roman" w:cs="Times New Roman" w:eastAsia="Times New Roman" w:hAnsi="Times New Roman"/>
          <w:sz w:val="17"/>
          <w:szCs w:val="17"/>
          <w:color w:val="auto"/>
        </w:rPr>
        <w:t>We believe our corporate governance initiatives comply with the Sarbanes-Oxley Act of 2002 and the rules and regulations of the SEC adopted thereunder. In addition, we believe our corporate governance initiatives comply with the rules of The Nasdaq Stock Market. The Board has adopted a Code of Business Conduct and Ethics that applies to each of our directors, officers and employees. This code addresses various topics, including:</w:t>
      </w:r>
    </w:p>
    <w:p>
      <w:pPr>
        <w:sectPr>
          <w:pgSz w:w="11900" w:h="16838" w:orient="portrait"/>
          <w:cols w:equalWidth="0" w:num="1">
            <w:col w:w="10940"/>
          </w:cols>
          <w:pgMar w:left="440" w:top="293" w:right="519" w:bottom="1440" w:gutter="0" w:footer="0" w:header="0"/>
        </w:sectPr>
      </w:pPr>
    </w:p>
    <w:p>
      <w:pPr>
        <w:spacing w:after="0" w:line="185" w:lineRule="exact"/>
        <w:rPr>
          <w:sz w:val="20"/>
          <w:szCs w:val="20"/>
          <w:color w:val="auto"/>
        </w:rPr>
      </w:pPr>
    </w:p>
    <w:p>
      <w:pPr>
        <w:ind w:left="360" w:right="193" w:hanging="179"/>
        <w:spacing w:after="0" w:line="282" w:lineRule="auto"/>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Compliance with laws, including Federal</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Corrupt Practices Act</w:t>
      </w:r>
    </w:p>
    <w:p>
      <w:pPr>
        <w:spacing w:after="0" w:line="54" w:lineRule="exact"/>
        <w:rPr>
          <w:sz w:val="20"/>
          <w:szCs w:val="20"/>
          <w:color w:val="auto"/>
        </w:rPr>
      </w:pPr>
    </w:p>
    <w:p>
      <w:pPr>
        <w:ind w:left="180" w:right="1073"/>
        <w:spacing w:after="0" w:line="391" w:lineRule="auto"/>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Competition and fair dealing</w:t>
      </w:r>
      <w:r>
        <w:rPr>
          <w:rFonts w:ascii="Wingdings" w:cs="Wingdings" w:eastAsia="Wingdings" w:hAnsi="Wingdings"/>
          <w:sz w:val="18"/>
          <w:szCs w:val="18"/>
          <w:b w:val="1"/>
          <w:bCs w:val="1"/>
          <w:color w:val="auto"/>
        </w:rPr>
        <w:t xml:space="preserve"> v </w:t>
      </w:r>
      <w:r>
        <w:rPr>
          <w:rFonts w:ascii="Times New Roman" w:cs="Times New Roman" w:eastAsia="Times New Roman" w:hAnsi="Times New Roman"/>
          <w:sz w:val="18"/>
          <w:szCs w:val="18"/>
          <w:color w:val="auto"/>
        </w:rPr>
        <w:t>Record keeping</w:t>
      </w:r>
    </w:p>
    <w:p>
      <w:pPr>
        <w:spacing w:after="0" w:line="1" w:lineRule="exact"/>
        <w:rPr>
          <w:sz w:val="20"/>
          <w:szCs w:val="20"/>
          <w:color w:val="auto"/>
        </w:rPr>
      </w:pPr>
    </w:p>
    <w:p>
      <w:pPr>
        <w:ind w:left="180"/>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Conflicts of interest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87" w:right="740" w:hanging="179"/>
        <w:spacing w:after="0" w:line="282" w:lineRule="auto"/>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Selecting suppliers and fostering</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partnerships</w:t>
      </w:r>
    </w:p>
    <w:p>
      <w:pPr>
        <w:spacing w:after="0" w:line="54" w:lineRule="exact"/>
        <w:rPr>
          <w:sz w:val="20"/>
          <w:szCs w:val="20"/>
          <w:color w:val="auto"/>
        </w:rPr>
      </w:pPr>
    </w:p>
    <w:p>
      <w:pPr>
        <w:ind w:left="7"/>
        <w:spacing w:after="0"/>
        <w:rPr>
          <w:sz w:val="20"/>
          <w:szCs w:val="20"/>
          <w:color w:val="auto"/>
        </w:rPr>
      </w:pPr>
      <w:r>
        <w:rPr>
          <w:rFonts w:ascii="Wingdings" w:cs="Wingdings" w:eastAsia="Wingdings" w:hAnsi="Wingdings"/>
          <w:sz w:val="17"/>
          <w:szCs w:val="17"/>
          <w:b w:val="1"/>
          <w:bCs w:val="1"/>
          <w:color w:val="auto"/>
        </w:rPr>
        <w:t xml:space="preserve">v </w:t>
      </w:r>
      <w:r>
        <w:rPr>
          <w:rFonts w:ascii="Times New Roman" w:cs="Times New Roman" w:eastAsia="Times New Roman" w:hAnsi="Times New Roman"/>
          <w:sz w:val="17"/>
          <w:szCs w:val="17"/>
          <w:color w:val="auto"/>
        </w:rPr>
        <w:t>Equal employment and working conditions</w:t>
      </w:r>
    </w:p>
    <w:p>
      <w:pPr>
        <w:spacing w:after="0" w:line="129" w:lineRule="exact"/>
        <w:rPr>
          <w:sz w:val="20"/>
          <w:szCs w:val="20"/>
          <w:color w:val="auto"/>
        </w:rPr>
      </w:pPr>
    </w:p>
    <w:p>
      <w:pPr>
        <w:ind w:left="207" w:hanging="207"/>
        <w:spacing w:after="0"/>
        <w:tabs>
          <w:tab w:leader="none" w:pos="207" w:val="left"/>
        </w:tabs>
        <w:numPr>
          <w:ilvl w:val="0"/>
          <w:numId w:val="2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Confidentiality</w:t>
      </w:r>
    </w:p>
    <w:p>
      <w:pPr>
        <w:spacing w:after="0" w:line="144" w:lineRule="exact"/>
        <w:rPr>
          <w:rFonts w:ascii="Wingdings" w:cs="Wingdings" w:eastAsia="Wingdings" w:hAnsi="Wingdings"/>
          <w:sz w:val="18"/>
          <w:szCs w:val="18"/>
          <w:b w:val="1"/>
          <w:bCs w:val="1"/>
          <w:color w:val="auto"/>
        </w:rPr>
      </w:pPr>
    </w:p>
    <w:p>
      <w:pPr>
        <w:ind w:left="207" w:hanging="207"/>
        <w:spacing w:after="0"/>
        <w:tabs>
          <w:tab w:leader="none" w:pos="207" w:val="left"/>
        </w:tabs>
        <w:numPr>
          <w:ilvl w:val="0"/>
          <w:numId w:val="2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Insider trading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80" w:right="20" w:hanging="179"/>
        <w:spacing w:after="0" w:line="282" w:lineRule="auto"/>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Payments to government personnel and</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political contributions</w:t>
      </w:r>
    </w:p>
    <w:p>
      <w:pPr>
        <w:spacing w:after="0" w:line="54"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auto"/>
        </w:rPr>
        <w:t xml:space="preserve">v </w:t>
      </w:r>
      <w:r>
        <w:rPr>
          <w:rFonts w:ascii="Times New Roman" w:cs="Times New Roman" w:eastAsia="Times New Roman" w:hAnsi="Times New Roman"/>
          <w:sz w:val="18"/>
          <w:szCs w:val="18"/>
          <w:color w:val="auto"/>
        </w:rPr>
        <w:t>Corporate opportunities</w:t>
      </w:r>
    </w:p>
    <w:p>
      <w:pPr>
        <w:spacing w:after="0" w:line="117" w:lineRule="exact"/>
        <w:rPr>
          <w:sz w:val="20"/>
          <w:szCs w:val="20"/>
          <w:color w:val="auto"/>
        </w:rPr>
      </w:pPr>
    </w:p>
    <w:p>
      <w:pPr>
        <w:ind w:right="120"/>
        <w:spacing w:after="0" w:line="478" w:lineRule="auto"/>
        <w:rPr>
          <w:sz w:val="20"/>
          <w:szCs w:val="20"/>
          <w:color w:val="auto"/>
        </w:rPr>
      </w:pPr>
      <w:r>
        <w:rPr>
          <w:rFonts w:ascii="Wingdings" w:cs="Wingdings" w:eastAsia="Wingdings" w:hAnsi="Wingdings"/>
          <w:sz w:val="17"/>
          <w:szCs w:val="17"/>
          <w:b w:val="1"/>
          <w:bCs w:val="1"/>
          <w:color w:val="auto"/>
        </w:rPr>
        <w:t xml:space="preserve">v </w:t>
      </w:r>
      <w:r>
        <w:rPr>
          <w:rFonts w:ascii="Times New Roman" w:cs="Times New Roman" w:eastAsia="Times New Roman" w:hAnsi="Times New Roman"/>
          <w:sz w:val="17"/>
          <w:szCs w:val="17"/>
          <w:color w:val="auto"/>
        </w:rPr>
        <w:t>Protection and use of Company assets</w:t>
      </w:r>
      <w:r>
        <w:rPr>
          <w:rFonts w:ascii="Wingdings" w:cs="Wingdings" w:eastAsia="Wingdings" w:hAnsi="Wingdings"/>
          <w:sz w:val="17"/>
          <w:szCs w:val="17"/>
          <w:b w:val="1"/>
          <w:bCs w:val="1"/>
          <w:color w:val="auto"/>
        </w:rPr>
        <w:t xml:space="preserve"> v </w:t>
      </w:r>
      <w:r>
        <w:rPr>
          <w:rFonts w:ascii="Times New Roman" w:cs="Times New Roman" w:eastAsia="Times New Roman" w:hAnsi="Times New Roman"/>
          <w:sz w:val="17"/>
          <w:szCs w:val="17"/>
          <w:color w:val="auto"/>
        </w:rPr>
        <w:t>Giving and accepting of gifts</w:t>
      </w:r>
    </w:p>
    <w:p>
      <w:pPr>
        <w:spacing w:after="0" w:line="4" w:lineRule="exact"/>
        <w:rPr>
          <w:sz w:val="20"/>
          <w:szCs w:val="20"/>
          <w:color w:val="auto"/>
        </w:rPr>
      </w:pPr>
    </w:p>
    <w:p>
      <w:pPr>
        <w:sectPr>
          <w:pgSz w:w="11900" w:h="16838" w:orient="portrait"/>
          <w:cols w:equalWidth="0" w:num="3">
            <w:col w:w="3533" w:space="720"/>
            <w:col w:w="3307" w:space="320"/>
            <w:col w:w="3060"/>
          </w:cols>
          <w:pgMar w:left="440" w:top="293" w:right="519" w:bottom="1440" w:gutter="0" w:footer="0" w:header="0"/>
          <w:type w:val="continuous"/>
        </w:sect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Board also has adopted a Code of Ethics for our Chief Executive Officer and Senior Financial Officers, including our Chief Financial Officer and principal accounting officer, relating to ethical conduct, conflicts of interest and compliance with law. The Code of Conduct and the Code of Ethics for our Chief Executive Officer and Senior Financial Officers is available to shareholders on the investor relations portion of Ambarella’s website at </w:t>
      </w:r>
      <w:r>
        <w:rPr>
          <w:rFonts w:ascii="Times New Roman" w:cs="Times New Roman" w:eastAsia="Times New Roman" w:hAnsi="Times New Roman"/>
          <w:sz w:val="18"/>
          <w:szCs w:val="18"/>
          <w:i w:val="1"/>
          <w:iCs w:val="1"/>
          <w:color w:val="auto"/>
        </w:rPr>
        <w:t>https://investor.ambarella.com/</w:t>
      </w:r>
      <w:r>
        <w:rPr>
          <w:rFonts w:ascii="Times New Roman" w:cs="Times New Roman" w:eastAsia="Times New Roman" w:hAnsi="Times New Roman"/>
          <w:sz w:val="18"/>
          <w:szCs w:val="18"/>
          <w:color w:val="auto"/>
        </w:rPr>
        <w:t>. Any waiver to the Code of Business Conduct for an executive officer or director or any waiver of the Code of Ethics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only be granted by the Board or a committee of the Board and must be timely disclosed as required by applicable law. We also have implemented whistleblower procedures that establish formal protocols for receiving and handling complaints from employees. Any concerns regarding accounting or auditing matters reported under these procedures will be communicated promptly to our Audit Committee.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Compliance</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Our Board has adopted an Insider Trading Policy governing the purchase, sale, and/or other disposition of our securities by directors, officers, employees, and other covered persons. We believe this policy is reasonably designed to promote compliance with insider trading laws, rules and regulations, and the exchange listing standards applicable to us. A copy of our Insider Trading Policy has been filed as an exhibit to our Annual Report on Form 10-K.</w:t>
      </w:r>
    </w:p>
    <w:p>
      <w:pPr>
        <w:spacing w:after="0" w:line="180"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may engage in transactions in our own securities. We comply with all applicable securities laws when engaging in transactions in our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Sustainability</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are committed to sound corporate citizenship in the way we manage our people, our business, and our impact on society and the environment. Our Nominating and Corporate Governance Committee oversees the Company’s development and disclosure of policies and programs relating to corporate responsibility. Our executive management team is responsible for directly leading the Company’s sustainability initiatives. The Nominating and Corporate Governance Committee coordinates with senior management on the periodic presentation of sustainability activities to the Board. We are currently focusing our efforts on where we can have the most positive impact on our business and we are intent on managing both opportunities and risks that arise from sustainability matters.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40" w:top="293" w:right="5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Workforce</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Innovation is the lifeblood of our company. Since our founding, we have strived to develop leading-edge technologies using the most advanced semiconductor processes. As a fabless semiconductor company, our people are our most important asset and we rely upon them to sustain our competitive advantage. It is our aim to build and maintain an inclusive workforce that fosters broad perspectives to solving challenges. The majority of our employees are from diverse ethnic backgrounds, though this is partly due to a large majority of employees being located outside of the United States, primarily in Asia. As of January 31, 2026, women represented 15% of senior management, 17% of our technical roles, and 21% of our total workforce.</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committed to ensuring the human rights of our worldwide workforce and treating all employees with dignity and respect. We believe our compensation and benefits packages, combined with our culture that promotes teamwork, innovation and immediate hands-on experience, contribute to a relatively low employee turnover. Our 7.7% worldwide voluntary employee turnover rate for fiscal year 2026 was higher than our historical norm but remained below the industry average. We offer a combination of competitive base salary, time-based equity incentives and bonus plans linked to financial and strategic performance that are designed to motivate and reward personnel with annual grants of stock-based and cash-based incentive compensation awards, plus other benefits, in order to increase shareholder value and our success by motivating such individuals to perform to the best of their abilities and achieve both our short and long-term objectives.</w:t>
      </w:r>
    </w:p>
    <w:p>
      <w:pPr>
        <w:spacing w:after="0" w:line="18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emphasize continued employee education and offer tuition reimbursement benefits as part of our overall compensation package. In addition, we have implemented a formalized training program for all employees as part of our effort to help employees develop and/or improve their knowledge, skills and expertise.</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Employees are encouraged to communicate openly with management without fear of reprisal or harassment. All employees receive an annual performance review. We pursue open communication with our employees through regular town-hall style meetings and the collection of feedback from our employees on a regular basis. We respect the rights of employees to associate freely, seek representation or join workers’ councils in accordance with local laws. We conduct periodic employee surveys focused on matters such as employee engagement and job satisfaction. Over 75% of our employees participated in our survey in 2025, with employee collaboration, job resources, inclusion, and leadership rated highly.</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Supply Chain</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are committed to promoting the highest level of integrity and ethical standards throughout our supply chain. We have adopted a supplier code of conduct (“Supplier Code”) to ensure our suppliers meet our standards as well as industry expectations and internationally recognized standards regarding: (i) labor and human rights, health and safety, and treatment of employees; (ii) environmental responsibility; (iii) ethical business practices; and (iv) compliance with applicable laws and regulations. Our Supplier Code applies to our suppliers, as well as their employees and subcontractors. In addition, our foundry and primary assembly vendors have committed to the principles of the Responsible Business Alliance, including the protection of human and workers’ rights.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Environment</w:t>
      </w:r>
    </w:p>
    <w:p>
      <w:pPr>
        <w:spacing w:after="0" w:line="119"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We acknowledge our responsibility to ensure our products are designed, developed, and supplied in an environmentally safe and sound manner. We are committed to promoting environmental protection and sustainability, from the product design phase, through manufacture, sale and distribution. With innovative process technology and design, we seek to enhance sustainability through the products we provide to our customers. As a fabless semiconductor design company, we do not manufacture our products and, with respect to our direct activities, we believe we leave a relatively small environmental impact compared to the impact of manufacturers or others in our supply chain. Our primary manufacturing partner has made a public commitment to integrating sustainability into its manufacturing process. We aim to improve our own sustainability efforts as we pursue these goals:</w:t>
      </w:r>
    </w:p>
    <w:p>
      <w:pPr>
        <w:spacing w:after="0" w:line="78" w:lineRule="exact"/>
        <w:rPr>
          <w:sz w:val="20"/>
          <w:szCs w:val="20"/>
          <w:color w:val="auto"/>
        </w:rPr>
      </w:pPr>
    </w:p>
    <w:p>
      <w:pPr>
        <w:ind w:left="1080" w:right="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aim to develop energy-efficient products that are lower power than our competitors and enable our customers to produce products with lower energy consumption.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4" w:name="page25"/>
    <w:bookmarkEnd w:id="24"/>
    <w:p>
      <w:pPr>
        <w:ind w:left="960" w:right="80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have been certified as ISO 14001-compliant for the design and manufacture of our products. We also require our third-party manufacturing vendors to maintain ISO 14001 registrations.</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partner with companies in our supply chain that have strong environmental policies and we commit to ensuring that these companies comply with global standards and maintain appropriate certifications.</w:t>
      </w:r>
    </w:p>
    <w:p>
      <w:pPr>
        <w:spacing w:after="0" w:line="67" w:lineRule="exact"/>
        <w:rPr>
          <w:rFonts w:ascii="Times New Roman" w:cs="Times New Roman" w:eastAsia="Times New Roman" w:hAnsi="Times New Roman"/>
          <w:sz w:val="18"/>
          <w:szCs w:val="18"/>
          <w:color w:val="auto"/>
        </w:rPr>
      </w:pPr>
    </w:p>
    <w:p>
      <w:pPr>
        <w:ind w:left="960" w:right="500" w:hanging="424"/>
        <w:spacing w:after="0" w:line="312" w:lineRule="auto"/>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support key initiatives to reduce the environmental impact of our products and the manufacturing processes of our supply chain, including compliance with the Restriction of Hazardous Substances Directive (“RoHS”), the European Union’s REACH Directive.</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Good Governance</w:t>
      </w:r>
    </w:p>
    <w:p>
      <w:pPr>
        <w:spacing w:after="0" w:line="119"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We strive to apply strong ethical, moral and legal principles in every aspect of our business conduct. Adherence to these principles is essential to our efforts to gain and maintain the confidence and support of our employees, our customers, partners with whom we do business, and our shareholders.</w:t>
      </w:r>
    </w:p>
    <w:p>
      <w:pPr>
        <w:spacing w:after="0" w:line="14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We comply with all laws and regulations that apply to the Company in the communities where we do business. However, this legal compliance is simply the baseline, establishing the minimum requirements for good corporate conduct. In addition to following the letter of the law, we strive to comport ourselves with integrity and transparency.</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Shareholder Engagement</w:t>
      </w:r>
    </w:p>
    <w:p>
      <w:pPr>
        <w:spacing w:after="0" w:line="11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Our Board is committed to representing the interests of all our stakeholders. We value our shareholders’ governance views and seek feedback from our shareholders on a regular basis relating to matters that are important to them. Our Chief Executive Officer, Chief Financial Officer and Vice President of Investor Relations regularly participate in investor conferences and conduct meetings and telephone calls with shareholders. We will continue to assess our board and corporate structures and policies against changing business conditions and shareholder feedback.</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418" w:right="49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DIRECTOR COMPENSATION</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believe our non-employee director compensation program provides reasonable compensation to our non-employee directors that is appropriately aligned with our peers and is commensurate with the services and contributions of our non-employee directors. Our non-employee directors receive compensation consisting of annual cash retainers for service on our Board and its standing committees, as well as equity grants awarded on an annual recurring basis as they remain a member of the Board. Non-employee directors joining the Board may also receive an equity grant in connection with their appointment to the Board. Our Compensation Committee periodically reviews compensation for our non-employee directors, including review of competitive practices provided by a third-party compensation consultant. During fiscal year 2026, the Board approved, at the recommendation of the Compensation Committee and following the Compensation Committee’s review of peer company data and consultation with our compensation consultant, a modification to the cash retainer portions of the director compensation program.</w:t>
      </w:r>
    </w:p>
    <w:p>
      <w:pPr>
        <w:spacing w:after="0" w:line="190"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Cash Retainers</w:t>
      </w:r>
      <w:r>
        <w:rPr>
          <w:rFonts w:ascii="Times New Roman" w:cs="Times New Roman" w:eastAsia="Times New Roman" w:hAnsi="Times New Roman"/>
          <w:sz w:val="18"/>
          <w:szCs w:val="18"/>
          <w:color w:val="auto"/>
        </w:rPr>
        <w:t>. Effective as of May 27, 2025, the Board approved an increase in the annual retainer paid to our non-employee directors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$45,000 to $50,000, prorated for partial service in any year and paid in cash at the end of each quarter for service during the previous quarter. The individual acting as lead independent director is paid an additional retainer of $25,000 (increased from $20,000 in fiscal year 2025) annually for serving in that role. In addition to the annual retainer for serving on the Board, non-employee directors are also paid cash retainers for committee service. During fiscal year 2026, the Board also approved certain increases in the annual retainers paid to chairpersons and members of our Audit Committee, Compensation Committee and Nominating and Corporate Governance Committee as follows: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Annual Cash Retainers Paid for Committee Service During Fiscal Year 2026 Prior to May 27, 2025</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9"/>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394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116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Member</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Chairperson</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gridSpan w:val="3"/>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Retainer</w:t>
            </w:r>
          </w:p>
        </w:tc>
        <w:tc>
          <w:tcPr>
            <w:tcW w:w="100" w:type="dxa"/>
            <w:vAlign w:val="bottom"/>
          </w:tcPr>
          <w:p>
            <w:pPr>
              <w:spacing w:after="0"/>
              <w:rPr>
                <w:sz w:val="15"/>
                <w:szCs w:val="15"/>
                <w:color w:val="auto"/>
              </w:rPr>
            </w:pPr>
          </w:p>
        </w:tc>
        <w:tc>
          <w:tcPr>
            <w:tcW w:w="7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Retainer</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Audit Committee</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10,000</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Annual Cash Retainers Paid for Committee Service During Fiscal Year 2026 On or After May 27, 2025</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9"/>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394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116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Member</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Chairperson</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gridSpan w:val="3"/>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Retainer</w:t>
            </w:r>
          </w:p>
        </w:tc>
        <w:tc>
          <w:tcPr>
            <w:tcW w:w="100" w:type="dxa"/>
            <w:vAlign w:val="bottom"/>
          </w:tcPr>
          <w:p>
            <w:pPr>
              <w:spacing w:after="0"/>
              <w:rPr>
                <w:sz w:val="15"/>
                <w:szCs w:val="15"/>
                <w:color w:val="auto"/>
              </w:rPr>
            </w:pPr>
          </w:p>
        </w:tc>
        <w:tc>
          <w:tcPr>
            <w:tcW w:w="7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Retainer</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Audit Committee</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10,000</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6"/>
              </w:rPr>
              <w:t>10,000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For fiscal year 2026, the equity award compensation structure for our non-employee directors remained the same as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in fiscal year 2017. Each continuing director received a restricted stock unit award with a grant date fair value (determined in accordance with U.S. generally accepted accounting principles) of approximately $200,000 vesting quarterly over 12 months following the vesting commencement date of September 15, 2025, subject to continued service through the applicable vesting dates. Accordingly, on September 2, 2025, each of the non-employee directors who were then serving on the Board received a restricted stock unit award covering 2,498 shares. On February 28, 2025, Ms. Breithaupt received a restricted stock unit award covering 2,442 shares in connection with her initial appointment to the Board, which award had a grant date value of $150,000, that vested in three equal, quarterly installments on March 15, 2025, June 15, 2025 and September 15, 2025, subject to continued service through the applicable vesting dates.</w:t>
      </w:r>
    </w:p>
    <w:p>
      <w:pPr>
        <w:spacing w:after="0" w:line="18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Outstanding equity awards granted to our non-employee directors are subject to the terms and conditions of our Amended and Restated 2021 Equity Incentive Plan (the “2021 Plan”) which provides a fiscal year annual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93" w:right="459" w:bottom="1440" w:gutter="0" w:footer="0" w:header="0"/>
        </w:sectPr>
      </w:pPr>
    </w:p>
    <w:bookmarkStart w:id="26" w:name="page27"/>
    <w:bookmarkEnd w:id="26"/>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limit of $500,000 on the total value of equity compensation and cash retainers that may be paid to each non-employee director, with this limit increased to $1,000,000 in the fiscal year of a new director’s initial service as a non-employee director. For these purposes, the value of an equity compensation award is determined as its grant date fair value, which is determined in accordance with U.S. generally accepted accounting principles. Any equity awards or other compensation provided to an individual for his or her services as an employee, or for his or her services as a consultant other than as a non-employee director, do not count toward these limits.</w:t>
      </w:r>
    </w:p>
    <w:p>
      <w:pPr>
        <w:spacing w:after="0" w:line="183" w:lineRule="exact"/>
        <w:rPr>
          <w:sz w:val="20"/>
          <w:szCs w:val="20"/>
          <w:color w:val="auto"/>
        </w:rPr>
      </w:pPr>
    </w:p>
    <w:p>
      <w:pPr>
        <w:ind w:left="4" w:right="180" w:firstLine="440"/>
        <w:spacing w:after="0" w:line="255" w:lineRule="auto"/>
        <w:rPr>
          <w:sz w:val="20"/>
          <w:szCs w:val="20"/>
          <w:color w:val="auto"/>
        </w:rPr>
      </w:pPr>
      <w:r>
        <w:rPr>
          <w:rFonts w:ascii="Times New Roman" w:cs="Times New Roman" w:eastAsia="Times New Roman" w:hAnsi="Times New Roman"/>
          <w:sz w:val="18"/>
          <w:szCs w:val="18"/>
          <w:color w:val="auto"/>
        </w:rPr>
        <w:t>Under the terms of the 2021 Plan, if awards, including those of our non-employee directors, are not assumed or substituted for in the event of a merger or change in control of the Company, all awards accelerate in full, and for awards with performance-based vesting, all performance goals or other vesting criteria are deemed achieved at 100% of target levels and all other terms and conditions met. The 2021 Plan also provides that if equity awards granted to non-employee directors are assumed or substituted for in a merger or change in control but, on or after such assumption or substitution, the individual’s status as a director (or director of the successor) is terminated other than by a voluntary termination not requested by the acquirer, the non-employee director’s equity awards immediately vest in full, and for awards with performance-based vesting (if any), all performance goals or other vesting criteria are deemed achieved at 100% of target levels and all other terms and conditions met.</w:t>
      </w:r>
    </w:p>
    <w:p>
      <w:pPr>
        <w:spacing w:after="0" w:line="18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Ownership Guidelines. </w:t>
      </w:r>
      <w:r>
        <w:rPr>
          <w:rFonts w:ascii="Times New Roman" w:cs="Times New Roman" w:eastAsia="Times New Roman" w:hAnsi="Times New Roman"/>
          <w:sz w:val="18"/>
          <w:szCs w:val="18"/>
          <w:color w:val="auto"/>
        </w:rPr>
        <w:t>The Board believes that all directors should maintain a meaningful personal financial stake in the Company to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long-term interests with those of our shareholders. We maintain stock ownership guidelines that apply to our named executive officers and non-employee directors. This policy requires non-employee directors to attain and maintain a minimum share ownership level equal to at least five times the annual cash retainer, i.e., $250,000, within five years of becoming a director. Additional details regarding the stock ownership guidelines, including such guidelines applicable to our named executive officers (including those who are employee directors) are set forth in the section titled “Executive Compensation – Compensation Discussion &amp; Analysis – Stock Ownership Guidelines” below. As of January 31, 2026, all of our non-employee directors and employee directors satisfied the equity ownership guidelines.</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Director Compensation for Fiscal Year 2026</w:t>
      </w:r>
    </w:p>
    <w:p>
      <w:pPr>
        <w:spacing w:after="0" w:line="121"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paid or accrued by us to our non-employee directors during fiscal year 2026. The table excludes Dr. Wang, who did not receive any additional compensation from us in his role as a director because he is also an employee of Ambarella, and Mr. Bryant, who was appointed to the Board after the completion of fiscal year 2026.</w:t>
      </w:r>
    </w:p>
    <w:p>
      <w:pPr>
        <w:spacing w:after="0" w:line="184"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260" w:type="dxa"/>
            <w:vAlign w:val="bottom"/>
            <w:gridSpan w:val="2"/>
          </w:tcPr>
          <w:p>
            <w:pPr>
              <w:jc w:val="center"/>
              <w:ind w:right="533"/>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260" w:type="dxa"/>
            <w:vAlign w:val="bottom"/>
            <w:gridSpan w:val="2"/>
          </w:tcPr>
          <w:p>
            <w:pPr>
              <w:jc w:val="center"/>
              <w:ind w:right="533"/>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900" w:type="dxa"/>
            <w:vAlign w:val="bottom"/>
            <w:vMerge w:val="restart"/>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260" w:type="dxa"/>
            <w:vAlign w:val="bottom"/>
            <w:gridSpan w:val="2"/>
          </w:tcPr>
          <w:p>
            <w:pPr>
              <w:jc w:val="center"/>
              <w:ind w:right="533"/>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900" w:type="dxa"/>
            <w:vAlign w:val="bottom"/>
            <w:vMerge w:val="continue"/>
          </w:tcPr>
          <w:p>
            <w:pPr>
              <w:spacing w:after="0"/>
              <w:rPr>
                <w:sz w:val="15"/>
                <w:szCs w:val="15"/>
                <w:color w:val="auto"/>
              </w:rPr>
            </w:pPr>
          </w:p>
        </w:tc>
        <w:tc>
          <w:tcPr>
            <w:tcW w:w="9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Cash ($)</w:t>
            </w:r>
          </w:p>
        </w:tc>
        <w:tc>
          <w:tcPr>
            <w:tcW w:w="68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($)(1)(2)</w:t>
            </w:r>
          </w:p>
        </w:tc>
        <w:tc>
          <w:tcPr>
            <w:tcW w:w="5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Chantelle Y. Breithaupt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57,083</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9"/>
              </w:rPr>
              <w:t>350,027</w:t>
            </w:r>
          </w:p>
        </w:tc>
        <w:tc>
          <w:tcPr>
            <w:tcW w:w="580" w:type="dxa"/>
            <w:vAlign w:val="bottom"/>
            <w:tcBorders>
              <w:top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w w:val="78"/>
              </w:rPr>
              <w:t>(3)</w:t>
            </w:r>
          </w:p>
        </w:tc>
        <w:tc>
          <w:tcPr>
            <w:tcW w:w="66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407,110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Hsiao-Wuen Hon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55,625</w:t>
            </w:r>
          </w:p>
        </w:tc>
        <w:tc>
          <w:tcPr>
            <w:tcW w:w="320" w:type="dxa"/>
            <w:vAlign w:val="bottom"/>
          </w:tcPr>
          <w:p>
            <w:pPr>
              <w:spacing w:after="0"/>
              <w:rPr>
                <w:sz w:val="18"/>
                <w:szCs w:val="18"/>
                <w:color w:val="auto"/>
              </w:rPr>
            </w:pPr>
          </w:p>
        </w:tc>
        <w:tc>
          <w:tcPr>
            <w:tcW w:w="12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7"/>
                <w:szCs w:val="17"/>
                <w:color w:val="auto"/>
              </w:rPr>
              <w:t>200,015</w:t>
            </w:r>
            <w:r>
              <w:rPr>
                <w:rFonts w:ascii="Times New Roman" w:cs="Times New Roman" w:eastAsia="Times New Roman" w:hAnsi="Times New Roman"/>
                <w:sz w:val="25"/>
                <w:szCs w:val="25"/>
                <w:color w:val="auto"/>
                <w:vertAlign w:val="superscript"/>
              </w:rPr>
              <w:t>(4)</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255,640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Chenming C. Hu</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200,015</w:t>
            </w:r>
            <w:r>
              <w:rPr>
                <w:rFonts w:ascii="Times New Roman" w:cs="Times New Roman" w:eastAsia="Times New Roman" w:hAnsi="Times New Roman"/>
                <w:sz w:val="25"/>
                <w:szCs w:val="25"/>
                <w:color w:val="auto"/>
                <w:vertAlign w:val="superscript"/>
              </w:rPr>
              <w:t>(5)</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270,015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B. Paisley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74,167</w:t>
            </w:r>
          </w:p>
        </w:tc>
        <w:tc>
          <w:tcPr>
            <w:tcW w:w="320" w:type="dxa"/>
            <w:vAlign w:val="bottom"/>
          </w:tcPr>
          <w:p>
            <w:pPr>
              <w:spacing w:after="0"/>
              <w:rPr>
                <w:sz w:val="18"/>
                <w:szCs w:val="18"/>
                <w:color w:val="auto"/>
              </w:rPr>
            </w:pPr>
          </w:p>
        </w:tc>
        <w:tc>
          <w:tcPr>
            <w:tcW w:w="12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7"/>
                <w:szCs w:val="17"/>
                <w:color w:val="auto"/>
              </w:rPr>
              <w:t>200,015</w:t>
            </w:r>
            <w:r>
              <w:rPr>
                <w:rFonts w:ascii="Times New Roman" w:cs="Times New Roman" w:eastAsia="Times New Roman" w:hAnsi="Times New Roman"/>
                <w:sz w:val="25"/>
                <w:szCs w:val="25"/>
                <w:color w:val="auto"/>
                <w:vertAlign w:val="superscript"/>
              </w:rPr>
              <w:t>(6)</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274,182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 Jeffrey Richardson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200,015</w:t>
            </w:r>
            <w:r>
              <w:rPr>
                <w:rFonts w:ascii="Times New Roman" w:cs="Times New Roman" w:eastAsia="Times New Roman" w:hAnsi="Times New Roman"/>
                <w:sz w:val="25"/>
                <w:szCs w:val="25"/>
                <w:color w:val="auto"/>
                <w:vertAlign w:val="superscript"/>
              </w:rPr>
              <w:t>(7)</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291,057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M. Schwarting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66,250</w:t>
            </w:r>
          </w:p>
        </w:tc>
        <w:tc>
          <w:tcPr>
            <w:tcW w:w="32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200,015</w:t>
            </w:r>
            <w:r>
              <w:rPr>
                <w:rFonts w:ascii="Times New Roman" w:cs="Times New Roman" w:eastAsia="Times New Roman" w:hAnsi="Times New Roman"/>
                <w:sz w:val="26"/>
                <w:szCs w:val="26"/>
                <w:color w:val="auto"/>
                <w:vertAlign w:val="superscript"/>
              </w:rPr>
              <w:t>(8)</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266,240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715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424" w:right="740" w:hanging="424"/>
        <w:spacing w:after="0" w:line="26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in this column represent the aggregate full grant date fair value calculated in accordance with FASB ASC Topic 718, determined based on the fair market value of our ordinary shares on the grant date.</w:t>
      </w:r>
    </w:p>
    <w:p>
      <w:pPr>
        <w:ind w:left="424" w:right="20"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 awards, each covering 2,498 ordinary shares granted on September 2, 2025 to the then serving non-employee directors. Also includes a restricted stock unit award for 2,442 ordinary shares granted to Ms. Breithaupt on February 28, 2025, in connection with her initial appointment to the Board.</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2026, Ms. Breithaupt held an outstanding restricted stock unit award covering 1,874 shares.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97" w:right="459" w:bottom="1440" w:gutter="0" w:footer="0" w:header="0"/>
        </w:sectPr>
      </w:pPr>
    </w:p>
    <w:bookmarkStart w:id="27" w:name="page28"/>
    <w:bookmarkEnd w:id="27"/>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 of January 31, 2026, Dr. Hon held an outstanding restricted stock unit award covering 1,874 shares.</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2026, Dr. Hu held an outstanding restricted stock unit award covering 1,874 shares.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2026, Mr. Paisley held an outstanding restricted stock unit award covering 1,874 shares.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2026, Mr. Richardson held an outstanding restricted stock unit award covering 1,874 shares.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2026, Ms. Schwarting held an outstanding restricted stock unit award covering 1,874 shares.</w:t>
      </w:r>
    </w:p>
    <w:p>
      <w:pPr>
        <w:spacing w:after="0" w:line="139"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23"/>
          </w:cols>
          <w:pgMar w:left="436" w:top="297" w:right="1440" w:bottom="1440" w:gutter="0" w:footer="0" w:header="0"/>
        </w:sectPr>
      </w:pPr>
    </w:p>
    <w:bookmarkStart w:id="28" w:name="page29"/>
    <w:bookmarkEnd w:id="2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2</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w:t>
      </w:r>
    </w:p>
    <w:p>
      <w:pPr>
        <w:spacing w:after="0" w:line="229"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appointed PricewaterhouseCoopers LLP as Ambarella’s independent registered public accounting firm, or independent auditors, for the fiscal year ending January 31, 2027, and has further directed that management submit the appointment of independent auditors for ratification by the shareholders at the Annual Meeting. PricewaterhouseCoopers LLP has audited Ambarella’s financial statements since fiscal year 2007. Representatives of PricewaterhouseCoopers LLP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Neither Ambarella’s Articles of Association nor other governing documents or law require shareholder ratification of the appointment of PricewaterhouseCoopers LLP as Ambarella’s independent auditors. However, the Audit Committee is submitting the appointment of PricewaterhouseCoopers LLP to shareholders for ratification as a matter of good corporate practice. If the shareholders fail to ratify the appointment, the Audit Committee will reconsider whether or not to retain that firm. Even if the appointment is ratified, the Audit Committee in its discretion may direct the appointment of different independent auditors at any time during the year if they determine that such a change would be in the best interests of Ambarella and its shareholders.</w:t>
      </w:r>
    </w:p>
    <w:p>
      <w:pPr>
        <w:spacing w:after="0" w:line="187"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and entitled to vote at the Annual Meeting will be required to ratify the appointment of PricewaterhouseCoopers LLP. Abstentions and broker non-votes, although counted toward the quorum requirement, will not be counted towards the vote total for this proposal.</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Ambarella by PricewaterhouseCoopers LLP for the fiscal years ended January 31, 2026 and 2025, respectively, all of which were approved by the Audit Committee:</w:t>
      </w:r>
    </w:p>
    <w:p>
      <w:pPr>
        <w:spacing w:after="0" w:line="18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January 31,</w:t>
      </w:r>
    </w:p>
    <w:tbl>
      <w:tblPr>
        <w:tblLayout w:type="fixed"/>
        <w:tblInd w:w="1324" w:type="dxa"/>
        <w:tblCellMar>
          <w:top w:w="0" w:type="dxa"/>
          <w:left w:w="0" w:type="dxa"/>
          <w:bottom w:w="0" w:type="dxa"/>
          <w:right w:w="0" w:type="dxa"/>
        </w:tblCellMar>
      </w:tblPr>
      <w:tr>
        <w:trPr>
          <w:trHeight w:val="117"/>
        </w:trPr>
        <w:tc>
          <w:tcPr>
            <w:tcW w:w="6100" w:type="dxa"/>
            <w:vAlign w:val="bottom"/>
          </w:tcPr>
          <w:p>
            <w:pPr>
              <w:spacing w:after="0"/>
              <w:rPr>
                <w:sz w:val="10"/>
                <w:szCs w:val="10"/>
                <w:color w:val="auto"/>
              </w:rPr>
            </w:pPr>
          </w:p>
        </w:tc>
        <w:tc>
          <w:tcPr>
            <w:tcW w:w="940" w:type="dxa"/>
            <w:vAlign w:val="bottom"/>
            <w:tcBorders>
              <w:top w:val="single" w:sz="8" w:color="auto"/>
            </w:tcBorders>
          </w:tcPr>
          <w:p>
            <w:pPr>
              <w:jc w:val="right"/>
              <w:ind w:right="236"/>
              <w:spacing w:after="0" w:line="117" w:lineRule="exact"/>
              <w:rPr>
                <w:sz w:val="20"/>
                <w:szCs w:val="20"/>
                <w:color w:val="auto"/>
              </w:rPr>
            </w:pPr>
            <w:r>
              <w:rPr>
                <w:rFonts w:ascii="Times New Roman" w:cs="Times New Roman" w:eastAsia="Times New Roman" w:hAnsi="Times New Roman"/>
                <w:sz w:val="13"/>
                <w:szCs w:val="13"/>
                <w:b w:val="1"/>
                <w:bCs w:val="1"/>
                <w:color w:val="auto"/>
              </w:rPr>
              <w:t>2026</w:t>
            </w: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36"/>
              <w:spacing w:after="0" w:line="117"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0"/>
                <w:szCs w:val="10"/>
                <w:color w:val="auto"/>
              </w:rPr>
            </w:pPr>
          </w:p>
        </w:tc>
      </w:tr>
      <w:tr>
        <w:trPr>
          <w:trHeight w:val="173"/>
        </w:trPr>
        <w:tc>
          <w:tcPr>
            <w:tcW w:w="6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1,565,000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1,679,500</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Fees(2)</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129,500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6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Fees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1,696,500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9" w:lineRule="exact"/>
        <w:rPr>
          <w:sz w:val="20"/>
          <w:szCs w:val="20"/>
          <w:color w:val="auto"/>
        </w:rPr>
      </w:pPr>
    </w:p>
    <w:p>
      <w:pPr>
        <w:ind w:left="424" w:hanging="424"/>
        <w:spacing w:after="0" w:line="256"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The aggregate fees billed for the fiscal years ended January 31, 2026 and 2025 were for professional services rendered for the audits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consolidated financial statements and our internal control over financial reporting, the review of our interim consolidated financial statements included in quarterly reports, and other matters related to the SEC. The aggregate fees billed for fiscal year 2025 also included fees for services rendered in connection with a registration statement on Form S-8.</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The aggregate fees billed for the fiscal years ended January 31, 2026 and 2025 were for tax advisory and tax compliance services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tax research and tax planning services in the United States and foreign countries in which we do business.</w:t>
      </w: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consists of fees for access to online accounting and tax research software licenses.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93"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Pre-Approval Policies and Procedures</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auditors,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auditors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8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the services described above by PricewaterhouseCoopers LLP is compatible with maintaining the principal accountant’s independence.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ask that you vote “FOR” the following resolution:</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RESOLVED that the appointment of PricewaterhouseCoopers LLP as the independent registered public accounting firm of the Company for the fiscal year ending January 31, 2027 be confirmed, ratified and approved in all respects.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Ratification of the appointment of PricewaterhouseCoopers LLP requires the affirmative vote of a majority of the shares present and voting at the Annual Meeting in person or by proxy. Abstentions and broker non-votes, although counted toward the quorum requirement, will not be counted towards the vote total for this proposal. Unless otherwise indicated, proxies received will be voted “FOR” ratification of the appointment. In the event ratification is not obtained, the Audit Committee will review its future appointment of our independent registered public accountants.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PricewaterhouseCoopers LLP as our independent registered public accounting firm.</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440" w:top="293" w:right="539" w:bottom="1440" w:gutter="0" w:footer="0" w:header="0"/>
        </w:sectPr>
      </w:pPr>
    </w:p>
    <w:bookmarkStart w:id="30" w:name="page31"/>
    <w:bookmarkEnd w:id="30"/>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REPORT OF THE AUDIT COMMITTEE</w:t>
      </w:r>
      <w:r>
        <w:rPr>
          <w:rFonts w:ascii="Times New Roman" w:cs="Times New Roman" w:eastAsia="Times New Roman" w:hAnsi="Times New Roman"/>
          <w:sz w:val="26"/>
          <w:szCs w:val="26"/>
          <w:b w:val="1"/>
          <w:bCs w:val="1"/>
          <w:color w:val="auto"/>
          <w:vertAlign w:val="superscript"/>
        </w:rPr>
        <w:t>1</w:t>
      </w:r>
    </w:p>
    <w:p>
      <w:pPr>
        <w:spacing w:after="0" w:line="13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provides assistance to the Board of Directors in fulfilling its legal and fiduciary obligations in matters involving Ambarella’s accounting, auditing, financial reporting, internal control and compliance functions by approving the services performed by Ambarella’s independent accountants and reviewing their reports regarding Ambarella’s accounting practices and systems of internal accounting controls as set forth in a written charter adopted by the Board. Ambarella’s management is responsible for preparing Ambarella’s financial statements and the independent registered public accountants are responsible for auditing those financial statements. The Audit Committee is responsible for overseeing the conduct of these activities by Ambarella’s management and the independent registered public accountants.</w:t>
      </w:r>
    </w:p>
    <w:p>
      <w:pPr>
        <w:spacing w:after="0" w:line="18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In this context, the Audit Committee has met and held discussions with management and the independent registered public accountants. Management represented to the Audit Committee that Ambarella’s consolidated financial statements were prepared in accordance with generally accepted accounting principles, and the Audit Committee has reviewed and discussed the consolidated financial statements with management and the independent registered public accountants. The Audit Committee has discussed with the independent registered public accountants matters required to be discussed by the Public Company Accounting Oversight Board and the SEC. In addition, the independent registered public accountants provided to the Audit Committee the written disclosures required by Public Company Accounting Oversight Board Rule 3526 (Communication with Audit Committees Concerning Independence) and the Audit Committee and the independent registered public accountants have discussed such accountants’ independence from Ambarella and its management. The Audit Committee has discussed with Ambarella’s internal and independent registered public accountants, with and without management present, their evaluations of Ambarella’s internal accounting controls and the overall quality of Ambarella’s financial reporting.</w:t>
      </w:r>
    </w:p>
    <w:p>
      <w:pPr>
        <w:spacing w:after="0" w:line="194" w:lineRule="exact"/>
        <w:rPr>
          <w:sz w:val="20"/>
          <w:szCs w:val="20"/>
          <w:color w:val="auto"/>
        </w:rPr>
      </w:pPr>
    </w:p>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with management and the independent registered public accountants referred to above, the Audit Committee recommended to the Board, and the Board approved, the inclusion of the audited financial statements in Ambarella’s Annual Report on Form 10-K for the fiscal year ended January 31, 2026, for filing with the SEC.</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Christopher B. Paisley (Chairman)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Chantelle Y. Breithaupt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Chenming C. Hu</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Elizabeth M. Schwarting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224" w:right="160" w:hanging="224"/>
        <w:spacing w:after="0" w:line="208" w:lineRule="auto"/>
        <w:tabs>
          <w:tab w:leader="none" w:pos="224"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material in this report does not constitute soliciting material and shall not be deemed filed or incorporated by reference into any other filing by Ambarella under the Securities Act of 1933 or the Securities Exchange Act of 1934.</w:t>
      </w:r>
    </w:p>
    <w:p>
      <w:pPr>
        <w:spacing w:after="0" w:line="13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4"/>
          </w:cols>
          <w:pgMar w:left="436" w:top="293" w:right="519" w:bottom="1440" w:gutter="0" w:footer="0" w:header="0"/>
        </w:sectPr>
      </w:pPr>
    </w:p>
    <w:bookmarkStart w:id="31" w:name="page32"/>
    <w:bookmarkEnd w:id="3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3</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ADVISORY VOTE TO APPROVE EXECUTIVE COMPENSATION</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allows our shareholders to vote to approve, on an advisory basis, the compensation of our named executive officers. At our annual meeting of shareholders held in 2021, the Company’s shareholders approved, on an advisory basis, soliciting a shareholder advisory vote on the compensation of our named executive officers on an annual basis and the Company holds such advisory votes on the compensation of our named executive officers annually. Accordingly, this year we again are asking our shareholders to provide an advisory vote to approve the compensation of our named executive officers, including as disclosed in the Compensation Discussion and Analysis section, along with the accompanying compensation tables and narrative disclosures as described in this Proxy Statement. This proposal, commonly known as a “say-on-pay” proposal, gives our shareholders the opportunity to express their views on the compensation of our named executive officers.</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“say-on-pay” vote is advisory, and as such is not binding on the Company, but it does provide the Compensation Committee with valuable information about shareholder opinion of our executive compensation policies and programs for consideration when determining executive compensation in the future. After the “say on pay” vote at this year’s annual meeting of shareholders, we anticipate that the next “say-on-pay” vote will be scheduled to occur at the Company’s annual meeting of shareholders in 2027.</w:t>
      </w:r>
    </w:p>
    <w:p>
      <w:pPr>
        <w:spacing w:after="0" w:line="180"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Please see the Compensation Discussion and Analysis section of this Proxy Statement beginning on page 30, the accompanying compensation tables and the narrative disclosures for greater detail about our executive compensation programs, including information about the fiscal year 2026 compensation of our named executive officers. We believe that our executive compensation programs have been effective in achieving long-term alignment of management and shareholder interests, consistent with the Company’s philosophy on pay and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ask that you vote “FOR” the following resolution:</w:t>
      </w:r>
    </w:p>
    <w:p>
      <w:pPr>
        <w:spacing w:after="0" w:line="117" w:lineRule="exact"/>
        <w:rPr>
          <w:sz w:val="20"/>
          <w:szCs w:val="20"/>
          <w:color w:val="auto"/>
        </w:rPr>
      </w:pPr>
    </w:p>
    <w:p>
      <w:pPr>
        <w:ind w:left="440" w:right="100"/>
        <w:spacing w:after="0" w:line="261" w:lineRule="auto"/>
        <w:rPr>
          <w:sz w:val="20"/>
          <w:szCs w:val="20"/>
          <w:color w:val="auto"/>
        </w:rPr>
      </w:pPr>
      <w:r>
        <w:rPr>
          <w:rFonts w:ascii="Times New Roman" w:cs="Times New Roman" w:eastAsia="Times New Roman" w:hAnsi="Times New Roman"/>
          <w:sz w:val="18"/>
          <w:szCs w:val="18"/>
          <w:color w:val="auto"/>
        </w:rPr>
        <w:t>RESOLVED: on an advisory basis, that the compensation of the named executive officers, as disclosed in the Proxy Statement furnished for the 2026 Annual Meeting of Shareholders pursuant to the compensation disclosure rules and regulations of the U.S. Securities and Exchange Commission, including the Compensation Discussion and Analysis, compensation tables and the narrative discussion be confirmed, ratified and approved in all respects.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Approval, on an advisory basis, of named executive officer compensation requires the affirmative vote of a majority of the shares present and voting at the Annual Meeting in person or by proxy. Abstentions and broker non-votes, although counted toward the quorum requirement, will not be counted towards the vote total for this proposal. Unless otherwise indicated, proxies received will be voted “FOR” approval, on an advisory basis, of named executive officer compensation.</w:t>
      </w:r>
    </w:p>
    <w:p>
      <w:pPr>
        <w:spacing w:after="0" w:line="2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on an advisory basis, of the compensation of our named executive officers as disclosed in this Proxy Statement.</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00"/>
          </w:cols>
          <w:pgMar w:left="440" w:top="293" w:right="5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OFFICERS</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our current executive officers and their respective ages as of March 31, 2026. There are no family relationships among any of our directors or executive officers.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
        </w:trPr>
        <w:tc>
          <w:tcPr>
            <w:tcW w:w="36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10"/>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Feng-Ming (Fermi) Wang, Ph.D.</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6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Chairman of the Board of Directors, President and Chief Executive Officer</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 Young</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6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 W. Lee</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6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Chi-Hong (John) Ju</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6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Sr. Vice President, Systems</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Yun-Lung (Michael) Chen</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6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Vice President, Business Development</w:t>
            </w: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Feng-Ming (Fermi) Wang</w:t>
      </w:r>
      <w:r>
        <w:rPr>
          <w:rFonts w:ascii="Times New Roman" w:cs="Times New Roman" w:eastAsia="Times New Roman" w:hAnsi="Times New Roman"/>
          <w:sz w:val="18"/>
          <w:szCs w:val="18"/>
          <w:color w:val="auto"/>
        </w:rPr>
        <w:t>. For a brief biography of Dr. Wang, please see “Proposal 1 – Election of Class II Directors” above.</w:t>
      </w:r>
    </w:p>
    <w:p>
      <w:pPr>
        <w:spacing w:after="0" w:line="225"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A. Young </w:t>
      </w:r>
      <w:r>
        <w:rPr>
          <w:rFonts w:ascii="Times New Roman" w:cs="Times New Roman" w:eastAsia="Times New Roman" w:hAnsi="Times New Roman"/>
          <w:sz w:val="18"/>
          <w:szCs w:val="18"/>
          <w:color w:val="auto"/>
        </w:rPr>
        <w:t>has served as our Chief Financial Officer since February 2024. Mr. Young served as our Vice President, Finance from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to January 2024 and as Corporate Controller from March 2017 to December 2019. Prior to joining Ambarella, Mr. Young served in a variety of finance related roles at Mellanox Technologies, a supplier of computer networking products, from 2009 to 2016, including most recently as Corporate Controller. Mr. Young holds a B.A. degree from Brigham Young University and an M.S. in accountancy from San Jose State University.</w:t>
      </w:r>
    </w:p>
    <w:p>
      <w:pPr>
        <w:spacing w:after="0" w:line="176" w:lineRule="exact"/>
        <w:rPr>
          <w:sz w:val="20"/>
          <w:szCs w:val="20"/>
          <w:color w:val="auto"/>
        </w:rPr>
      </w:pPr>
    </w:p>
    <w:p>
      <w:pPr>
        <w:ind w:right="3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 W. Lee </w:t>
      </w:r>
      <w:r>
        <w:rPr>
          <w:rFonts w:ascii="Times New Roman" w:cs="Times New Roman" w:eastAsia="Times New Roman" w:hAnsi="Times New Roman"/>
          <w:sz w:val="18"/>
          <w:szCs w:val="18"/>
          <w:color w:val="auto"/>
        </w:rPr>
        <w:t>was a member of the Company’s founding team and has served as Chief Operating Officer since September 2021. Before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appointment as Chief Operating Officer, Mr. Lee served as Vice President, VLSI since February 2004. Prior to joining the Company, Mr. Lee held management-level positions at Afara Websystems, Inc., a developer of throughput-oriented microprocessor technology that was acquired by Sun Microsystems in 2002, and Intel Corporation, a semiconductor company. Mr. Lee holds B.S. and M.S. degrees in electrical engineering from Cornell University.</w:t>
      </w:r>
    </w:p>
    <w:p>
      <w:pPr>
        <w:spacing w:after="0" w:line="179"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Chi-Hong (John) Ju </w:t>
      </w:r>
      <w:r>
        <w:rPr>
          <w:rFonts w:ascii="Times New Roman" w:cs="Times New Roman" w:eastAsia="Times New Roman" w:hAnsi="Times New Roman"/>
          <w:sz w:val="18"/>
          <w:szCs w:val="18"/>
          <w:color w:val="auto"/>
        </w:rPr>
        <w:t>was a member of the Company’s founding team, and has served as Sr. Vice President, Systems since September 2021.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that, Mr. Ju served as Vice President, Software since February 2004. Before joining the Company, Mr. Ju held management-level positions at Afara Websystems, C-Cube Microsystems, Inc., a developer of digital video processors, and Sarnoff Research Lab, a pioneer of video technology. Mr. Ju holds a B.S. degree in electrical engineering from National Taiwan University and a M.S. degree in electrical and computer engineering from Princeton University.</w:t>
      </w:r>
    </w:p>
    <w:p>
      <w:pPr>
        <w:spacing w:after="0" w:line="179"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Yun-Lung (Michael) Chen </w:t>
      </w:r>
      <w:r>
        <w:rPr>
          <w:rFonts w:ascii="Times New Roman" w:cs="Times New Roman" w:eastAsia="Times New Roman" w:hAnsi="Times New Roman"/>
          <w:sz w:val="18"/>
          <w:szCs w:val="18"/>
          <w:color w:val="auto"/>
        </w:rPr>
        <w:t>has served as our Vice President, Business Development since June 2011, and was Sr. Director of Sales from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2005 to June 2011. Prior to joining Ambarella, Mr. Chen was Director of Sales for Marvell Technology, a semiconductor company, from December 2002 to October 2003. From October 1997 to October 2002, Mr. Chen served as Director of Sales for Wintech Microelectronics, a distributor of electronics. Mr. Chen holds a B.S. degree in industrial engineering from Tung Hai University in Taiwan.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93" w:right="4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t>This Compensation Discussion and Analysis describes the compensation programs and policies, as well as the compensation decisions made under those programs, for our named executive officers (“NEOs”) for fiscal year 2026, ended January 31, 2026. Our NEOs for fiscal year 2026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-Ming (Fermi) Wang, Ph.D.</w:t>
            </w:r>
          </w:p>
        </w:tc>
        <w:tc>
          <w:tcPr>
            <w:tcW w:w="4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4"/>
              </w:rPr>
              <w:t>Feng</w:t>
            </w:r>
          </w:p>
        </w:tc>
        <w:tc>
          <w:tcPr>
            <w:tcW w:w="3740" w:type="dxa"/>
            <w:vAlign w:val="bottom"/>
            <w:vMerge w:val="continue"/>
          </w:tcPr>
          <w:p>
            <w:pPr>
              <w:spacing w:after="0"/>
              <w:rPr>
                <w:sz w:val="16"/>
                <w:szCs w:val="16"/>
                <w:color w:val="auto"/>
              </w:rPr>
            </w:pPr>
          </w:p>
        </w:tc>
        <w:tc>
          <w:tcPr>
            <w:tcW w:w="6740" w:type="dxa"/>
            <w:vAlign w:val="bottom"/>
            <w:gridSpan w:val="3"/>
          </w:tcPr>
          <w:p>
            <w:pPr>
              <w:ind w:left="1740"/>
              <w:spacing w:after="0" w:line="191" w:lineRule="exact"/>
              <w:rPr>
                <w:sz w:val="20"/>
                <w:szCs w:val="20"/>
                <w:color w:val="auto"/>
              </w:rPr>
            </w:pPr>
            <w:r>
              <w:rPr>
                <w:rFonts w:ascii="Times New Roman" w:cs="Times New Roman" w:eastAsia="Times New Roman" w:hAnsi="Times New Roman"/>
                <w:sz w:val="18"/>
                <w:szCs w:val="18"/>
                <w:color w:val="auto"/>
              </w:rPr>
              <w:t>Chairman of the Board of Directors, President and Chief Executive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7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 Young</w:t>
            </w:r>
          </w:p>
        </w:tc>
        <w:tc>
          <w:tcPr>
            <w:tcW w:w="67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w:t>
            </w:r>
          </w:p>
        </w:tc>
        <w:tc>
          <w:tcPr>
            <w:tcW w:w="67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w w:val="99"/>
              </w:rPr>
              <w:t>Chief Technology Advisor and Former Chief Technology Officer and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7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67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Chi-Hong (John) Ju</w:t>
            </w:r>
          </w:p>
        </w:tc>
        <w:tc>
          <w:tcPr>
            <w:tcW w:w="67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Sr. Vice President, Systems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Mr. Kohn resigned his roles as an executive officer and director of the Company in November 2025 but continues to serve as Chief Technology Advisor of the Company.</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Compensation Discussion and Analysis should be read in connection with the compensation tables below, which provide a detailed view of the compensation paid to our NEOs in fiscal year 2026.</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to attract, retain and reward leaders who are critical to managing our business, executing our strategy, achieving our growth objectives, and fostering the high-performing workforce needed to support our long-term success. Our industry is characterized by high demand and intense competition for talent, including management talent, and we frequently compete for talent with companies much larger than us. In this environment, we provide a total compensation package that we believe is competitive, performance-oriented and aligned with shareholder interests, and that is intended to achieve the following:</w:t>
      </w:r>
    </w:p>
    <w:p>
      <w:pPr>
        <w:spacing w:after="0" w:line="89" w:lineRule="exact"/>
        <w:rPr>
          <w:sz w:val="20"/>
          <w:szCs w:val="20"/>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high-performing leaders whose skills, judgment and execution are critical to our success;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 a meaningful portion of total compensation to achievement of annual corporate objectives and individual performance;</w:t>
      </w:r>
    </w:p>
    <w:p>
      <w:pPr>
        <w:spacing w:after="0" w:line="130"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long-term incentives to increase shareholder value and deliver revenue growth, with a significant portion of compensation in the form of performance-based restricted stock units (“PRSUs”) tied to relative total shareholder return and revenue growth over a three-year period;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total compensation that is fair, reasonable and competitive.</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Fiscal Year 2026 Business Highlights</w:t>
      </w:r>
    </w:p>
    <w:p>
      <w:pPr>
        <w:spacing w:after="0" w:line="11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Ambarella is a leading developer of low-power system-on-a-chip (SoC) semiconductors and software for edge and physical artificial intelligence (AI) applications and intelligent automation. Until 2023, a majority of our revenue originated from human-viewing only applications with video and image processors for enterprise, public infrastructure and home applications, such as security cameras, sports and wearable cameras, aerial drones, and automotive video recorders. Our recent development efforts have focused on creating advanced AI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93" w:right="459" w:bottom="1440" w:gutter="0" w:footer="0" w:header="0"/>
        </w:sectPr>
      </w:pPr>
    </w:p>
    <w:bookmarkStart w:id="34" w:name="page35"/>
    <w:bookmarkEnd w:id="3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inference technology that enables edge devices to perceive, reason about, and interact with the physical world based on the data collected from cameras and other types of sensors. This edge AI market, where devices must make autonomous decisions by acting as intelligent agents at the edge, is nascent but growing quickly. Our products today target a wide variety of human viewing and edge AI applications, including a variety of video security cameras, automotive camera systems, fixed robots, autonomous mobile robots, industrial applications, intelligent transportation systems, and consumer devices. We have established a strong position in the edge AI market, having shipped 45 million edge AI SoCs and built a product portfolio supporting more than 200 different AI model architectures, but keeping this momentum will require continued access to top talent.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achieved several notable milestones during fiscal year 2026 in our ongoing expansion into the edge AI market, including:</w:t>
      </w:r>
    </w:p>
    <w:p>
      <w:pPr>
        <w:spacing w:after="0" w:line="131" w:lineRule="exact"/>
        <w:rPr>
          <w:sz w:val="20"/>
          <w:szCs w:val="20"/>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record annual revenue of $390.7 million, an increase of 37% over the prior 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increase the percentage of our total revenue from our AI inference SoCs;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our history of net cash flow from operations while maintaining zero debt;</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Taping out our first 4 nanometer and 2 nanometer SoC designs, to provide expanded AI processing for a wide range of edge AI perception applications with lower power consumption than our current products;</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penetration of our edge AI SoCs into advanced security cameras, automotive fleet telematics, automotive in cabin systems, access control, and AI-enabled portable consumer electronics; and</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our new Ambarella Developer Zone, designed to support Ambarella’s ecosystem of partners to learn, build and deploy edge AI applications using Ambarella technology on a variety of edge systems.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Fiscal Year 2026 Executive Compensation Highlights</w:t>
      </w:r>
    </w:p>
    <w:p>
      <w:pPr>
        <w:spacing w:after="0" w:line="11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We believe our compensation programs support disciplined pay-for-performance outcomes and have been effective in attracting, retaining, and motivating our employees and executives. Key fiscal year 2026 compensation highlights include:</w:t>
      </w:r>
    </w:p>
    <w:p>
      <w:pPr>
        <w:spacing w:after="0" w:line="63" w:lineRule="exact"/>
        <w:rPr>
          <w:sz w:val="20"/>
          <w:szCs w:val="20"/>
          <w:color w:val="auto"/>
        </w:rPr>
      </w:pPr>
    </w:p>
    <w:p>
      <w:pPr>
        <w:ind w:left="960" w:right="180" w:hanging="424"/>
        <w:spacing w:after="0" w:line="26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Salaries: </w:t>
      </w:r>
      <w:r>
        <w:rPr>
          <w:rFonts w:ascii="Times New Roman" w:cs="Times New Roman" w:eastAsia="Times New Roman" w:hAnsi="Times New Roman"/>
          <w:sz w:val="18"/>
          <w:szCs w:val="18"/>
          <w:color w:val="auto"/>
        </w:rPr>
        <w:t>In February 2024, in light of a challenging business environment, the Compensation Committee reduced the base salaries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chief executive officer (“CEO”) and other NEOs for fiscal year 2025. Following a recovery in fiscal year 2025 and better outlook for fiscal year 2026, the Compensation Committee reinstated the prior base salaries of our CEO and other NEOs and provided market-based increases of 2.5% and 3.5%, respectively.</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Bonus Awards: </w:t>
      </w:r>
      <w:r>
        <w:rPr>
          <w:rFonts w:ascii="Times New Roman" w:cs="Times New Roman" w:eastAsia="Times New Roman" w:hAnsi="Times New Roman"/>
          <w:sz w:val="18"/>
          <w:szCs w:val="18"/>
          <w:color w:val="auto"/>
        </w:rPr>
        <w:t>The Company made individual awards under our fiscal year 2026 annual bonus plan to NEOs that were 136%</w:t>
      </w:r>
    </w:p>
    <w:p>
      <w:pPr>
        <w:spacing w:after="0" w:line="31" w:lineRule="exact"/>
        <w:rPr>
          <w:rFonts w:ascii="Times New Roman" w:cs="Times New Roman" w:eastAsia="Times New Roman" w:hAnsi="Times New Roman"/>
          <w:sz w:val="18"/>
          <w:szCs w:val="18"/>
          <w:color w:val="auto"/>
        </w:rPr>
      </w:pPr>
    </w:p>
    <w:p>
      <w:pPr>
        <w:ind w:left="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 of target, reflecting the Company’s financial performance, achievement of annual corporate goals established at the beginning of the year, and individual contributions.</w:t>
      </w:r>
    </w:p>
    <w:p>
      <w:pPr>
        <w:spacing w:after="0" w:line="82"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Incentive Compensation Awards:</w:t>
      </w:r>
    </w:p>
    <w:p>
      <w:pPr>
        <w:spacing w:after="0" w:line="134" w:lineRule="exact"/>
        <w:rPr>
          <w:rFonts w:ascii="Times New Roman" w:cs="Times New Roman" w:eastAsia="Times New Roman" w:hAnsi="Times New Roman"/>
          <w:sz w:val="18"/>
          <w:szCs w:val="18"/>
          <w:b w:val="1"/>
          <w:bCs w:val="1"/>
          <w:color w:val="auto"/>
        </w:rPr>
      </w:pPr>
    </w:p>
    <w:p>
      <w:pPr>
        <w:ind w:left="1420" w:right="140" w:hanging="331"/>
        <w:spacing w:after="0" w:line="266" w:lineRule="auto"/>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restricted stock unit (“RSU”) and PRSU awards to our CEO and other NEOs based on a 50/50 split between RSUs and PRSUs. Approximately 84% of our CEO’s, and, on average, 80% of our other NEOs’, target total direct compensation (salary, bonus opportunity and long-term equity awards) consisted of RSUs and PRSUs.</w:t>
      </w:r>
    </w:p>
    <w:p>
      <w:pPr>
        <w:spacing w:after="0" w:line="81" w:lineRule="exact"/>
        <w:rPr>
          <w:rFonts w:ascii="Times New Roman" w:cs="Times New Roman" w:eastAsia="Times New Roman" w:hAnsi="Times New Roman"/>
          <w:sz w:val="18"/>
          <w:szCs w:val="18"/>
          <w:color w:val="auto"/>
        </w:rPr>
      </w:pPr>
    </w:p>
    <w:p>
      <w:pPr>
        <w:ind w:left="1420" w:right="360" w:hanging="331"/>
        <w:spacing w:after="0" w:line="282" w:lineRule="auto"/>
        <w:tabs>
          <w:tab w:leader="none" w:pos="1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prior fiscal year, fiscal year 2026 PRSUs are subject to a three-year relative total shareholder return (“TSR”) performance metric measured against an index of the semiconductor companies included in the Russell 2000 Index.</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97" w:right="459" w:bottom="1440" w:gutter="0" w:footer="0" w:header="0"/>
        </w:sectPr>
      </w:pPr>
    </w:p>
    <w:bookmarkStart w:id="35" w:name="page36"/>
    <w:bookmarkEnd w:id="35"/>
    <w:p>
      <w:pPr>
        <w:ind w:left="1420" w:right="20" w:hanging="331"/>
        <w:spacing w:after="0" w:line="282"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To emphasize revenue growth, and consistent with the prior fiscal year, PRSUs awarded in fiscal year 2026 also include a three-year cumulative revenue average growth rate performance (Revenue CAGR) metric.</w:t>
      </w:r>
    </w:p>
    <w:p>
      <w:pPr>
        <w:spacing w:after="0" w:line="67" w:lineRule="exact"/>
        <w:rPr>
          <w:rFonts w:ascii="Times New Roman" w:cs="Times New Roman" w:eastAsia="Times New Roman" w:hAnsi="Times New Roman"/>
          <w:sz w:val="18"/>
          <w:szCs w:val="18"/>
          <w:color w:val="auto"/>
        </w:rPr>
      </w:pPr>
    </w:p>
    <w:p>
      <w:pPr>
        <w:ind w:left="1420" w:right="260" w:hanging="331"/>
        <w:spacing w:after="0" w:line="213"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certified the Company’s TSR performance for PRSUs granted in 2023 at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peer group, resulting in a 100% payout of these PRSU awards.</w:t>
      </w:r>
    </w:p>
    <w:p>
      <w:pPr>
        <w:spacing w:after="0" w:line="3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Aligning Pay for Performance</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cornerstone of our executive compensation program is pay for performance. While we provide competitive base salaries and benefits, a significant portion of our NEOs’ compensation opportunity is variable and tied to performance through annual cash incentives and long-term equity awards. As our business continues to transition from legacy consumer camera markets to edge AI applications, our compensation programs are intended to motivate our employees and executives to execute strategic initiatives that we believe will make us successful and to align management with shareholders by incentivizing sustainable, long-term growth.</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To that end, a majority of our NEOs’ fiscal year 2026 target total direct compensation was variable and long-term oriented, with a substantial portion explicitly performance based. The composition of the total annual compensation of our CEO and other NEOs for fiscal year 2026, as reported in the Summary Compensation Table further below, was as follows:</w:t>
      </w:r>
    </w:p>
    <w:p>
      <w:pPr>
        <w:spacing w:after="0" w:line="199" w:lineRule="exact"/>
        <w:rPr>
          <w:sz w:val="20"/>
          <w:szCs w:val="20"/>
          <w:color w:val="auto"/>
        </w:rPr>
      </w:pPr>
    </w:p>
    <w:p>
      <w:pPr>
        <w:ind w:left="1720"/>
        <w:spacing w:after="0"/>
        <w:tabs>
          <w:tab w:leader="none" w:pos="7060" w:val="left"/>
        </w:tabs>
        <w:rPr>
          <w:sz w:val="20"/>
          <w:szCs w:val="20"/>
          <w:color w:val="auto"/>
        </w:rPr>
      </w:pPr>
      <w:r>
        <w:rPr>
          <w:rFonts w:ascii="Times New Roman" w:cs="Times New Roman" w:eastAsia="Times New Roman" w:hAnsi="Times New Roman"/>
          <w:sz w:val="18"/>
          <w:szCs w:val="18"/>
          <w:b w:val="1"/>
          <w:bCs w:val="1"/>
          <w:color w:val="auto"/>
        </w:rPr>
        <w:t>CEO FY2026 Compensation</w:t>
      </w:r>
      <w:r>
        <w:rPr>
          <w:sz w:val="20"/>
          <w:szCs w:val="20"/>
          <w:color w:val="auto"/>
        </w:rPr>
        <w:tab/>
      </w:r>
      <w:r>
        <w:rPr>
          <w:rFonts w:ascii="Times New Roman" w:cs="Times New Roman" w:eastAsia="Times New Roman" w:hAnsi="Times New Roman"/>
          <w:sz w:val="18"/>
          <w:szCs w:val="18"/>
          <w:b w:val="1"/>
          <w:bCs w:val="1"/>
          <w:color w:val="auto"/>
        </w:rPr>
        <w:t>Other NEO FY2026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173990</wp:posOffset>
            </wp:positionV>
            <wp:extent cx="6163310" cy="1440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6331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97" w:right="49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 Best Practices</w:t>
      </w:r>
    </w:p>
    <w:p>
      <w:pPr>
        <w:spacing w:after="0" w:line="24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u w:val="single" w:color="auto"/>
          <w:color w:val="auto"/>
        </w:rPr>
        <w:t>What we do:</w:t>
      </w:r>
    </w:p>
    <w:p>
      <w:pPr>
        <w:spacing w:after="0" w:line="21" w:lineRule="exact"/>
        <w:rPr>
          <w:sz w:val="20"/>
          <w:szCs w:val="20"/>
          <w:color w:val="auto"/>
        </w:rPr>
      </w:pPr>
    </w:p>
    <w:p>
      <w:pPr>
        <w:ind w:left="740" w:right="131" w:hanging="294"/>
        <w:spacing w:after="0" w:line="255" w:lineRule="auto"/>
        <w:tabs>
          <w:tab w:leader="none" w:pos="74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Link pay and performance by establishing corporate performance objectives under our fiscal year 2026 plan and granting a substantial portion of pay in the form of equity awards, including performance-based awards</w:t>
      </w:r>
    </w:p>
    <w:p>
      <w:pPr>
        <w:spacing w:after="0" w:line="92" w:lineRule="exact"/>
        <w:rPr>
          <w:rFonts w:ascii="MS PGothic" w:cs="MS PGothic" w:eastAsia="MS PGothic" w:hAnsi="MS PGothic"/>
          <w:sz w:val="18"/>
          <w:szCs w:val="18"/>
          <w:color w:val="auto"/>
        </w:rPr>
      </w:pPr>
    </w:p>
    <w:p>
      <w:pPr>
        <w:ind w:left="740" w:hanging="294"/>
        <w:spacing w:after="0"/>
        <w:tabs>
          <w:tab w:leader="none" w:pos="74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Have robust stock ownership guidelines for our NEOs</w:t>
      </w:r>
    </w:p>
    <w:p>
      <w:pPr>
        <w:spacing w:after="0" w:line="130" w:lineRule="exact"/>
        <w:rPr>
          <w:rFonts w:ascii="MS PGothic" w:cs="MS PGothic" w:eastAsia="MS PGothic" w:hAnsi="MS PGothic"/>
          <w:sz w:val="18"/>
          <w:szCs w:val="18"/>
          <w:color w:val="auto"/>
        </w:rPr>
      </w:pPr>
    </w:p>
    <w:p>
      <w:pPr>
        <w:ind w:left="740" w:right="31" w:hanging="294"/>
        <w:spacing w:after="0" w:line="282" w:lineRule="auto"/>
        <w:tabs>
          <w:tab w:leader="none" w:pos="74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Have a clawback policy for performance-based compensation paid to our NEOs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1569"/>
        <w:spacing w:after="0"/>
        <w:rPr>
          <w:sz w:val="20"/>
          <w:szCs w:val="20"/>
          <w:color w:val="auto"/>
        </w:rPr>
      </w:pPr>
      <w:r>
        <w:rPr>
          <w:rFonts w:ascii="Times New Roman" w:cs="Times New Roman" w:eastAsia="Times New Roman" w:hAnsi="Times New Roman"/>
          <w:sz w:val="14"/>
          <w:szCs w:val="14"/>
          <w:b w:val="1"/>
          <w:bCs w:val="1"/>
          <w:u w:val="single" w:color="auto"/>
          <w:color w:val="auto"/>
        </w:rPr>
        <w:t>What we don’t do:</w:t>
      </w:r>
    </w:p>
    <w:p>
      <w:pPr>
        <w:spacing w:after="0" w:line="21" w:lineRule="exact"/>
        <w:rPr>
          <w:sz w:val="20"/>
          <w:szCs w:val="20"/>
          <w:color w:val="auto"/>
        </w:rPr>
      </w:pPr>
    </w:p>
    <w:p>
      <w:pPr>
        <w:ind w:left="329" w:hanging="329"/>
        <w:spacing w:after="0" w:line="266" w:lineRule="auto"/>
        <w:tabs>
          <w:tab w:leader="none" w:pos="329" w:val="left"/>
        </w:tabs>
        <w:numPr>
          <w:ilvl w:val="0"/>
          <w:numId w:val="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employment agreements with NEOs other than standard change in control severance agreements</w:t>
      </w:r>
    </w:p>
    <w:p>
      <w:pPr>
        <w:spacing w:after="0" w:line="81" w:lineRule="exact"/>
        <w:rPr>
          <w:rFonts w:ascii="MS PGothic" w:cs="MS PGothic" w:eastAsia="MS PGothic" w:hAnsi="MS PGothic"/>
          <w:sz w:val="18"/>
          <w:szCs w:val="18"/>
          <w:color w:val="auto"/>
        </w:rPr>
      </w:pPr>
    </w:p>
    <w:p>
      <w:pPr>
        <w:ind w:left="329" w:right="180" w:hanging="329"/>
        <w:spacing w:after="0" w:line="282" w:lineRule="auto"/>
        <w:tabs>
          <w:tab w:leader="none" w:pos="329" w:val="left"/>
        </w:tabs>
        <w:numPr>
          <w:ilvl w:val="0"/>
          <w:numId w:val="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hedging or pledging of company stock by directors or NEOs</w:t>
      </w:r>
    </w:p>
    <w:p>
      <w:pPr>
        <w:spacing w:after="0" w:line="67" w:lineRule="exact"/>
        <w:rPr>
          <w:rFonts w:ascii="MS PGothic" w:cs="MS PGothic" w:eastAsia="MS PGothic" w:hAnsi="MS PGothic"/>
          <w:sz w:val="18"/>
          <w:szCs w:val="18"/>
          <w:color w:val="auto"/>
        </w:rPr>
      </w:pPr>
    </w:p>
    <w:p>
      <w:pPr>
        <w:ind w:left="329" w:hanging="329"/>
        <w:spacing w:after="0"/>
        <w:tabs>
          <w:tab w:leader="none" w:pos="329" w:val="left"/>
        </w:tabs>
        <w:numPr>
          <w:ilvl w:val="0"/>
          <w:numId w:val="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excessive perquisites to NEOs</w:t>
      </w:r>
    </w:p>
    <w:p>
      <w:pPr>
        <w:spacing w:after="0" w:line="130" w:lineRule="exact"/>
        <w:rPr>
          <w:rFonts w:ascii="MS PGothic" w:cs="MS PGothic" w:eastAsia="MS PGothic" w:hAnsi="MS PGothic"/>
          <w:sz w:val="18"/>
          <w:szCs w:val="18"/>
          <w:color w:val="auto"/>
        </w:rPr>
      </w:pPr>
    </w:p>
    <w:p>
      <w:pPr>
        <w:ind w:left="329" w:right="260" w:hanging="329"/>
        <w:spacing w:after="0" w:line="258" w:lineRule="auto"/>
        <w:tabs>
          <w:tab w:leader="none" w:pos="329" w:val="left"/>
        </w:tabs>
        <w:numPr>
          <w:ilvl w:val="0"/>
          <w:numId w:val="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“tax gross-ups”, except in case of legacy agreements with two company founders</w:t>
      </w:r>
    </w:p>
    <w:p>
      <w:pPr>
        <w:spacing w:after="0" w:line="1" w:lineRule="exact"/>
        <w:rPr>
          <w:sz w:val="20"/>
          <w:szCs w:val="20"/>
          <w:color w:val="auto"/>
        </w:rPr>
      </w:pPr>
    </w:p>
    <w:p>
      <w:pPr>
        <w:sectPr>
          <w:pgSz w:w="11900" w:h="16838" w:orient="portrait"/>
          <w:cols w:equalWidth="0" w:num="2">
            <w:col w:w="5571" w:space="720"/>
            <w:col w:w="4629"/>
          </w:cols>
          <w:pgMar w:left="440" w:top="295" w:right="539" w:bottom="1440" w:gutter="0" w:footer="0" w:header="0"/>
        </w:sectPr>
      </w:pPr>
    </w:p>
    <w:p>
      <w:pPr>
        <w:ind w:left="740" w:right="5760" w:hanging="294"/>
        <w:spacing w:after="0" w:line="266" w:lineRule="auto"/>
        <w:tabs>
          <w:tab w:leader="none" w:pos="740" w:val="left"/>
        </w:tabs>
        <w:numPr>
          <w:ilvl w:val="0"/>
          <w:numId w:val="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Have double-trigger change in control provisions in our NEO severance agreements</w:t>
      </w:r>
    </w:p>
    <w:p>
      <w:pPr>
        <w:spacing w:after="0" w:line="81" w:lineRule="exact"/>
        <w:rPr>
          <w:rFonts w:ascii="MS PGothic" w:cs="MS PGothic" w:eastAsia="MS PGothic" w:hAnsi="MS PGothic"/>
          <w:sz w:val="18"/>
          <w:szCs w:val="18"/>
          <w:color w:val="auto"/>
        </w:rPr>
      </w:pPr>
    </w:p>
    <w:p>
      <w:pPr>
        <w:ind w:left="740" w:right="5460" w:hanging="294"/>
        <w:spacing w:after="0" w:line="282" w:lineRule="auto"/>
        <w:tabs>
          <w:tab w:leader="none" w:pos="740" w:val="left"/>
        </w:tabs>
        <w:numPr>
          <w:ilvl w:val="0"/>
          <w:numId w:val="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Have an independent compensation consultant that is engaged by, and assists, our Compensation Committee</w:t>
      </w:r>
    </w:p>
    <w:p>
      <w:pPr>
        <w:spacing w:after="0" w:line="67" w:lineRule="exact"/>
        <w:rPr>
          <w:rFonts w:ascii="MS PGothic" w:cs="MS PGothic" w:eastAsia="MS PGothic" w:hAnsi="MS PGothic"/>
          <w:sz w:val="18"/>
          <w:szCs w:val="18"/>
          <w:color w:val="auto"/>
        </w:rPr>
      </w:pPr>
    </w:p>
    <w:p>
      <w:pPr>
        <w:ind w:left="740" w:hanging="294"/>
        <w:spacing w:after="0"/>
        <w:tabs>
          <w:tab w:leader="none" w:pos="740" w:val="left"/>
        </w:tabs>
        <w:numPr>
          <w:ilvl w:val="0"/>
          <w:numId w:val="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Conduct annual “say-on-pay” advisory votes</w:t>
      </w:r>
    </w:p>
    <w:p>
      <w:pPr>
        <w:spacing w:after="0" w:line="130" w:lineRule="exact"/>
        <w:rPr>
          <w:rFonts w:ascii="MS PGothic" w:cs="MS PGothic" w:eastAsia="MS PGothic" w:hAnsi="MS PGothic"/>
          <w:sz w:val="18"/>
          <w:szCs w:val="18"/>
          <w:color w:val="auto"/>
        </w:rPr>
      </w:pPr>
    </w:p>
    <w:p>
      <w:pPr>
        <w:ind w:left="740" w:right="5520" w:hanging="294"/>
        <w:spacing w:after="0" w:line="282" w:lineRule="auto"/>
        <w:tabs>
          <w:tab w:leader="none" w:pos="740" w:val="left"/>
        </w:tabs>
        <w:numPr>
          <w:ilvl w:val="0"/>
          <w:numId w:val="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Engage in discussions with shareholders regarding our executive compensation programs</w:t>
      </w:r>
    </w:p>
    <w:p>
      <w:pPr>
        <w:spacing w:after="0" w:line="67" w:lineRule="exact"/>
        <w:rPr>
          <w:rFonts w:ascii="MS PGothic" w:cs="MS PGothic" w:eastAsia="MS PGothic" w:hAnsi="MS PGothic"/>
          <w:sz w:val="18"/>
          <w:szCs w:val="18"/>
          <w:color w:val="auto"/>
        </w:rPr>
      </w:pPr>
    </w:p>
    <w:p>
      <w:pPr>
        <w:ind w:left="740" w:right="6160" w:hanging="294"/>
        <w:spacing w:after="0" w:line="282" w:lineRule="auto"/>
        <w:tabs>
          <w:tab w:leader="none" w:pos="740" w:val="left"/>
        </w:tabs>
        <w:numPr>
          <w:ilvl w:val="0"/>
          <w:numId w:val="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Regular review by our Compensation Committee of our compensation-related risk profile</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Shareholder Feedback and Shareholder Advisory Votes</w:t>
      </w:r>
    </w:p>
    <w:p>
      <w:pPr>
        <w:spacing w:after="0" w:line="119"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We seek to engage with shareholders to solicit feedback relating to executive compensation and corporate governance practices. Members of our management team regularly conduct meetings and telephone calls with shareholders. During our fiscal year 2025 engagement, our Lead Independent Director, General Counsel and Vice President of Corporate Development and Investor Relations met with shareholders representing over 23% of our total shares outstanding. Discussion topics included: a proposed amendment to our omnibus Equity Incentive Plan, executive compensation, our Board assessment and refreshment processes, and corporate governance and sustainability. Feedback from shareholders is considered by the Compensation Committee in structuring the executive compensation program and such feedback has led to changes in our compensation program from time to time.</w:t>
      </w:r>
    </w:p>
    <w:p>
      <w:pPr>
        <w:spacing w:after="0" w:line="17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We conduct annual Say-on-Pay advisory votes, which have received strong support since 2019. Most recently, our Say-on-Pay proposals at the 2023, 2024 and 2025 annual shareholder meetings resulted in votes of approximately 89%, 88% and 93%, respectively, in favor of the executive compensation program. In light of such consistently strong support, we generally maintained the structure of our executive compensation program for fiscal year 2026.</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Framework for Determining Executive Compensation</w:t>
      </w:r>
    </w:p>
    <w:p>
      <w:pPr>
        <w:spacing w:after="0" w:line="121"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Since our initial public offering in 2012, we have continued to make incremental changes to our executive compensation program to adopt practices that are appropriate for the Company given our business, industry, size, growth, and other factors. We have engaged an independent compensation consultant, including for fiscal</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440" w:top="295" w:right="539" w:bottom="1440" w:gutter="0" w:footer="0" w:header="0"/>
          <w:type w:val="continuous"/>
        </w:sectPr>
      </w:pPr>
    </w:p>
    <w:bookmarkStart w:id="37" w:name="page38"/>
    <w:bookmarkEnd w:id="37"/>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year 2026, which assists our Compensation Committee in determining executive compensation. We previously have considered and used different types of equity awards to grant our NEOs, and over the last few years have granted a mix of RSUs and PRSUs, as we continuously strive to establish a mix that appropriately emphasizes pay for performance, compensation that is competitive with the market and provide appropriate incentive to drive our business success and retain our key talent.</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Role of the Compensation Committee and Board of Directors</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is primarily responsible for the executive compensation program for our executive officers. The Compensation Committee reports to the Board on its discussions and actions and, in some cases, recommends to the Board the decisions to be made and other actions to be taken with regard to our executive officers’ compensation. The Compensation Committee formally met five times during fiscal year 2026, to review and discuss matters related to compensation of our employees and executive officers (as well as to discharge such other duties as necessary or appropriate). Portions of these meetings were held with members of management in attendance and each meeting included a closed session portion without members of management present. The meetings also included members of our compensation consultant (as described below). Our Compensation Committee’s decisions regarding executive compensation are based on the Compensation Committee’s assessment of the performance of the Company and each individual executive officer, as well as other factors as the Compensation Committee may deem relevant, such as prevailing industry trends, the competitive market for executive talent, and compensation practices of our peers.</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Role of Management</w:t>
      </w:r>
    </w:p>
    <w:p>
      <w:pPr>
        <w:spacing w:after="0" w:line="11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A key objective of our executive compensation program is to align compensation with our business strategy and the interests of our shareholders. Our Compensation Committee receives input from our CEO on business operations and the compensation rewards and incentives that would be most effective in achieving this alignment. Our CEO also provides recommendations regarding base salary, short term bonus and long-term incentive compensation for our NEOs (other than for himself) based on the Company’s operating results, an NEO’s individual role and contributions, internal pay equity, and retention. Our CEO attends certain Compensation Committee meetings and is involved in the process of setting our NEOs’ compensation, provided that our CEO does not make recommendations as to his own compensation or participate in Compensation Committee discussion of his own compensation. Our Vice President of Human Resources also meets with our Compensation Committee and our compensation consultant to provide data and develop our broad compensation programs. Our Compensation Committee considers management’s recommendations but is not required to follow any recommendations and may adjust compensation up or down as it determines in its discretion. Our Compensation Committee reviews the recommendations and other data and approves or makes recommendations to the Board as to each NEO’s total compensation, as well as each individual compensation component.</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Role of the Compensation Consultant</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has the authority to appoint and retain a compensation consultant. The reasonable fees for services rendered by the compensation consultant are paid by the Company. For fiscal year 2026, our Compensation Committee engaged Semler Brossy Consulting Group, LLC (“Semler Brossy”) to provide compensation consulting services and Semler Brossy served at the discretion of the Compensation Committee. Services provided by Semler Brossy included presenting market data and compensation practices of our compensation peer group companies (as described below) to the Compensation Committee; advising on executive compensation trends; analyzing our NEOs’ salary, short-term incentive and equity incentive compensation in relation to market data; assisting the Compensation Committee with evaluating our equity incentive program and our annual bonus program to ensure they are aligned with desired objectives; assisting the Compensation Committee with a risk assessment; and attending Compensation Committee meetings as requested by the Compensation Committee. Semler Brossy provides no services to the Company other than those it provides to the Compensation Committee.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97" w:right="479" w:bottom="1440" w:gutter="0" w:footer="0" w:header="0"/>
        </w:sectPr>
      </w:pPr>
    </w:p>
    <w:bookmarkStart w:id="38" w:name="page39"/>
    <w:bookmarkEnd w:id="38"/>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Compensation Committee assesses Semler Brossy’s independence annually under SEC and Nasdaq standards and has concluded that Semler Brossy was independent and that no conflict of interest exists as to its work.</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Peer Companies</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setting executive compensation for fiscal year 2026, our Compensation Committee considered the compensation data gathered by Semler Brossy for the Company’s peer group of companies, although it did not benchmark or otherwise target our compensation to any specific percentile or range with respect to our compensation peers. Rather, the Compensation Committee considers market data from the peer group alongside considerations such as each executive’s skill set, experience and role, as well company and individual performance. The peer group’s primary purpose is to inform on pay program design, relationship of pay and performance, and equity usage at companies of similar size and industry profile.</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utilized a peer group among semiconductor companies with revenue of approximately 1/3 to 3 times the then revenue of the Company and market capitalization of approximately 1/3 to 3 times the then market capitalization of the Company. The Compensation Committee, following consultation with Semler Brossy, has made adjustments to the peer group from time to time to maintain alignment of the peer group with the Company’s market cap, revenues, industry and growth profile.</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Prior to fiscal year 2026, the Compensation Committee made several adjustments to the peer group. One company (Alteryx) was removed due to its acquisition, and one company (Indie Semiconductor) was added based upon its business alignment and market valuation. Several peer companies were retained in the group despite not meeting all the quantitative screening criteria based upon strong business alignment with the Company. This updated peer group was used for the basis of fiscal year 2026 compensation decisions, and included the following companies:</w:t>
      </w:r>
    </w:p>
    <w:p>
      <w:pPr>
        <w:sectPr>
          <w:pgSz w:w="11900" w:h="16838" w:orient="portrait"/>
          <w:cols w:equalWidth="0" w:num="1">
            <w:col w:w="10960"/>
          </w:cols>
          <w:pgMar w:left="440" w:top="297" w:right="49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Alpha and Omega Semiconductor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Altair Engineering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C3.ai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Impinj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Indie Semiconductor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Lattice Semiconductor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MACOM Technology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MaxLinear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Integrations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Rambus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Synaptics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Display</w:t>
      </w:r>
    </w:p>
    <w:p>
      <w:pPr>
        <w:spacing w:after="0" w:line="200" w:lineRule="exact"/>
        <w:rPr>
          <w:sz w:val="20"/>
          <w:szCs w:val="20"/>
          <w:color w:val="auto"/>
        </w:rPr>
      </w:pPr>
    </w:p>
    <w:p>
      <w:pPr>
        <w:sectPr>
          <w:pgSz w:w="11900" w:h="16838" w:orient="portrait"/>
          <w:cols w:equalWidth="0" w:num="2">
            <w:col w:w="5020" w:space="720"/>
            <w:col w:w="5220"/>
          </w:cols>
          <w:pgMar w:left="440" w:top="297" w:right="499" w:bottom="1440" w:gutter="0" w:footer="0" w:header="0"/>
          <w:type w:val="continuous"/>
        </w:sectPr>
      </w:pPr>
    </w:p>
    <w:p>
      <w:pPr>
        <w:spacing w:after="0" w:line="3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compensation of our NEOs consists of the following principal components:</w:t>
      </w:r>
    </w:p>
    <w:p>
      <w:pPr>
        <w:spacing w:after="0" w:line="131" w:lineRule="exact"/>
        <w:rPr>
          <w:sz w:val="20"/>
          <w:szCs w:val="20"/>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bonuses;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 including performance-based awards;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change of control benefits.</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We strive to achieve an appropriate mix between cash compensation and equity incentive awards to meet our objectives. While we have historically had a high percentage of compensation provided in the form of equity, we do not apply any formal or informal policies or guidelines for allocating compensation between current and long-term compensation, or between cash and various equity-based awards.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97" w:right="499" w:bottom="1440" w:gutter="0" w:footer="0" w:header="0"/>
          <w:type w:val="continuous"/>
        </w:sectPr>
      </w:pPr>
    </w:p>
    <w:bookmarkStart w:id="39" w:name="page40"/>
    <w:bookmarkEnd w:id="39"/>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Board, led by our Compensation Committee, generally conducts an annual review of our executive compensation, as well as the mix of components used to compensate our NEOs. In reviewing and setting the executive compensation for fiscal year 2026, our Compensation Committee and Board relied on its collective judgment, recommendations from Dr. Wang (for executives other than Dr. Wang), the relative pay among the management team members, and its assessment of each executive officer’s role, responsibilities and overall contribution to the business in determining the size and mix of compensation for each executive, and Semler Brossy’s analysis of executive pay practices of the Company’s compensation peers. Given our strong commitment to pay for performance, the large majority of each NEO’s target total direct compensation was variable and subject to the achievement of performance objectives that are important for the growth and success of the Company.</w:t>
      </w:r>
    </w:p>
    <w:p>
      <w:pPr>
        <w:spacing w:after="0" w:line="2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Our base salaries are intended to provide financial stability, predictability and security of compensation for our executive officers for fulfilling their core job responsibilities. The base salaries of our NEOs are based primarily on role, the scope of their responsibilities, experience, performance and contributions, and our Compensation Committee’s understanding of compensation paid to similarly situated executives. None of our NEOs has an employment agreement that provides for automatic or scheduled increases in base salary. Base salaries are reviewed by the Compensation Committee and adjusted from time to time to align salaries with market levels after considering an executive’s individual role and responsibilities, experience, expertise, performance, and our overall compensation budget.</w:t>
      </w:r>
    </w:p>
    <w:p>
      <w:pPr>
        <w:spacing w:after="0" w:line="187"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For fiscal year 2025, in furtherance of the Company’s efforts to control expenses during a challenging period, the Compensation Committee approved decreases in base salaries for our CEO and other NEOs (other than Mr. Young), which resulted in base salaries for fiscal year 2025 that were 10% lower for our CEO and 5% lower for our other NEOs, as compared to fiscal year 2024. For fiscal year 2026, in light of the Company’s improved financial outlook and after reviewing industry benchmarks in consultation with Semler Brossy, the Compensation Committee increased base salaries for our CEO and other NEOs by first reinstating their base salaries to the pre-reduction (fiscal year 2024) levels and then providing market-based raises of 2.5% and 3.5%, respectively.</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forth the annual base salary for each of our NEOs for fiscal year 2026:</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6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Year 2026</w:t>
            </w:r>
          </w:p>
        </w:tc>
        <w:tc>
          <w:tcPr>
            <w:tcW w:w="16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60" w:type="dxa"/>
            <w:vAlign w:val="bottom"/>
            <w:vMerge w:val="restart"/>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w:t>
            </w:r>
          </w:p>
        </w:tc>
        <w:tc>
          <w:tcPr>
            <w:tcW w:w="168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3860" w:type="dxa"/>
            <w:vAlign w:val="bottom"/>
            <w:vMerge w:val="continue"/>
          </w:tcPr>
          <w:p>
            <w:pPr>
              <w:spacing w:after="0"/>
              <w:rPr>
                <w:sz w:val="13"/>
                <w:szCs w:val="13"/>
                <w:color w:val="auto"/>
              </w:rPr>
            </w:pPr>
          </w:p>
        </w:tc>
        <w:tc>
          <w:tcPr>
            <w:tcW w:w="1460" w:type="dxa"/>
            <w:vAlign w:val="bottom"/>
            <w:gridSpan w:val="2"/>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2025(1)</w:t>
            </w:r>
          </w:p>
        </w:tc>
        <w:tc>
          <w:tcPr>
            <w:tcW w:w="86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Fermi Wang</w:t>
            </w:r>
          </w:p>
        </w:tc>
        <w:tc>
          <w:tcPr>
            <w:tcW w:w="68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$575,000</w:t>
            </w:r>
          </w:p>
        </w:tc>
        <w:tc>
          <w:tcPr>
            <w:tcW w:w="780" w:type="dxa"/>
            <w:vAlign w:val="bottom"/>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720"/>
              <w:spacing w:after="0" w:line="203" w:lineRule="exact"/>
              <w:rPr>
                <w:sz w:val="20"/>
                <w:szCs w:val="20"/>
                <w:color w:val="auto"/>
              </w:rPr>
            </w:pPr>
            <w:r>
              <w:rPr>
                <w:rFonts w:ascii="Times New Roman" w:cs="Times New Roman" w:eastAsia="Times New Roman" w:hAnsi="Times New Roman"/>
                <w:sz w:val="18"/>
                <w:szCs w:val="18"/>
                <w:color w:val="auto"/>
              </w:rPr>
              <w:t>13.8%</w:t>
            </w:r>
          </w:p>
        </w:tc>
        <w:tc>
          <w:tcPr>
            <w:tcW w:w="10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Young(2)</w:t>
            </w: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$310,440</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Kohn</w:t>
            </w:r>
          </w:p>
        </w:tc>
        <w:tc>
          <w:tcPr>
            <w:tcW w:w="1460" w:type="dxa"/>
            <w:vAlign w:val="bottom"/>
            <w:gridSpan w:val="2"/>
            <w:shd w:val="clear" w:color="auto" w:fill="CCEEFF"/>
          </w:tcPr>
          <w:p>
            <w:pPr>
              <w:jc w:val="center"/>
              <w:ind w:right="780"/>
              <w:spacing w:after="0"/>
              <w:rPr>
                <w:sz w:val="20"/>
                <w:szCs w:val="20"/>
                <w:color w:val="auto"/>
              </w:rPr>
            </w:pPr>
            <w:r>
              <w:rPr>
                <w:rFonts w:ascii="Times New Roman" w:cs="Times New Roman" w:eastAsia="Times New Roman" w:hAnsi="Times New Roman"/>
                <w:sz w:val="18"/>
                <w:szCs w:val="18"/>
                <w:color w:val="auto"/>
              </w:rPr>
              <w:t>$388,592</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$352,176</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1460" w:type="dxa"/>
            <w:vAlign w:val="bottom"/>
            <w:gridSpan w:val="2"/>
            <w:shd w:val="clear" w:color="auto" w:fill="CCEEFF"/>
          </w:tcPr>
          <w:p>
            <w:pPr>
              <w:jc w:val="center"/>
              <w:ind w:right="780"/>
              <w:spacing w:after="0"/>
              <w:rPr>
                <w:sz w:val="20"/>
                <w:szCs w:val="20"/>
                <w:color w:val="auto"/>
              </w:rPr>
            </w:pPr>
            <w:r>
              <w:rPr>
                <w:rFonts w:ascii="Times New Roman" w:cs="Times New Roman" w:eastAsia="Times New Roman" w:hAnsi="Times New Roman"/>
                <w:sz w:val="18"/>
                <w:szCs w:val="18"/>
                <w:color w:val="auto"/>
              </w:rPr>
              <w:t>$321,865</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20" w:hanging="424"/>
        <w:spacing w:after="0" w:line="282"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from Fiscal Year 2025” column reflects increases from fiscal year 2025 base salaries that were reduced versus fiscal year 2024 (10% for our CEO and 5% for our other NEOs, other than Mr. Young).</w:t>
      </w:r>
    </w:p>
    <w:p>
      <w:pPr>
        <w:spacing w:after="0" w:line="67" w:lineRule="exact"/>
        <w:rPr>
          <w:rFonts w:ascii="Times New Roman" w:cs="Times New Roman" w:eastAsia="Times New Roman" w:hAnsi="Times New Roman"/>
          <w:sz w:val="18"/>
          <w:szCs w:val="18"/>
          <w:color w:val="auto"/>
        </w:rPr>
      </w:pPr>
    </w:p>
    <w:p>
      <w:pPr>
        <w:ind w:left="424" w:right="580" w:hanging="424"/>
        <w:spacing w:after="0" w:line="282"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Young had his salary set at $300,000 for fiscal year 2025 in connection with his appointment as Chief Financial Officer effective at the beginning of the 2025 fiscal year.</w:t>
      </w:r>
    </w:p>
    <w:p>
      <w:pPr>
        <w:spacing w:after="0" w:line="265" w:lineRule="exact"/>
        <w:rPr>
          <w:rFonts w:ascii="Times New Roman" w:cs="Times New Roman" w:eastAsia="Times New Roman" w:hAnsi="Times New Roman"/>
          <w:sz w:val="18"/>
          <w:szCs w:val="18"/>
          <w:color w:val="auto"/>
        </w:rPr>
      </w:pPr>
    </w:p>
    <w:p>
      <w:pPr>
        <w:ind w:left="444" w:right="7680"/>
        <w:spacing w:after="0" w:line="4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 xml:space="preserve">Annual Performance-Based Bonuses </w:t>
      </w:r>
      <w:r>
        <w:rPr>
          <w:rFonts w:ascii="Times New Roman" w:cs="Times New Roman" w:eastAsia="Times New Roman" w:hAnsi="Times New Roman"/>
          <w:sz w:val="17"/>
          <w:szCs w:val="17"/>
          <w:i w:val="1"/>
          <w:iCs w:val="1"/>
          <w:color w:val="auto"/>
        </w:rPr>
        <w:t>Overview of the Annual Bonus Program</w:t>
      </w: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Our NEOs are eligible to receive bonuses under our annual bonus plan established at the beginning of the fiscal year. Annual bonuses are intended to motivate executives to achieve, and reward executives for achieving, important corporate financial and operational goals, as well as individual performance.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97" w:right="459" w:bottom="1440" w:gutter="0" w:footer="0" w:header="0"/>
        </w:sectPr>
      </w:pPr>
    </w:p>
    <w:bookmarkStart w:id="40" w:name="page41"/>
    <w:bookmarkEnd w:id="40"/>
    <w:p>
      <w:pPr>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Shortly after the Board approves the Company’s annual operating budget, the Board establishes an annual bonus pool for employees and executives. Target bonuses for our CEO and other NEOs are set as a percentage of base salary. For fiscal year 2026, these target bonus percentages remained consistent with fiscal year 2025.</w:t>
      </w:r>
    </w:p>
    <w:p>
      <w:pPr>
        <w:spacing w:after="0" w:line="176" w:lineRule="exact"/>
        <w:rPr>
          <w:sz w:val="20"/>
          <w:szCs w:val="20"/>
          <w:color w:val="auto"/>
        </w:rPr>
      </w:pPr>
    </w:p>
    <w:p>
      <w:pPr>
        <w:ind w:left="4" w:right="240" w:firstLine="440"/>
        <w:spacing w:after="0" w:line="289" w:lineRule="auto"/>
        <w:rPr>
          <w:sz w:val="20"/>
          <w:szCs w:val="20"/>
          <w:color w:val="auto"/>
        </w:rPr>
      </w:pPr>
      <w:r>
        <w:rPr>
          <w:rFonts w:ascii="Times New Roman" w:cs="Times New Roman" w:eastAsia="Times New Roman" w:hAnsi="Times New Roman"/>
          <w:sz w:val="17"/>
          <w:szCs w:val="17"/>
          <w:color w:val="auto"/>
        </w:rPr>
        <w:t>The fiscal year 2026 bonus plan linked a portion of employee and executive compensation to our actual financial and operational performance. Consistent with our approach since fiscal year 2020, the fiscal year 2026 bonus plan was based on three equally-weighted (at target) performance metrics: (i) annual revenue, (ii) annual operating profit before bonus accruals, and (iii) a set of strategic objectives (four in fiscal year 2026).</w:t>
      </w:r>
    </w:p>
    <w:p>
      <w:pPr>
        <w:spacing w:after="0" w:line="158"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After the Compensation Committee certifies performance against these goals, the bonus pool size is adjusted based on the level of achievement. The Compensation Committee then determines the amount awarded to each individual NEO, with input from the CEO, based on factors such as the executive’s role and individual contributions to the Company’s financial results and strategic objectives. The bonus award for Dr. Wang, as CEO, is recommended by the Compensation Committee and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142875</wp:posOffset>
            </wp:positionV>
            <wp:extent cx="6686550" cy="11226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8655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Performance Metric Selection and Goal Setting.</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noted above, for fiscal year 2026, the executive bonus program was based on three equally-weighted, performance metrics: (i) annual revenue,</w:t>
      </w:r>
    </w:p>
    <w:p>
      <w:pPr>
        <w:spacing w:after="0" w:line="27" w:lineRule="exact"/>
        <w:rPr>
          <w:sz w:val="20"/>
          <w:szCs w:val="20"/>
          <w:color w:val="auto"/>
        </w:rPr>
      </w:pPr>
    </w:p>
    <w:p>
      <w:pPr>
        <w:ind w:left="4" w:hanging="4"/>
        <w:spacing w:after="0" w:line="251"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operating profit before bonus accruals, and (iii) a set of strategic objectives. These metrics were selected because the Compensation Committee and Board believe they are important indicators of our performance as a growing company and reflect successful execution of our annual operating plan. While revenue remained an important focus for the Company’s overall business success, the operating profit goal helped to ensure that pursuing revenue and research &amp; development was balanced with efforts to achieve profitable margins and manage expenses. The operating profit goal is a non-GAAP measure and refers to GAAP operating income, excluding (a) stock-based compensation and the associated tax impact and (b) bonus accruals. The strategic objectives metric consists of short-term objectives that support the Company’s efforts to expand its presence in the evolving edge AI market across a broader range of applications, including advanced video security cameras, automotive safety systems, fixed robots, autonomous mobile robots, and industrial applications, which we believe will create long term value for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151765</wp:posOffset>
            </wp:positionV>
            <wp:extent cx="6686550" cy="8915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8655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established threshold, target and maximum achievement levels for each of the three performance metrics. After the Compensation Committee certifies performance against these metrics, the executive bonus pool is funded between 0% and a maximum of 167% of target based on the level of achievement. Failure to achieve threshold performance for any specific metric results in no payout for that portion of the bonus pool, and failure to achieve threshold performance for all metrics results in no bonus pool payout. Funding between performance levels is calculated using linear interpolation.</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4"/>
          </w:cols>
          <w:pgMar w:left="436" w:top="297" w:right="49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executive bonus pool funding levels resulting from performance achievement for the two financial performance metrics were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940" w:type="dxa"/>
            <w:vAlign w:val="bottom"/>
            <w:vMerge w:val="restart"/>
          </w:tcPr>
          <w:p>
            <w:pPr>
              <w:spacing w:after="0"/>
              <w:rPr>
                <w:sz w:val="13"/>
                <w:szCs w:val="13"/>
                <w:color w:val="auto"/>
              </w:rPr>
            </w:pPr>
          </w:p>
        </w:tc>
        <w:tc>
          <w:tcPr>
            <w:tcW w:w="16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Attainment vs. Plan</w:t>
            </w:r>
          </w:p>
        </w:tc>
        <w:tc>
          <w:tcPr>
            <w:tcW w:w="1620" w:type="dxa"/>
            <w:vAlign w:val="bottom"/>
          </w:tcPr>
          <w:p>
            <w:pPr>
              <w:spacing w:after="0"/>
              <w:rPr>
                <w:sz w:val="13"/>
                <w:szCs w:val="13"/>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Amount</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Revenue-Related</w:t>
            </w:r>
          </w:p>
        </w:tc>
        <w:tc>
          <w:tcPr>
            <w:tcW w:w="0" w:type="dxa"/>
            <w:vAlign w:val="bottom"/>
          </w:tcPr>
          <w:p>
            <w:pPr>
              <w:spacing w:after="0"/>
              <w:rPr>
                <w:sz w:val="1"/>
                <w:szCs w:val="1"/>
                <w:color w:val="auto"/>
              </w:rPr>
            </w:pPr>
          </w:p>
        </w:tc>
      </w:tr>
      <w:tr>
        <w:trPr>
          <w:trHeight w:val="180"/>
        </w:trPr>
        <w:tc>
          <w:tcPr>
            <w:tcW w:w="940" w:type="dxa"/>
            <w:vAlign w:val="bottom"/>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20" w:type="dxa"/>
            <w:vAlign w:val="bottom"/>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1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Portion of Pool Funded</w:t>
            </w: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Threshold</w:t>
            </w:r>
          </w:p>
        </w:tc>
        <w:tc>
          <w:tcPr>
            <w:tcW w:w="4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$294.8 million</w:t>
            </w:r>
          </w:p>
        </w:tc>
        <w:tc>
          <w:tcPr>
            <w:tcW w:w="116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Target</w:t>
            </w:r>
          </w:p>
        </w:tc>
        <w:tc>
          <w:tcPr>
            <w:tcW w:w="16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$335.0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8"/>
              </w:rPr>
              <w:t>Maximum</w:t>
            </w:r>
          </w:p>
        </w:tc>
        <w:tc>
          <w:tcPr>
            <w:tcW w:w="16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$375.2 million</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Non-GAAP Operating Profit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020" w:type="dxa"/>
            <w:vAlign w:val="bottom"/>
            <w:gridSpan w:val="3"/>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Attainment vs. Plan</w:t>
            </w:r>
          </w:p>
        </w:tc>
        <w:tc>
          <w:tcPr>
            <w:tcW w:w="230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Operating Income-</w:t>
            </w:r>
          </w:p>
        </w:tc>
        <w:tc>
          <w:tcPr>
            <w:tcW w:w="0" w:type="dxa"/>
            <w:vAlign w:val="bottom"/>
          </w:tcPr>
          <w:p>
            <w:pPr>
              <w:spacing w:after="0"/>
              <w:rPr>
                <w:sz w:val="1"/>
                <w:szCs w:val="1"/>
                <w:color w:val="auto"/>
              </w:rPr>
            </w:pPr>
          </w:p>
        </w:tc>
      </w:tr>
      <w:tr>
        <w:trPr>
          <w:trHeight w:val="180"/>
        </w:trPr>
        <w:tc>
          <w:tcPr>
            <w:tcW w:w="4020" w:type="dxa"/>
            <w:vAlign w:val="bottom"/>
            <w:gridSpan w:val="3"/>
            <w:vMerge w:val="continue"/>
          </w:tcPr>
          <w:p>
            <w:pPr>
              <w:spacing w:after="0"/>
              <w:rPr>
                <w:sz w:val="15"/>
                <w:szCs w:val="15"/>
                <w:color w:val="auto"/>
              </w:rPr>
            </w:pPr>
          </w:p>
        </w:tc>
        <w:tc>
          <w:tcPr>
            <w:tcW w:w="2300" w:type="dxa"/>
            <w:vAlign w:val="bottom"/>
            <w:gridSpan w:val="2"/>
          </w:tcPr>
          <w:p>
            <w:pPr>
              <w:jc w:val="center"/>
              <w:ind w:right="12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Related Portion of Pool Funded</w:t>
            </w:r>
          </w:p>
        </w:tc>
        <w:tc>
          <w:tcPr>
            <w:tcW w:w="0" w:type="dxa"/>
            <w:vAlign w:val="bottom"/>
          </w:tcPr>
          <w:p>
            <w:pPr>
              <w:spacing w:after="0"/>
              <w:rPr>
                <w:sz w:val="1"/>
                <w:szCs w:val="1"/>
                <w:color w:val="auto"/>
              </w:rPr>
            </w:pPr>
          </w:p>
        </w:tc>
      </w:tr>
      <w:tr>
        <w:trPr>
          <w:trHeight w:val="203"/>
        </w:trPr>
        <w:tc>
          <w:tcPr>
            <w:tcW w:w="8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Threshold</w:t>
            </w:r>
          </w:p>
        </w:tc>
        <w:tc>
          <w:tcPr>
            <w:tcW w:w="20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$21.4 million</w:t>
            </w:r>
          </w:p>
        </w:tc>
        <w:tc>
          <w:tcPr>
            <w:tcW w:w="122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20" w:type="dxa"/>
            <w:vAlign w:val="bottom"/>
            <w:gridSpan w:val="2"/>
          </w:tcPr>
          <w:p>
            <w:pPr>
              <w:jc w:val="center"/>
              <w:ind w:right="2000"/>
              <w:spacing w:after="0"/>
              <w:rPr>
                <w:sz w:val="20"/>
                <w:szCs w:val="20"/>
                <w:color w:val="auto"/>
              </w:rPr>
            </w:pPr>
            <w:r>
              <w:rPr>
                <w:rFonts w:ascii="Times New Roman" w:cs="Times New Roman" w:eastAsia="Times New Roman" w:hAnsi="Times New Roman"/>
                <w:sz w:val="18"/>
                <w:szCs w:val="18"/>
                <w:color w:val="auto"/>
                <w:w w:val="97"/>
              </w:rPr>
              <w:t>Target</w:t>
            </w:r>
          </w:p>
        </w:tc>
        <w:tc>
          <w:tcPr>
            <w:tcW w:w="23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 $1.4 million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center"/>
              <w:ind w:right="2020"/>
              <w:spacing w:after="0"/>
              <w:rPr>
                <w:sz w:val="20"/>
                <w:szCs w:val="20"/>
                <w:color w:val="auto"/>
              </w:rPr>
            </w:pPr>
            <w:r>
              <w:rPr>
                <w:rFonts w:ascii="Times New Roman" w:cs="Times New Roman" w:eastAsia="Times New Roman" w:hAnsi="Times New Roman"/>
                <w:sz w:val="18"/>
                <w:szCs w:val="18"/>
                <w:color w:val="auto"/>
              </w:rPr>
              <w:t>Maximum</w:t>
            </w:r>
          </w:p>
        </w:tc>
        <w:tc>
          <w:tcPr>
            <w:tcW w:w="2300" w:type="dxa"/>
            <w:vAlign w:val="bottom"/>
            <w:gridSpan w:val="2"/>
            <w:shd w:val="clear" w:color="auto" w:fill="CCEEFF"/>
          </w:tcPr>
          <w:p>
            <w:pPr>
              <w:jc w:val="center"/>
              <w:ind w:right="1200"/>
              <w:spacing w:after="0"/>
              <w:rPr>
                <w:sz w:val="20"/>
                <w:szCs w:val="20"/>
                <w:color w:val="auto"/>
              </w:rPr>
            </w:pPr>
            <w:r>
              <w:rPr>
                <w:rFonts w:ascii="Times New Roman" w:cs="Times New Roman" w:eastAsia="Times New Roman" w:hAnsi="Times New Roman"/>
                <w:sz w:val="18"/>
                <w:szCs w:val="18"/>
                <w:color w:val="auto"/>
                <w:w w:val="95"/>
              </w:rPr>
              <w:t>  $18.6 million</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intended that the difficulty of attaining the goals would be relatively consistent with prior years and would require strong operational performance. The financial metric targets under the fiscal year 2026 annual bonus plan represented a 17.5% increase in revenue and an $8.3 million improvement in operating profit over the prior year’s results. These targets were established when there remained uncertainty regarding ongoing inventory correction efforts among our customers, continued heightened geopolitical events, increased expenses associated with continued development of the Company’s new edge AI solutions, and cyclical challenges in the semiconductor industry. The Compensation Committee also noted that the revenue target was above the projected industry growth rate and above the targets of certain industry peers.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fiscal year 2026 annual bonus plan, the strategic objectives were as follows (with points assigned for achievement):</w:t>
      </w:r>
    </w:p>
    <w:p>
      <w:pPr>
        <w:spacing w:after="0" w:line="131" w:lineRule="exact"/>
        <w:rPr>
          <w:sz w:val="20"/>
          <w:szCs w:val="20"/>
          <w:color w:val="auto"/>
        </w:rPr>
      </w:pPr>
    </w:p>
    <w:p>
      <w:pPr>
        <w:ind w:left="960" w:right="30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design wins for an automotive ADAS or Level2+ autonomous applications or automotive radar software applications (up to a maximum of 4 points);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design wins for AIoT applications using the Company’s new AI SoCs (up to a maximum of 4 points);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 engineering development milestone related to the Company’s software stack (4 points);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 product development milestone related to the Company’s initial 2nm SoC product (up to a maximum of 1 point).</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strategic objectives-related portion of the bonus pool was scheduled to fund as follows (with linear interpolation of funding amounts for performance between the listed performance achievement amounts):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Attainment vs. Plan</w:t>
            </w:r>
          </w:p>
        </w:tc>
        <w:tc>
          <w:tcPr>
            <w:tcW w:w="2020" w:type="dxa"/>
            <w:vAlign w:val="bottom"/>
            <w:vMerge w:val="restart"/>
          </w:tcPr>
          <w:p>
            <w:pPr>
              <w:spacing w:after="0"/>
              <w:rPr>
                <w:sz w:val="13"/>
                <w:szCs w:val="13"/>
                <w:color w:val="auto"/>
              </w:rPr>
            </w:pPr>
          </w:p>
        </w:tc>
        <w:tc>
          <w:tcPr>
            <w:tcW w:w="2260" w:type="dxa"/>
            <w:vAlign w:val="bottom"/>
            <w:gridSpan w:val="2"/>
            <w:vMerge w:val="restart"/>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Points Achieved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Strategic Objective-</w:t>
            </w: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2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Related Portion of Pool Funded</w:t>
            </w:r>
          </w:p>
        </w:tc>
        <w:tc>
          <w:tcPr>
            <w:tcW w:w="0" w:type="dxa"/>
            <w:vAlign w:val="bottom"/>
          </w:tcPr>
          <w:p>
            <w:pPr>
              <w:spacing w:after="0"/>
              <w:rPr>
                <w:sz w:val="1"/>
                <w:szCs w:val="1"/>
                <w:color w:val="auto"/>
              </w:rPr>
            </w:pPr>
          </w:p>
        </w:tc>
      </w:tr>
      <w:tr>
        <w:trPr>
          <w:trHeight w:val="203"/>
        </w:trPr>
        <w:tc>
          <w:tcPr>
            <w:tcW w:w="76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CCEEFF"/>
            </w:tcBorders>
            <w:gridSpan w:val="2"/>
            <w:shd w:val="clear" w:color="auto" w:fill="CCEEFF"/>
          </w:tcPr>
          <w:p>
            <w:pPr>
              <w:jc w:val="center"/>
              <w:ind w:right="2020"/>
              <w:spacing w:after="0" w:line="203" w:lineRule="exact"/>
              <w:rPr>
                <w:sz w:val="20"/>
                <w:szCs w:val="20"/>
                <w:color w:val="auto"/>
              </w:rPr>
            </w:pPr>
            <w:r>
              <w:rPr>
                <w:rFonts w:ascii="Times New Roman" w:cs="Times New Roman" w:eastAsia="Times New Roman" w:hAnsi="Times New Roman"/>
                <w:sz w:val="18"/>
                <w:szCs w:val="18"/>
                <w:color w:val="auto"/>
              </w:rPr>
              <w:t>Threshold</w:t>
            </w: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2 points</w:t>
            </w:r>
          </w:p>
        </w:tc>
        <w:tc>
          <w:tcPr>
            <w:tcW w:w="126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24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color w:val="auto"/>
                <w:w w:val="97"/>
              </w:rPr>
              <w:t>Target</w:t>
            </w:r>
          </w:p>
        </w:tc>
        <w:tc>
          <w:tcPr>
            <w:tcW w:w="226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7"/>
              </w:rPr>
              <w:t>7 points</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center"/>
              <w:ind w:right="2020"/>
              <w:spacing w:after="0"/>
              <w:rPr>
                <w:sz w:val="20"/>
                <w:szCs w:val="20"/>
                <w:color w:val="auto"/>
              </w:rPr>
            </w:pPr>
            <w:r>
              <w:rPr>
                <w:rFonts w:ascii="Times New Roman" w:cs="Times New Roman" w:eastAsia="Times New Roman" w:hAnsi="Times New Roman"/>
                <w:sz w:val="18"/>
                <w:szCs w:val="18"/>
                <w:color w:val="auto"/>
                <w:w w:val="98"/>
              </w:rPr>
              <w:t>Maximum</w:t>
            </w:r>
          </w:p>
        </w:tc>
        <w:tc>
          <w:tcPr>
            <w:tcW w:w="2260" w:type="dxa"/>
            <w:vAlign w:val="bottom"/>
            <w:gridSpan w:val="2"/>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rPr>
              <w:t>13 points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Fiscal Year 2026 Performance</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For fiscal year 2026, we exceeded the maximum targets for the revenue and operating profit metrics, and exceeded the target level for the strategic objectives metric for executives. The higher-than-target revenue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97" w:right="479" w:bottom="1440" w:gutter="0" w:footer="0" w:header="0"/>
        </w:sectPr>
      </w:pPr>
    </w:p>
    <w:bookmarkStart w:id="42" w:name="page43"/>
    <w:bookmarkEnd w:id="42"/>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performance was primarily attributable to strong customer adoption of the Company’s new AI inference SoCs. The higher-than-target operating profit was primarily due to the higher-than-anticipated revenue. In addition, we achieved or partially achieved each of the strategic objectives.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these results, the Compensation Committee determined the overall percentage achievement at 147% of target, as follows: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4220" w:type="dxa"/>
            <w:vAlign w:val="bottom"/>
            <w:vMerge w:val="restart"/>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6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6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Factor (% of</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w w:val="97"/>
              </w:rPr>
              <w:t>Goal</w:t>
            </w:r>
          </w:p>
        </w:tc>
        <w:tc>
          <w:tcPr>
            <w:tcW w:w="1640" w:type="dxa"/>
            <w:vAlign w:val="bottom"/>
            <w:gridSpan w:val="2"/>
          </w:tcPr>
          <w:p>
            <w:pPr>
              <w:ind w:left="360"/>
              <w:spacing w:after="0" w:line="160" w:lineRule="exact"/>
              <w:rPr>
                <w:sz w:val="20"/>
                <w:szCs w:val="20"/>
                <w:color w:val="auto"/>
              </w:rPr>
            </w:pPr>
            <w:r>
              <w:rPr>
                <w:rFonts w:ascii="Times New Roman" w:cs="Times New Roman" w:eastAsia="Times New Roman" w:hAnsi="Times New Roman"/>
                <w:sz w:val="14"/>
                <w:szCs w:val="14"/>
                <w:b w:val="1"/>
                <w:bCs w:val="1"/>
                <w:color w:val="auto"/>
              </w:rPr>
              <w:t>Results</w:t>
            </w: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33.3%</w:t>
            </w:r>
          </w:p>
        </w:tc>
        <w:tc>
          <w:tcPr>
            <w:tcW w:w="4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97"/>
              </w:rPr>
              <w:t>$335 million</w:t>
            </w:r>
          </w:p>
        </w:tc>
        <w:tc>
          <w:tcPr>
            <w:tcW w:w="4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ind w:left="37"/>
              <w:spacing w:after="0" w:line="203" w:lineRule="exact"/>
              <w:rPr>
                <w:sz w:val="20"/>
                <w:szCs w:val="20"/>
                <w:color w:val="auto"/>
              </w:rPr>
            </w:pPr>
            <w:r>
              <w:rPr>
                <w:rFonts w:ascii="Times New Roman" w:cs="Times New Roman" w:eastAsia="Times New Roman" w:hAnsi="Times New Roman"/>
                <w:sz w:val="18"/>
                <w:szCs w:val="18"/>
                <w:color w:val="auto"/>
                <w:w w:val="99"/>
              </w:rPr>
              <w:t>$390.7 million</w:t>
            </w:r>
          </w:p>
        </w:tc>
        <w:tc>
          <w:tcPr>
            <w:tcW w:w="4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8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 $  1.4 million</w:t>
            </w: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  28.9 million</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Strategic Goals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8"/>
              </w:rPr>
              <w:t>7.0 points</w:t>
            </w:r>
          </w:p>
        </w:tc>
        <w:tc>
          <w:tcPr>
            <w:tcW w:w="164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9.5 points</w:t>
            </w: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147%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Under our fiscal year 2026 annual bonus plan, our Compensation Committee and Board had the discretion to reduce, eliminate or increase the size of the bonus pool. The Compensation Committee did not make any changes to the performance metrics or size of the bonus pool for fiscal year 2026.</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Individual Bonus Opportunity</w:t>
      </w:r>
    </w:p>
    <w:p>
      <w:pPr>
        <w:spacing w:after="0" w:line="11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At the start of fiscal year 2026, the Compensation Committee approved target bonus levels, expressed as a percentage of base salary, for the CEO and other NEOs. The target bonus level for our CEO was 100% of his base salary, and the target bonus levels for our other NEOs ranged from 65% to 75% of their base salary, all of which were consistent with the prior year.</w:t>
      </w:r>
    </w:p>
    <w:p>
      <w:pPr>
        <w:spacing w:after="0" w:line="176"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Before bonus awards were allocated, our CEO met with the Compensation Committee and provided recommendations regarding individual bonus allocations for the NEOs other than himself. Dr. Wang recommended bonus allocations for the management team, including the other NEOs, at levels consistent with the degree of overachievement under the fiscal year 2026 bonus plan. The Compensation Committee considered these recommendations, as well as historical allocations and the executives’ individual experience and contributions to the Company’s financial and operational results.</w:t>
      </w:r>
    </w:p>
    <w:p>
      <w:pPr>
        <w:spacing w:after="0" w:line="164"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made annual bonus awards to our NEOs other than Dr. Wang as set forth in the table below. The bonus award for Dr. Wang, as CEO, was recommended by the Compensation Committee and approved by the Board.</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2026</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60" w:type="dxa"/>
            <w:vAlign w:val="bottom"/>
            <w:vMerge w:val="restart"/>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2026 Bonus Target</w:t>
            </w:r>
          </w:p>
        </w:tc>
        <w:tc>
          <w:tcPr>
            <w:tcW w:w="1940" w:type="dxa"/>
            <w:vAlign w:val="bottom"/>
            <w:gridSpan w:val="2"/>
            <w:vMerge w:val="continue"/>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 Award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5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color w:val="auto"/>
              </w:rPr>
              <w:t>(% of Base Salary)</w:t>
            </w:r>
          </w:p>
        </w:tc>
        <w:tc>
          <w:tcPr>
            <w:tcW w:w="19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2026 Bonus Target</w:t>
            </w:r>
          </w:p>
        </w:tc>
        <w:tc>
          <w:tcPr>
            <w:tcW w:w="21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2026 Bonus Awarded</w:t>
            </w:r>
          </w:p>
        </w:tc>
        <w:tc>
          <w:tcPr>
            <w:tcW w:w="1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color w:val="auto"/>
              </w:rPr>
              <w:t>(% of 2026 Bonus Target)</w:t>
            </w:r>
          </w:p>
        </w:tc>
        <w:tc>
          <w:tcPr>
            <w:tcW w:w="0" w:type="dxa"/>
            <w:vAlign w:val="bottom"/>
          </w:tcPr>
          <w:p>
            <w:pPr>
              <w:spacing w:after="0"/>
              <w:rPr>
                <w:sz w:val="1"/>
                <w:szCs w:val="1"/>
                <w:color w:val="auto"/>
              </w:rPr>
            </w:pPr>
          </w:p>
        </w:tc>
      </w:tr>
      <w:tr>
        <w:trPr>
          <w:trHeight w:val="203"/>
        </w:trPr>
        <w:tc>
          <w:tcPr>
            <w:tcW w:w="1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Fermi Wang</w:t>
            </w:r>
          </w:p>
        </w:tc>
        <w:tc>
          <w:tcPr>
            <w:tcW w:w="1440" w:type="dxa"/>
            <w:vAlign w:val="bottom"/>
            <w:tcBorders>
              <w:top w:val="single" w:sz="8" w:color="auto"/>
            </w:tcBorders>
            <w:shd w:val="clear" w:color="auto" w:fill="CCEEFF"/>
          </w:tcPr>
          <w:p>
            <w:pPr>
              <w:jc w:val="right"/>
              <w:ind w:right="317"/>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$575,000</w:t>
            </w:r>
          </w:p>
        </w:tc>
        <w:tc>
          <w:tcPr>
            <w:tcW w:w="1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$846,000</w:t>
            </w:r>
          </w:p>
        </w:tc>
        <w:tc>
          <w:tcPr>
            <w:tcW w:w="1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ind w:right="477"/>
              <w:spacing w:after="0" w:line="203"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Young</w:t>
            </w:r>
          </w:p>
        </w:tc>
        <w:tc>
          <w:tcPr>
            <w:tcW w:w="144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$217,308</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178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Kohn</w:t>
            </w:r>
          </w:p>
        </w:tc>
        <w:tc>
          <w:tcPr>
            <w:tcW w:w="144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$291,444</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$395,000</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144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$264,132</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$395,000</w:t>
            </w:r>
          </w:p>
        </w:tc>
        <w:tc>
          <w:tcPr>
            <w:tcW w:w="120" w:type="dxa"/>
            <w:vAlign w:val="bottom"/>
          </w:tcPr>
          <w:p>
            <w:pPr>
              <w:spacing w:after="0"/>
              <w:rPr>
                <w:sz w:val="18"/>
                <w:szCs w:val="18"/>
                <w:color w:val="auto"/>
              </w:rPr>
            </w:pPr>
          </w:p>
        </w:tc>
        <w:tc>
          <w:tcPr>
            <w:tcW w:w="178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144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$209,212</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$320,000</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Bonus awards were paid to the NEOs in March 2026 and, consistent with prior years, were paid in the form of fully-vested stock awards.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Equity-based compensation is our primary long-term incentive compensation component. It is designed to support both retention and long-term performance. We believe that tying a significant portion of pay to long-term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97" w:right="479" w:bottom="1440" w:gutter="0" w:footer="0" w:header="0"/>
        </w:sectPr>
      </w:pPr>
    </w:p>
    <w:bookmarkStart w:id="43" w:name="page44"/>
    <w:bookmarkEnd w:id="4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incentives encourages our executive officers to grow revenue and earnings, enhance shareholder value, and align the interests of our executives and shareholders. For fiscal year 2026, equity awards represented 84% of total direct target compensation (consisting of salary, target bonus opportunity and long-term equity awards) for our CEO and, on average, 80% of total direct target compensation for our other NEOs. Equity awards to our executives, including our NEOs, are typically granted in the first quarter of the fiscal year.</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Long-Term Incentive Design</w:t>
      </w:r>
    </w:p>
    <w:p>
      <w:pPr>
        <w:spacing w:after="0" w:line="11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Since fiscal year 2020, our NEOs have received equity awards consisting of 50% PRSUs and 50% time-based vesting RSUs. We believe this mix balances our emphasis on linking executive compensation to long-term financial performance and shareholder value creation with our need to retain key talent in a highly competitive market.</w:t>
      </w:r>
    </w:p>
    <w:p>
      <w:pPr>
        <w:spacing w:after="0" w:line="176"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For fiscal year 2026, the Board, upon recommendation of the Compensation Committee, established a target equity award pool (including both time-based and performance-based restricted stock units) for our NEOs and certain other high-level employees. Individual grants were then allocated based upon several factors, including individual performance, retention needs, historical allocations and competitive market data.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individual annual RSU and PRSU grants for our NEOs for fiscal year 2026 were as follows: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PRSUs</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8"/>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vMerge w:val="continue"/>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Time-based</w:t>
            </w: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(at Target)</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PRSUs (at</w:t>
            </w:r>
          </w:p>
        </w:tc>
        <w:tc>
          <w:tcPr>
            <w:tcW w:w="0" w:type="dxa"/>
            <w:vAlign w:val="bottom"/>
          </w:tcPr>
          <w:p>
            <w:pPr>
              <w:spacing w:after="0"/>
              <w:rPr>
                <w:sz w:val="1"/>
                <w:szCs w:val="1"/>
                <w:color w:val="auto"/>
              </w:rPr>
            </w:pPr>
          </w:p>
        </w:tc>
      </w:tr>
      <w:tr>
        <w:trPr>
          <w:trHeight w:val="160"/>
        </w:trPr>
        <w:tc>
          <w:tcPr>
            <w:tcW w:w="5460" w:type="dxa"/>
            <w:vAlign w:val="bottom"/>
            <w:gridSpan w:val="2"/>
            <w:vMerge w:val="continue"/>
          </w:tcPr>
          <w:p>
            <w:pPr>
              <w:spacing w:after="0"/>
              <w:rPr>
                <w:sz w:val="13"/>
                <w:szCs w:val="13"/>
                <w:color w:val="auto"/>
              </w:rPr>
            </w:pPr>
          </w:p>
        </w:tc>
        <w:tc>
          <w:tcPr>
            <w:tcW w:w="124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RSUs (#)</w:t>
            </w:r>
          </w:p>
        </w:tc>
        <w:tc>
          <w:tcPr>
            <w:tcW w:w="13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RSUs ($)</w:t>
            </w: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3"/>
                <w:szCs w:val="13"/>
                <w:color w:val="auto"/>
              </w:rPr>
            </w:pPr>
          </w:p>
        </w:tc>
        <w:tc>
          <w:tcPr>
            <w:tcW w:w="9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Target)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Fermi Wang</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39,120</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2,403,142</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39,120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3,530,189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Young</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12,388</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760,995</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12,388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1,117,893</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Kohn</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19,560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1,201,571</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19,560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1,765,094</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18,256</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1,121,466</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18,256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1,647,421</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12,388</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760,995</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12,388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1,117,893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number of PRSUs granted was determined using the same method as the time-based RSUs, by dividing the target dollar amount by a trailing average closing price on the grant date. Consistent with prior years, a 30-trading day trailing average was used to determine the average closing price on the grant date. For accounting purposes, the grant date fair value of the time-based RSUs was determined by multiplying the number of shares subject to the RSUs by the closing price of our ordinary shares on February 28, 2025 (the RSU grant date), which was $61.43. For accounting purposes, the grant date fair value of the PRSUs for accounting purposes was determined using a Monte Carlo simulation model, which results in a different per-share grant date fair value than for time-based RSUs, and that value is reflected above and in the Summary Compensation Table and the Grants of Plan-Based Awards Table below.</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Time-Based Restricted Stock Unit Design Detail</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One-half of our annual equity awards is granted as restricted stock units subject to time-based vesting. The annual RSUs granted to our NEOs vest in equal quarterly installments over the three years following grant, subject to the executive’s continued service through each vesting date.</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 Program Design Detail</w:t>
      </w:r>
    </w:p>
    <w:p>
      <w:pPr>
        <w:spacing w:after="0" w:line="11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Since fiscal year 2020, our performance-based equity awards have included a performance metric tied to the Company’s three-year total shareholder return (TSR). As equity is the largest component of our NEOs’ compensation, we believe this structure focuses our management team on long-term value creation and further aligns executives’ interest with those of the shareholders. Since fiscal year 2023, the Company’s TSR has been measured against the TSR of an index of semiconductor companies in the Russell 2000 Index (the “TSR Peers”) to align with the Company’s size and scale.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97" w:right="479" w:bottom="1440" w:gutter="0" w:footer="0" w:header="0"/>
        </w:sectPr>
      </w:pPr>
    </w:p>
    <w:bookmarkStart w:id="44" w:name="page45"/>
    <w:bookmarkEnd w:id="44"/>
    <w:p>
      <w:pPr>
        <w:ind w:right="20" w:firstLine="440"/>
        <w:spacing w:after="0" w:line="21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the fiscal year 2026 PRSU awards, TSR is calculated using a 50-day average as of February 1, 2025 and January 31, 2028. If our TSR performance for the three-year period from February 1, 2025 through January 31, 2028 (the “Performance Period”) is at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TSR of the TSR Peers, then 100% of the target number of PRSUs will vest, subject to the executive remaining in service with the Company through the vesting date. If our TSR performance ranks at or above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TSR Peers over the Performance Period, then 200% of the target number of PRSUs will vest. If our TSR performance ranks at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or lower of the TSR Peers over the Performance Period, then 0% of the target number of PRSUs will vest. For relative TSR performance between these threshold and maximum points, the Compensation Committee will determine the percentage of the target number of PRSUs that will vest through linear interpolation.</w:t>
      </w:r>
    </w:p>
    <w:p>
      <w:pPr>
        <w:sectPr>
          <w:pgSz w:w="11900" w:h="16838" w:orient="portrait"/>
          <w:cols w:equalWidth="0" w:num="1">
            <w:col w:w="11020"/>
          </w:cols>
          <w:pgMar w:left="440" w:top="297" w:right="439" w:bottom="1440" w:gutter="0" w:footer="0" w:header="0"/>
        </w:sectPr>
      </w:pPr>
    </w:p>
    <w:p>
      <w:pPr>
        <w:spacing w:after="0" w:line="225"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Company Relative TSR Performance</w:t>
      </w:r>
    </w:p>
    <w:p>
      <w:pPr>
        <w:spacing w:after="0" w:line="6"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u w:val="single" w:color="auto"/>
          <w:color w:val="auto"/>
        </w:rPr>
        <w:t>(TSR percentile ranking)</w:t>
      </w:r>
    </w:p>
    <w:p>
      <w:pPr>
        <w:ind w:left="2060"/>
        <w:spacing w:after="0" w:line="213" w:lineRule="auto"/>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or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-146050</wp:posOffset>
            </wp:positionV>
            <wp:extent cx="6429375"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29375" cy="145415"/>
                    </a:xfrm>
                    <a:prstGeom prst="rect">
                      <a:avLst/>
                    </a:prstGeom>
                    <a:noFill/>
                  </pic:spPr>
                </pic:pic>
              </a:graphicData>
            </a:graphic>
          </wp:anchor>
        </w:drawing>
      </w:r>
    </w:p>
    <w:p>
      <w:pPr>
        <w:ind w:left="2380"/>
        <w:spacing w:after="0" w:line="180" w:lineRule="auto"/>
        <w:rPr>
          <w:sz w:val="20"/>
          <w:szCs w:val="20"/>
          <w:color w:val="auto"/>
        </w:rPr>
      </w:pPr>
      <w:r>
        <w:rPr>
          <w:rFonts w:ascii="Times New Roman" w:cs="Times New Roman" w:eastAsia="Times New Roman" w:hAnsi="Times New Roman"/>
          <w:sz w:val="17"/>
          <w:szCs w:val="17"/>
          <w:color w:val="auto"/>
        </w:rPr>
        <w:t>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0</wp:posOffset>
            </wp:positionV>
            <wp:extent cx="6429375"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or higher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Percentage of PRSUs Vesting (as a</w:t>
      </w:r>
    </w:p>
    <w:p>
      <w:pPr>
        <w:spacing w:after="0" w:line="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b w:val="1"/>
          <w:bCs w:val="1"/>
          <w:u w:val="single" w:color="auto"/>
          <w:color w:val="auto"/>
        </w:rPr>
        <w:t>percentage of the Target Number of PRSUs)</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0%</w:t>
      </w:r>
    </w:p>
    <w:p>
      <w:pPr>
        <w:spacing w:after="0" w:line="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100%</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200%</w:t>
      </w:r>
    </w:p>
    <w:p>
      <w:pPr>
        <w:spacing w:after="0" w:line="206" w:lineRule="exact"/>
        <w:rPr>
          <w:sz w:val="20"/>
          <w:szCs w:val="20"/>
          <w:color w:val="auto"/>
        </w:rPr>
      </w:pPr>
    </w:p>
    <w:p>
      <w:pPr>
        <w:sectPr>
          <w:pgSz w:w="11900" w:h="16838" w:orient="portrait"/>
          <w:cols w:equalWidth="0" w:num="2">
            <w:col w:w="7140" w:space="720"/>
            <w:col w:w="3160"/>
          </w:cols>
          <w:pgMar w:left="440" w:top="297" w:right="439" w:bottom="1440" w:gutter="0" w:footer="0" w:header="0"/>
          <w:type w:val="continuous"/>
        </w:sect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Consistent with fiscal years 2024 and 2025, the PRSUs also include a three-year cumulative revenue growth metric (the “Revenue CAGR”) in recognition of the Company’s continued focus on scaling revenue. The Revenue CAGR metric applies only if the Company’s TSR performance over the Performance Period is both positive and at or above the median TSR of the TSR Peers. The Revenue CAGR metric measures the Company’s compound annual revenue growth rate over the Performance Period. Achievement of the Revenue CAGR target will increase the number of PRSUs earned by up to 50% of the target amount. The percentage of the target amount of PRSUs earned pursuant to the Revenue CAGR metric is (a) 0% if the Company’s three-year Revenue CAGR is 10% or less; and (b) 50% if the Company’s three-year Revenue CAGR is 15% or higher. For performance between 10% and 15%, the percentage of target PRSUs earned is determined through linear interpolation.</w:t>
      </w:r>
    </w:p>
    <w:p>
      <w:pPr>
        <w:sectPr>
          <w:pgSz w:w="11900" w:h="16838" w:orient="portrait"/>
          <w:cols w:equalWidth="0" w:num="1">
            <w:col w:w="11020"/>
          </w:cols>
          <w:pgMar w:left="440" w:top="297" w:right="439" w:bottom="1440" w:gutter="0" w:footer="0" w:header="0"/>
          <w:type w:val="continuous"/>
        </w:sectPr>
      </w:pPr>
    </w:p>
    <w:p>
      <w:pPr>
        <w:spacing w:after="0" w:line="209"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3-year Revenue CAGR Percentage</w:t>
      </w:r>
    </w:p>
    <w:p>
      <w:pPr>
        <w:spacing w:after="0" w:line="6"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4"/>
          <w:szCs w:val="14"/>
          <w:b w:val="1"/>
          <w:bCs w:val="1"/>
          <w:u w:val="single" w:color="auto"/>
          <w:color w:val="auto"/>
        </w:rPr>
        <w:t>(assuming positive TSR and at or above median of peer group)</w:t>
      </w:r>
    </w:p>
    <w:p>
      <w:pPr>
        <w:spacing w:after="0" w:line="16"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10%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7"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15% or greater</w:t>
      </w:r>
    </w:p>
    <w:p>
      <w:pPr>
        <w:spacing w:after="0" w:line="3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2023 PRSU Grant TSR Performance Certification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Additional Percentage of the Target Number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 Units that Vest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0%</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50%</w:t>
      </w:r>
    </w:p>
    <w:p>
      <w:pPr>
        <w:spacing w:after="0" w:line="638" w:lineRule="exact"/>
        <w:rPr>
          <w:sz w:val="20"/>
          <w:szCs w:val="20"/>
          <w:color w:val="auto"/>
        </w:rPr>
      </w:pPr>
    </w:p>
    <w:p>
      <w:pPr>
        <w:sectPr>
          <w:pgSz w:w="11900" w:h="16838" w:orient="portrait"/>
          <w:cols w:equalWidth="0" w:num="2">
            <w:col w:w="7400" w:space="720"/>
            <w:col w:w="2900"/>
          </w:cols>
          <w:pgMar w:left="440" w:top="297" w:right="439" w:bottom="1440" w:gutter="0" w:footer="0" w:header="0"/>
          <w:type w:val="continuous"/>
        </w:sectPr>
      </w:pPr>
    </w:p>
    <w:p>
      <w:pPr>
        <w:ind w:right="40" w:firstLine="440"/>
        <w:spacing w:after="0" w:line="230" w:lineRule="auto"/>
        <w:rPr>
          <w:sz w:val="20"/>
          <w:szCs w:val="20"/>
          <w:color w:val="auto"/>
        </w:rPr>
      </w:pPr>
      <w:r>
        <w:rPr>
          <w:rFonts w:ascii="Times New Roman" w:cs="Times New Roman" w:eastAsia="Times New Roman" w:hAnsi="Times New Roman"/>
          <w:sz w:val="18"/>
          <w:szCs w:val="18"/>
          <w:color w:val="auto"/>
        </w:rPr>
        <w:t>In February 2026, the Compensation Committee certified the relative TSR performance for PRSUs granted in 2023 for the three-year period from February 1, 2023 through January 31, 2026. The Compensation Committee certified the Company’s TSR performance over this period at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peer group. As a result, 100% of the target number for PRSUs granted in 2023 was earned. No additional PRSUs were earned under the Revenue CAGR metric for these awards.</w:t>
      </w:r>
    </w:p>
    <w:p>
      <w:pPr>
        <w:spacing w:after="0" w:line="3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of Control Benefits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Employment of our executive officers is “at will.” Prior to our initial public offering, we entered into severance and change of control agreements with Dr. Wang and Messrs. Kohn, Lee, and Ju, pursuant to which they are entitled to receive compensation and other benefits in connection with certain terminations of employment and terminations of employment in connection with a change of control event. Following his appointment as Chief Financial Officer, we entered into a change of control agreement with Mr. Young in substantially the same form as Dr. Wang’s and Mr. Kohn’s agreement, except without a tax “gross-up” provision. In 2025, we made some clarifications to specific non-economic terms of the severance and change of control agreements, other than for Dr. Wang and Mr. Kohn, to provide for more consistency across the NEOs with regard to the definition of a “good reason” is resignation.</w:t>
      </w:r>
    </w:p>
    <w:p>
      <w:pPr>
        <w:spacing w:after="0" w:line="18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Our goal in providing certain severance and change of control benefits is to offer sufficient cash continuity protection such that the executive will focus his full time and attention on the requirements of our business rather</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97" w:right="439" w:bottom="1440" w:gutter="0" w:footer="0" w:header="0"/>
          <w:type w:val="continuous"/>
        </w:sectPr>
      </w:pPr>
    </w:p>
    <w:bookmarkStart w:id="45" w:name="page46"/>
    <w:bookmarkEnd w:id="45"/>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than the potential implications for his respective position. We prefer to have certainty and internal parity regarding the potential severance amounts payable to our NEOs under certain circumstances, rather than negotiating severance at the time that an NEO’s employment terminates. We have also determined that accelerated vesting provisions are appropriate because they will encourage our NEOs to stay focused on our business in such circumstances, rather than focus on the potential implications for them.</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agreements are described in more detail below under “Employment, Severance and Change of Control Arrangements.”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Broad Based Employee Benefits</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our employees is an important factor in attracting and retaining highly qualified personnel. Each NEO is eligible to participate in all of our employee benefit plans generally applicable to employees on a broad basis in the country in which the executive is located. Our U.S.-based NEOs are eligible to participate in our U.S.-based employee benefits plans, such as medical, dental, disability, vision, group life and accidental death and dismemberment insurance, our patent incentive program and our 401(k) plan, in each case on the same basis as other U.S.-based salaried employees. Mr. Ju has received an allowance for housing in Taiwan near our Taiwan office to facilitate his ability to work efficiently when traveling to such office.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than the broad-based benefits and limited perquisites described above, we do not offer any perquisites to our NEOs.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Anti-hedging and Anti-pledging</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Under our insider trading policy, all of our directors and executive officers, including all of our NEOs, are prohibited from any hedging or similar transactions designed to decrease the risks associated with holding our securities. In addition, our NEOs may not pledge our securities as collateral for loans.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0"/>
          </w:cols>
          <w:pgMar w:left="440" w:top="297" w:right="53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 Ownership Guidelines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We have established stock ownership guidelines applicable to our NEOs and non-employee directors. The guidelines promote share ownership by requiring NEOs and non-employee directors to attain and maintain a minimum share ownership level equal to a multiple of his or her base salary or annual cash retainer. The required ownership levels under the guidelines are as follows: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3180" w:type="dxa"/>
            <w:vAlign w:val="bottom"/>
          </w:tcPr>
          <w:p>
            <w:pPr>
              <w:spacing w:after="0"/>
              <w:rPr>
                <w:sz w:val="15"/>
                <w:szCs w:val="15"/>
                <w:color w:val="auto"/>
              </w:rPr>
            </w:pPr>
          </w:p>
        </w:tc>
        <w:tc>
          <w:tcPr>
            <w:tcW w:w="3120" w:type="dxa"/>
            <w:vAlign w:val="bottom"/>
            <w:gridSpan w:val="4"/>
          </w:tcPr>
          <w:p>
            <w:pPr>
              <w:ind w:left="1320"/>
              <w:spacing w:after="0"/>
              <w:rPr>
                <w:sz w:val="20"/>
                <w:szCs w:val="20"/>
                <w:color w:val="auto"/>
              </w:rPr>
            </w:pPr>
            <w:r>
              <w:rPr>
                <w:rFonts w:ascii="Times New Roman" w:cs="Times New Roman" w:eastAsia="Times New Roman" w:hAnsi="Times New Roman"/>
                <w:sz w:val="14"/>
                <w:szCs w:val="14"/>
                <w:b w:val="1"/>
                <w:bCs w:val="1"/>
                <w:color w:val="auto"/>
              </w:rPr>
              <w:t>Ownership Requirement</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3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w:t>
            </w:r>
          </w:p>
        </w:tc>
        <w:tc>
          <w:tcPr>
            <w:tcW w:w="318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5x</w:t>
            </w:r>
          </w:p>
        </w:tc>
        <w:tc>
          <w:tcPr>
            <w:tcW w:w="16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Annual Base Salary</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Named Executive Officers</w:t>
            </w:r>
          </w:p>
        </w:tc>
        <w:tc>
          <w:tcPr>
            <w:tcW w:w="15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w w:val="99"/>
              </w:rPr>
              <w:t>3x</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Base Salary</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Non-Employee Director</w:t>
            </w:r>
          </w:p>
        </w:tc>
        <w:tc>
          <w:tcPr>
            <w:tcW w:w="15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w w:val="99"/>
              </w:rPr>
              <w:t>5x</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Annual Cash Retainer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The following equity holdings qualify towards satisfaction of the ownership guidelines: shares owned directly or indirectly by the officer or non-employee director, shares underlying stock options to the extent vested (less the value of the exercise price applicable to such options), and shares underlying restricted stock and other full value awards to the extent vested or that are unvested and for which the only requirement to earn the award is continued service. Shares underlying PRSUs are not included in determining ownership under these guidelines. Should any NEO or non-employee director not satisfy the stock ownership guidelines such NEO or non-employee director must retain at least 50% of any net shares derived from vested restricted stock or restricted stock units, exercised stock options or stock purchase plan holdings until his or her guideline is met. As of January 31, 2026, all of our NEOs and non-employee directors satisfied their equity ownership requirements.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Our Board first adopted an Executive Compensation Clawback Policy in fiscal year 2017. Under the policy, if we are required to prepare an accounting restatement due to material noncompliance with any financial reporting requirements under the securities laws caused by misconduct, we can seek recoupment from current or former NEOs who participated in the misconduct of an amount corresponding to any performance-based compensation (including any annual bonus or equity-based awards) that the Company determines would not have been granted, vested or paid had the Company’s results as originally reported been equal to the Company’s results as subsequently restated. The policy applies to incentive compensation granted for fiscal years commencing after January 31, 2017.</w:t>
      </w:r>
    </w:p>
    <w:p>
      <w:pPr>
        <w:spacing w:after="0" w:line="18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In November 2023, we adopted a Compensation Recovery Policy designed to comply with the recently adopted Exchange Act rules and Nasdaq listing standards. Pursuant to this policy, in the event that the Company is required to restate its audited financial statements due to material noncompliance with any financial reporting requirement under the securities laws, each current or former executive officer participant shall be required to immediately repay the Company any performance-based compensation, which includes awards under our bonus plan and settlement of any PRSUs, they received during the three completed fiscal years period preceding the date upon which the Company concludes, or reasonably should have concluded, that it is required to prepare, or is directed by a legally authorized body to prepare, the restatement that is in excess of what would have been paid to the executive officer participant under the restated financial statement. The policy applies to incentive compensation received after October 2, 2023.</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Practices Related to the Grant of Equity Awards</w:t>
      </w:r>
    </w:p>
    <w:p>
      <w:pPr>
        <w:spacing w:after="0" w:line="121"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We typically do not grant stock options or similar awards as part of our standard equity compensation programs. We do not schedule equity award grants in anticipation of the release of material non-public information, nor do we time the release of material non-public information for the purpose of affecting the value of executive compensation. Our policy is to generally grant equity awards, including awards to executive officers, employees and non-employee directors, effective as of the close of market on the second trading day following the release of our quarterly earnings results.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93"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Considerations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Deduction Limitation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162(m) of the U.S. Internal Revenue Code of 1986, as amended, or the Internal Revenue Code generally disallows a tax deduction for compensation in excess of $1.0 million paid to our CEO, CFO and certain other employees including our NEOs. While the Board and our Compensation Committee generally consider the financial accounting and tax implications of compensation decisions, neither element has been a material consideration in the compensation awarded to our NEOs historically. To maintain flexibility in compensating our executive officers in a manner designed to achieve our corporate objectives, the Board and Compensation Committee do not require that all compensation be deductible.</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follow FASB ASC Topic 718, Compensation—Stock Compensation, for our stock-based compensation awards. FASB ASC Topic 718 requires us to measure the compensation expense for all share-based payments made to our employees and the members of our Board based on the grant date “fair value” of these awards. This calculation is performed for financial accounting purposes and reported in the compensation tables below, even though recipients may never realize any value from their awards. FASB ASC Topic 718 also requires us to recognize the compensation cost of our share-based compensation awards in our income statements over the requisite employee service period.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8" w:name="page49"/>
    <w:bookmarkEnd w:id="48"/>
    <w:p>
      <w:pPr>
        <w:jc w:val="center"/>
        <w:ind w:right="-2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COMMITTEE REPORT</w:t>
      </w:r>
      <w:r>
        <w:rPr>
          <w:rFonts w:ascii="Times New Roman" w:cs="Times New Roman" w:eastAsia="Times New Roman" w:hAnsi="Times New Roman"/>
          <w:sz w:val="26"/>
          <w:szCs w:val="26"/>
          <w:b w:val="1"/>
          <w:bCs w:val="1"/>
          <w:color w:val="auto"/>
          <w:vertAlign w:val="superscript"/>
        </w:rPr>
        <w:t>2</w:t>
      </w:r>
    </w:p>
    <w:p>
      <w:pPr>
        <w:spacing w:after="0" w:line="137"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contained in this Proxy Statement with Ambarella’s management. Based on this review and discussion, the Compensation Committee has recommended to the Board of Directors that the Compensation Discussion and Analysis be included in Ambarella’s Proxy Statement.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Jeffrey Richardson (Chairman)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Gregory M. Bryant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Hsiao-Wuen Hon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Chenming C. Hu</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left="4" w:right="140"/>
        <w:spacing w:after="0" w:line="272" w:lineRule="auto"/>
        <w:rPr>
          <w:sz w:val="20"/>
          <w:szCs w:val="20"/>
          <w:color w:val="auto"/>
        </w:rPr>
      </w:pPr>
      <w:r>
        <w:rPr>
          <w:rFonts w:ascii="Times New Roman" w:cs="Times New Roman" w:eastAsia="Times New Roman" w:hAnsi="Times New Roman"/>
          <w:sz w:val="17"/>
          <w:szCs w:val="17"/>
          <w:color w:val="auto"/>
        </w:rPr>
        <w:t>Our Compensation Committee assesses and considers potential risks when considering and approving the compensation programs for our executive officers and employees. Based upon this assessment, we believe our compensation programs are structured in a manner that does not create risks reasonably likely to have a material adverse effect on us in the future. Our Compensation Committee retains oversight of all compensation decisions relating to our executive officers. Our compensation programs are designed with features to address potential risks while rewarding employees and executives for achieving financial and corporate objectives. The primary component of executive incentive compensation is equity awards with multiple-year vesting, which are intended to encourage long-term growth and appreciation in the value of our business and reduce the incentive for executives and other employees to take risks that might increase short-term compensation at the expense of long-term Company performance and results. In addition, the total amount of performance-based cash incentives is capped. Moreover, we do not offer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715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5" w:lineRule="exact"/>
        <w:rPr>
          <w:sz w:val="20"/>
          <w:szCs w:val="20"/>
          <w:color w:val="auto"/>
        </w:rPr>
      </w:pPr>
    </w:p>
    <w:p>
      <w:pPr>
        <w:ind w:left="224" w:hanging="224"/>
        <w:spacing w:after="0" w:line="227" w:lineRule="auto"/>
        <w:tabs>
          <w:tab w:leader="none" w:pos="224" w:val="left"/>
        </w:tabs>
        <w:numPr>
          <w:ilvl w:val="0"/>
          <w:numId w:val="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by Ambarella under the Securities Act of 1933, as amended, or the Securities Exchange Act of 1934, as amended, other than Ambarella’s Annual Report on Form 10-K, where it shall be deemed to be “furnished,” whether made before or after the date hereof and irrespective of any general incorporation language contained in such filing.</w:t>
      </w:r>
    </w:p>
    <w:p>
      <w:pPr>
        <w:spacing w:after="0" w:line="132"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24"/>
          </w:cols>
          <w:pgMar w:left="436" w:top="293" w:right="639" w:bottom="1440" w:gutter="0" w:footer="0" w:header="0"/>
        </w:sectPr>
      </w:pPr>
    </w:p>
    <w:bookmarkStart w:id="49" w:name="page50"/>
    <w:bookmarkEnd w:id="4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Summary Compensation Table for Fiscal Year 2026</w:t>
      </w:r>
    </w:p>
    <w:p>
      <w:pPr>
        <w:spacing w:after="0" w:line="121"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compensation that we paid or was earned by our chief executive officer, our chief financial officer, and each of our three most highly compensated executive officers during the 2026 fiscal year, which began February 1, 2025 and ended January 31, 2026. We refer to these executive officers in this Proxy Statement as our “named executive officers” (or “NEOs”).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2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8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2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Feng Ming (Fermi) Wang,</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2026</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575,000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5,933,330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846,000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7,354,330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gridSpan w:val="2"/>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Chairman of the Board of Directors, President and Chief</w:t>
            </w:r>
          </w:p>
        </w:tc>
        <w:tc>
          <w:tcPr>
            <w:tcW w:w="900" w:type="dxa"/>
            <w:vAlign w:val="bottom"/>
            <w:gridSpan w:val="3"/>
            <w:shd w:val="clear" w:color="auto" w:fill="CCEEFF"/>
          </w:tcPr>
          <w:p>
            <w:pPr>
              <w:ind w:left="28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2"/>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504,900</w:t>
            </w:r>
          </w:p>
        </w:tc>
        <w:tc>
          <w:tcPr>
            <w:tcW w:w="1060" w:type="dxa"/>
            <w:vAlign w:val="bottom"/>
            <w:gridSpan w:val="2"/>
            <w:shd w:val="clear" w:color="auto" w:fill="CCEEFF"/>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6,353,359</w:t>
            </w:r>
          </w:p>
        </w:tc>
        <w:tc>
          <w:tcPr>
            <w:tcW w:w="1160" w:type="dxa"/>
            <w:vAlign w:val="bottom"/>
            <w:gridSpan w:val="2"/>
            <w:shd w:val="clear" w:color="auto" w:fill="CCEEFF"/>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619,007</w:t>
            </w:r>
          </w:p>
        </w:tc>
        <w:tc>
          <w:tcPr>
            <w:tcW w:w="1160" w:type="dxa"/>
            <w:vAlign w:val="bottom"/>
            <w:gridSpan w:val="2"/>
            <w:shd w:val="clear" w:color="auto" w:fill="CCEEFF"/>
          </w:tcPr>
          <w:p>
            <w:pPr>
              <w:ind w:left="6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7,477,266</w:t>
            </w:r>
          </w:p>
        </w:tc>
        <w:tc>
          <w:tcPr>
            <w:tcW w:w="0" w:type="dxa"/>
            <w:vAlign w:val="bottom"/>
          </w:tcPr>
          <w:p>
            <w:pPr>
              <w:spacing w:after="0"/>
              <w:rPr>
                <w:sz w:val="1"/>
                <w:szCs w:val="1"/>
                <w:color w:val="auto"/>
              </w:rPr>
            </w:pPr>
          </w:p>
        </w:tc>
      </w:tr>
      <w:tr>
        <w:trPr>
          <w:trHeight w:val="250"/>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561,000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5,050,710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196,350</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5,808,060</w:t>
            </w:r>
          </w:p>
        </w:tc>
        <w:tc>
          <w:tcPr>
            <w:tcW w:w="0" w:type="dxa"/>
            <w:vAlign w:val="bottom"/>
          </w:tcPr>
          <w:p>
            <w:pPr>
              <w:spacing w:after="0"/>
              <w:rPr>
                <w:sz w:val="1"/>
                <w:szCs w:val="1"/>
                <w:color w:val="auto"/>
              </w:rPr>
            </w:pPr>
          </w:p>
        </w:tc>
      </w:tr>
      <w:tr>
        <w:trPr>
          <w:trHeight w:val="30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388,592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2,966,665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395,000</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3,750,257</w:t>
            </w:r>
          </w:p>
        </w:tc>
        <w:tc>
          <w:tcPr>
            <w:tcW w:w="0" w:type="dxa"/>
            <w:vAlign w:val="bottom"/>
          </w:tcPr>
          <w:p>
            <w:pPr>
              <w:spacing w:after="0"/>
              <w:rPr>
                <w:sz w:val="1"/>
                <w:szCs w:val="1"/>
                <w:color w:val="auto"/>
              </w:rPr>
            </w:pPr>
          </w:p>
        </w:tc>
      </w:tr>
      <w:tr>
        <w:trPr>
          <w:trHeight w:val="21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Advisor and</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356,748</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3,375,667</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340,025</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4,072,440</w:t>
            </w:r>
          </w:p>
        </w:tc>
        <w:tc>
          <w:tcPr>
            <w:tcW w:w="0" w:type="dxa"/>
            <w:vAlign w:val="bottom"/>
          </w:tcPr>
          <w:p>
            <w:pPr>
              <w:spacing w:after="0"/>
              <w:rPr>
                <w:sz w:val="1"/>
                <w:szCs w:val="1"/>
                <w:color w:val="auto"/>
              </w:rPr>
            </w:pPr>
          </w:p>
        </w:tc>
      </w:tr>
      <w:tr>
        <w:trPr>
          <w:trHeight w:val="236"/>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Technology Officer and Director (4)</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375,524</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2,683,476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98,575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3,159,075</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Young</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310,440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1,878,888</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2,489,328</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Officer(5)</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300,000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3,973,269</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260,362</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4,533,631</w:t>
            </w:r>
          </w:p>
        </w:tc>
        <w:tc>
          <w:tcPr>
            <w:tcW w:w="0" w:type="dxa"/>
            <w:vAlign w:val="bottom"/>
          </w:tcPr>
          <w:p>
            <w:pPr>
              <w:spacing w:after="0"/>
              <w:rPr>
                <w:sz w:val="1"/>
                <w:szCs w:val="1"/>
                <w:color w:val="auto"/>
              </w:rPr>
            </w:pPr>
          </w:p>
        </w:tc>
      </w:tr>
      <w:tr>
        <w:trPr>
          <w:trHeight w:val="30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352,176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2,768,888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395,000</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3,516,064</w:t>
            </w:r>
          </w:p>
        </w:tc>
        <w:tc>
          <w:tcPr>
            <w:tcW w:w="0" w:type="dxa"/>
            <w:vAlign w:val="bottom"/>
          </w:tcPr>
          <w:p>
            <w:pPr>
              <w:spacing w:after="0"/>
              <w:rPr>
                <w:sz w:val="1"/>
                <w:szCs w:val="1"/>
                <w:color w:val="auto"/>
              </w:rPr>
            </w:pPr>
          </w:p>
        </w:tc>
      </w:tr>
      <w:tr>
        <w:trPr>
          <w:trHeight w:val="218"/>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323,316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3,148,944</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306,880</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3,779,140</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340,332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2,521,994</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89,337</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2,932,880</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321,865</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1,878,888</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320,000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2,523,753</w:t>
            </w:r>
          </w:p>
        </w:tc>
        <w:tc>
          <w:tcPr>
            <w:tcW w:w="0" w:type="dxa"/>
            <w:vAlign w:val="bottom"/>
          </w:tcPr>
          <w:p>
            <w:pPr>
              <w:spacing w:after="0"/>
              <w:rPr>
                <w:sz w:val="1"/>
                <w:szCs w:val="1"/>
                <w:color w:val="auto"/>
              </w:rPr>
            </w:pPr>
          </w:p>
        </w:tc>
      </w:tr>
      <w:tr>
        <w:trPr>
          <w:trHeight w:val="198"/>
        </w:trPr>
        <w:tc>
          <w:tcPr>
            <w:tcW w:w="49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i w:val="1"/>
                <w:iCs w:val="1"/>
                <w:color w:val="auto"/>
              </w:rPr>
              <w:t>Senior Vice President, Systems</w:t>
            </w:r>
          </w:p>
        </w:tc>
        <w:tc>
          <w:tcPr>
            <w:tcW w:w="900" w:type="dxa"/>
            <w:vAlign w:val="bottom"/>
            <w:gridSpan w:val="3"/>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295,489</w:t>
            </w:r>
          </w:p>
        </w:tc>
        <w:tc>
          <w:tcPr>
            <w:tcW w:w="106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2,199,170</w:t>
            </w:r>
          </w:p>
        </w:tc>
        <w:tc>
          <w:tcPr>
            <w:tcW w:w="116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268,020</w:t>
            </w:r>
          </w:p>
        </w:tc>
        <w:tc>
          <w:tcPr>
            <w:tcW w:w="116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40,000</w:t>
            </w:r>
          </w:p>
        </w:tc>
        <w:tc>
          <w:tcPr>
            <w:tcW w:w="84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2,802,639</w:t>
            </w:r>
          </w:p>
        </w:tc>
        <w:tc>
          <w:tcPr>
            <w:tcW w:w="0" w:type="dxa"/>
            <w:vAlign w:val="bottom"/>
          </w:tcPr>
          <w:p>
            <w:pPr>
              <w:spacing w:after="0"/>
              <w:rPr>
                <w:sz w:val="1"/>
                <w:szCs w:val="1"/>
                <w:color w:val="auto"/>
              </w:rPr>
            </w:pPr>
          </w:p>
        </w:tc>
      </w:tr>
      <w:tr>
        <w:trPr>
          <w:trHeight w:val="248"/>
        </w:trPr>
        <w:tc>
          <w:tcPr>
            <w:tcW w:w="1760" w:type="dxa"/>
            <w:vAlign w:val="bottom"/>
            <w:shd w:val="clear" w:color="auto" w:fill="CCEEFF"/>
          </w:tcPr>
          <w:p>
            <w:pPr>
              <w:spacing w:after="0"/>
              <w:rPr>
                <w:sz w:val="21"/>
                <w:szCs w:val="21"/>
                <w:color w:val="auto"/>
              </w:rPr>
            </w:pPr>
          </w:p>
        </w:tc>
        <w:tc>
          <w:tcPr>
            <w:tcW w:w="32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311,041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1,748,295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70,762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2,170,098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40" w:hanging="424"/>
        <w:spacing w:after="0" w:line="253"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in this column include aggregate grant date fair values of the RSUs and PRSUs granted in fiscal year 2026, calculated pursuant to FASB ASC Topic 718. These grant date fair values have been determined based on the assumptions described under Note 12 of our financial statements included in our Annual Report on Form 10-K for the year ended January 31, 2026, as filed with the SEC on March 23, 2026. As these values reflect the aggregate grant date fair value in accordance with ASC Topic 718, they do not necessarily correspond to the actual value, if any, that may be realized by the named executive officers. The grant date fair values of the RSUs are determined based on the fair market value of our ordinary shares on the grant date. The grant date fair values of the PRSUs were calculated based on the application of a Monte Carlo simulation model to determine the probable outcomes of the market-based performance conditions. The grant date fair values of the PRSUs do not correspond to the actual values that may be recognized by the holders of these awards, which may be higher or lower based on a number of factors, including Ambarella’s performance, the performance of certain semiconductor companies included in the Russell 2000 Index, and the satisfaction of applicable time-based vesting conditions. Since certain vesting conditions related to the PRSUs are considered market conditions and not performance conditions pursuant to FASB ASC Topic 718, maximum grant date fair values are not provided in this column. The vesting conditions and other terms of the PRSUs are discussed in more detail in the tables entitled “Grants of Plan-Based Awards in Fiscal Year 2026” and “Outstanding Equity Awards at 2026 Fiscal Year End” and in “Compensation Discussion and Analysis.”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4"/>
          </w:cols>
          <w:pgMar w:left="436" w:top="293" w:right="439" w:bottom="1440" w:gutter="0" w:footer="0" w:header="0"/>
        </w:sectPr>
      </w:pPr>
    </w:p>
    <w:bookmarkStart w:id="50" w:name="page51"/>
    <w:bookmarkEnd w:id="50"/>
    <w:p>
      <w:pPr>
        <w:ind w:left="444" w:right="5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table below sets forth the maximum grant date fair values of the PRSUs granted to Ambarella’s NEOs in fiscal year 2026 assuming all performance conditions are achieved at maximum levels and based upon the fair market value of the awards on the date of grant:</w:t>
      </w:r>
    </w:p>
    <w:p>
      <w:pPr>
        <w:spacing w:after="0" w:line="17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80" w:type="dxa"/>
            <w:vAlign w:val="bottom"/>
            <w:vMerge w:val="restart"/>
          </w:tcPr>
          <w:p>
            <w:pPr>
              <w:spacing w:after="0"/>
              <w:rPr>
                <w:sz w:val="13"/>
                <w:szCs w:val="13"/>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5"/>
                <w:szCs w:val="15"/>
                <w:color w:val="auto"/>
              </w:rPr>
            </w:pPr>
          </w:p>
        </w:tc>
        <w:tc>
          <w:tcPr>
            <w:tcW w:w="1340" w:type="dxa"/>
            <w:vAlign w:val="bottom"/>
            <w:gridSpan w:val="2"/>
          </w:tcPr>
          <w:p>
            <w:pPr>
              <w:ind w:left="360"/>
              <w:spacing w:after="0" w:line="160" w:lineRule="exact"/>
              <w:rPr>
                <w:sz w:val="20"/>
                <w:szCs w:val="20"/>
                <w:color w:val="auto"/>
              </w:rPr>
            </w:pPr>
            <w:r>
              <w:rPr>
                <w:rFonts w:ascii="Times New Roman" w:cs="Times New Roman" w:eastAsia="Times New Roman" w:hAnsi="Times New Roman"/>
                <w:sz w:val="14"/>
                <w:szCs w:val="14"/>
                <w:b w:val="1"/>
                <w:bCs w:val="1"/>
                <w:color w:val="auto"/>
              </w:rPr>
              <w:t>Value ($)</w:t>
            </w:r>
          </w:p>
        </w:tc>
        <w:tc>
          <w:tcPr>
            <w:tcW w:w="0" w:type="dxa"/>
            <w:vAlign w:val="bottom"/>
          </w:tcPr>
          <w:p>
            <w:pPr>
              <w:spacing w:after="0"/>
              <w:rPr>
                <w:sz w:val="1"/>
                <w:szCs w:val="1"/>
                <w:color w:val="auto"/>
              </w:rPr>
            </w:pPr>
          </w:p>
        </w:tc>
      </w:tr>
      <w:tr>
        <w:trPr>
          <w:trHeight w:val="190"/>
        </w:trPr>
        <w:tc>
          <w:tcPr>
            <w:tcW w:w="5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Fermi Wang</w:t>
            </w: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97,800</w:t>
            </w:r>
          </w:p>
        </w:tc>
        <w:tc>
          <w:tcPr>
            <w:tcW w:w="7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7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6,007,854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Leslie Kohn</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48,900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3,003,927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Young</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30,970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1,902,487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 Lee</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45,640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2,803,665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Ju</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30,970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1,902,487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260" w:hanging="424"/>
        <w:spacing w:after="0" w:line="261"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performance-based bonuses paid to our executive officers for performance for the fiscal years ended January 31, 2026, 2025 and 2024, which were paid in fully-vested stock awards.</w:t>
      </w:r>
    </w:p>
    <w:p>
      <w:pPr>
        <w:ind w:left="424" w:right="100" w:hanging="424"/>
        <w:spacing w:after="0" w:line="250"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payments made under our patent incentive program to Mr. Kohn and Mr. Ju. For Mr. Ju, also reflects an allowance for housing in Taiwan near our Taiwan office in fiscal years 2024 and 2025.</w:t>
      </w:r>
    </w:p>
    <w:p>
      <w:pPr>
        <w:ind w:left="424" w:right="120" w:hanging="424"/>
        <w:spacing w:after="0" w:line="250"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Kohn voluntarily resigned from his roles as a member of the Board of Directors and an executive officer, effective November 24, 2025. He is currently serving as Chief Technology Advisor of the Company.</w:t>
      </w:r>
    </w:p>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Young was appointed Chief Financial Officer, and an executive officer, effective February 1, 2024.</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Year 2026</w:t>
      </w:r>
    </w:p>
    <w:p>
      <w:pPr>
        <w:spacing w:after="0" w:line="121" w:lineRule="exact"/>
        <w:rPr>
          <w:sz w:val="20"/>
          <w:szCs w:val="20"/>
          <w:color w:val="auto"/>
        </w:rPr>
      </w:pPr>
    </w:p>
    <w:p>
      <w:pPr>
        <w:ind w:left="4" w:right="124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shows, for each of the NEOs, certain information concerning all plan-based awards made in fiscal year ended January 31, 2026. This information supplements the information about these awards set forth in the Summary Compensation Table.</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gridSpan w:val="7"/>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 Future Payout</w:t>
            </w:r>
          </w:p>
        </w:tc>
        <w:tc>
          <w:tcPr>
            <w:tcW w:w="256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60" w:type="dxa"/>
            <w:vAlign w:val="bottom"/>
            <w:gridSpan w:val="7"/>
            <w:vMerge w:val="continue"/>
          </w:tcPr>
          <w:p>
            <w:pPr>
              <w:spacing w:after="0"/>
              <w:rPr>
                <w:sz w:val="5"/>
                <w:szCs w:val="5"/>
                <w:color w:val="auto"/>
              </w:rPr>
            </w:pPr>
          </w:p>
        </w:tc>
        <w:tc>
          <w:tcPr>
            <w:tcW w:w="2560" w:type="dxa"/>
            <w:vAlign w:val="bottom"/>
            <w:gridSpan w:val="6"/>
            <w:vMerge w:val="continue"/>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60" w:type="dxa"/>
            <w:vAlign w:val="bottom"/>
            <w:gridSpan w:val="7"/>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2560" w:type="dxa"/>
            <w:vAlign w:val="bottom"/>
            <w:gridSpan w:val="6"/>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Incentive Plan</w:t>
            </w:r>
          </w:p>
        </w:tc>
        <w:tc>
          <w:tcPr>
            <w:tcW w:w="92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60" w:type="dxa"/>
            <w:vAlign w:val="bottom"/>
            <w:gridSpan w:val="7"/>
            <w:vMerge w:val="continue"/>
          </w:tcPr>
          <w:p>
            <w:pPr>
              <w:spacing w:after="0"/>
              <w:rPr>
                <w:sz w:val="5"/>
                <w:szCs w:val="5"/>
                <w:color w:val="auto"/>
              </w:rPr>
            </w:pPr>
          </w:p>
        </w:tc>
        <w:tc>
          <w:tcPr>
            <w:tcW w:w="2560" w:type="dxa"/>
            <w:vAlign w:val="bottom"/>
            <w:gridSpan w:val="6"/>
            <w:vMerge w:val="continue"/>
          </w:tcPr>
          <w:p>
            <w:pPr>
              <w:spacing w:after="0"/>
              <w:rPr>
                <w:sz w:val="5"/>
                <w:szCs w:val="5"/>
                <w:color w:val="auto"/>
              </w:rPr>
            </w:pPr>
          </w:p>
        </w:tc>
        <w:tc>
          <w:tcPr>
            <w:tcW w:w="9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3"/>
            <w:vMerge w:val="continue"/>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vMerge w:val="continue"/>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 or</w:t>
            </w:r>
          </w:p>
        </w:tc>
        <w:tc>
          <w:tcPr>
            <w:tcW w:w="8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40" w:type="dxa"/>
            <w:vAlign w:val="bottom"/>
          </w:tcPr>
          <w:p>
            <w:pPr>
              <w:spacing w:after="0"/>
              <w:rPr>
                <w:sz w:val="3"/>
                <w:szCs w:val="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20" w:type="dxa"/>
            <w:vAlign w:val="bottom"/>
            <w:gridSpan w:val="2"/>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4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24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62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3"/>
                <w:szCs w:val="13"/>
                <w:color w:val="auto"/>
              </w:rPr>
            </w:pPr>
          </w:p>
        </w:tc>
        <w:tc>
          <w:tcPr>
            <w:tcW w:w="800" w:type="dxa"/>
            <w:vAlign w:val="bottom"/>
            <w:gridSpan w:val="2"/>
          </w:tcPr>
          <w:p>
            <w:pPr>
              <w:jc w:val="center"/>
              <w:ind w:left="56"/>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3"/>
                <w:szCs w:val="13"/>
                <w:color w:val="auto"/>
              </w:rPr>
            </w:pPr>
          </w:p>
        </w:tc>
        <w:tc>
          <w:tcPr>
            <w:tcW w:w="64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tcPr>
          <w:p>
            <w:pPr>
              <w:spacing w:after="0"/>
              <w:rPr>
                <w:sz w:val="13"/>
                <w:szCs w:val="13"/>
                <w:color w:val="auto"/>
              </w:rPr>
            </w:pPr>
          </w:p>
        </w:tc>
        <w:tc>
          <w:tcPr>
            <w:tcW w:w="620" w:type="dxa"/>
            <w:vAlign w:val="bottom"/>
          </w:tcPr>
          <w:p>
            <w:pPr>
              <w:jc w:val="right"/>
              <w:ind w:right="58"/>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3"/>
                <w:szCs w:val="13"/>
                <w:color w:val="auto"/>
              </w:rPr>
            </w:pPr>
          </w:p>
        </w:tc>
        <w:tc>
          <w:tcPr>
            <w:tcW w:w="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3"/>
                <w:szCs w:val="13"/>
                <w:color w:val="auto"/>
              </w:rPr>
            </w:pPr>
          </w:p>
        </w:tc>
        <w:tc>
          <w:tcPr>
            <w:tcW w:w="66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3"/>
                <w:szCs w:val="13"/>
                <w:color w:val="auto"/>
              </w:rPr>
            </w:pPr>
          </w:p>
        </w:tc>
        <w:tc>
          <w:tcPr>
            <w:tcW w:w="68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4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20"/>
        </w:trPr>
        <w:tc>
          <w:tcPr>
            <w:tcW w:w="2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Fermi Wang</w:t>
            </w: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2/28/2025</w:t>
            </w:r>
          </w:p>
        </w:tc>
        <w:tc>
          <w:tcPr>
            <w:tcW w:w="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70"/>
              </w:rPr>
              <w:t>0</w:t>
            </w:r>
          </w:p>
        </w:tc>
        <w:tc>
          <w:tcPr>
            <w:tcW w:w="10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575,000</w:t>
            </w:r>
          </w:p>
        </w:tc>
        <w:tc>
          <w:tcPr>
            <w:tcW w:w="2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958,525</w:t>
            </w:r>
          </w:p>
        </w:tc>
        <w:tc>
          <w:tcPr>
            <w:tcW w:w="2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39,120</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2,403,142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2/28/2025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39,120</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97,800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3,530,142</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291,444</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485,837</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2/28/2025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19,560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1,201,571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2/28/2025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19,560</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48,900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1,765,094</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Young</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217,308</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362,252</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2/28/2025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12,388</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760,995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2/28/2025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12,388</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30,970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1,117,893</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264,132</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440,308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2/28/2025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18,256</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1,121,466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2/28/2025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18,256</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45,640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1,647,421</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Ju</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209,212</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348,756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2/28/2025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12,388</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760,995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2/28/2025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12,388</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30,970</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60" w:hanging="424"/>
        <w:spacing w:after="0" w:line="266"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non-equity incentive plan awards, and how they were determined, are based upon a structure that includes some discretion as to amounts paid to each NEO, as discussed above in “Compensation Discussion and Analysis.” The amounts listed in this table represent the threshold, target and maximum amounts that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4"/>
          </w:cols>
          <w:pgMar w:left="436" w:top="297" w:right="439" w:bottom="1440" w:gutter="0" w:footer="0" w:header="0"/>
        </w:sectPr>
      </w:pPr>
    </w:p>
    <w:bookmarkStart w:id="51" w:name="page52"/>
    <w:bookmarkEnd w:id="51"/>
    <w:p>
      <w:pPr>
        <w:ind w:left="42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would have been earned under the fiscal year 2026 annual bonus plan assuming each NEO received their bonus target amount. No amounts are earned for failure to achieve any of the threshold revenue, operating profit before bonus or strategic objectives goals. The actual percentage of the bonus pool allocated to each individual is determined following completion of the fiscal year based on a variety of factors, including historical allocation, the executive’s individual contributions and retention considerations, as well as taking into consideration the CEO’s recommendations. The actual allocation of the bonus pool paid to our NEOs for fiscal year 2026 is reflected in the “Summary Compensation Table” above and in the “Compensation Discussion and Analysis.”</w:t>
      </w:r>
    </w:p>
    <w:p>
      <w:pPr>
        <w:spacing w:after="0" w:line="5" w:lineRule="exact"/>
        <w:rPr>
          <w:sz w:val="20"/>
          <w:szCs w:val="20"/>
          <w:color w:val="auto"/>
        </w:rPr>
      </w:pPr>
    </w:p>
    <w:p>
      <w:pPr>
        <w:ind w:left="424" w:hanging="424"/>
        <w:spacing w:after="0" w:line="250"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shares potentially issuable pursuant to performance-based restricted stock units (or PRSUs) granted on February 28, 2025, under our Amended and Restated 2021 Equity Incentive Plan. These awards have both “performance” and “continued service” conditions that must be met in order for the executive to receive the shares. Pursuant to the time-based vesting requirements, the target number of shares underlying the equity awards is scheduled to vest on March 15, 2028, subject to continued service through the scheduled vesting date and subject to increase or decrease by 100% of target based on attainment of specified levels of the Company’s total shareholder return (TSR) over the three-year period ending January 31, 2028, as measured against the TSR of the semiconductor companies in the Russell 2000 Index, and subject to increase by up to 50% based on achievement of a three-year cumulative annual revenue growth rate (or Revenue CAGR). The “maximum” level represents the best case TSR and Revenue CAGR performance scenario.</w:t>
      </w:r>
    </w:p>
    <w:p>
      <w:pPr>
        <w:spacing w:after="0" w:line="3" w:lineRule="exact"/>
        <w:rPr>
          <w:rFonts w:ascii="Times New Roman" w:cs="Times New Roman" w:eastAsia="Times New Roman" w:hAnsi="Times New Roman"/>
          <w:sz w:val="18"/>
          <w:szCs w:val="18"/>
          <w:color w:val="auto"/>
        </w:rPr>
      </w:pPr>
    </w:p>
    <w:p>
      <w:pPr>
        <w:ind w:left="424" w:right="220" w:hanging="424"/>
        <w:spacing w:after="0" w:line="250"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 grants vesting quarterly over a period of three years, subject to continued service through the applicable vesting dates.</w:t>
      </w:r>
    </w:p>
    <w:p>
      <w:pPr>
        <w:ind w:left="424" w:right="260" w:hanging="424"/>
        <w:spacing w:after="0" w:line="260"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in this column do not reflect dollar amounts actually received by our NEOs. Instead, these amounts represent the aggregate full grant date fair value calculated in accordance with FASB ASC Topic 718.</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Fiscal Year 2026</w:t>
      </w:r>
    </w:p>
    <w:p>
      <w:pPr>
        <w:spacing w:after="0" w:line="121"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concerning value realized upon the exercise of stock options and the vesting of restricted stock unit grants by the NEOs during fiscal year 2026.</w:t>
      </w:r>
    </w:p>
    <w:p>
      <w:pPr>
        <w:spacing w:after="0" w:line="182"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6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10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60" w:type="dxa"/>
            <w:vAlign w:val="bottom"/>
            <w:gridSpan w:val="2"/>
          </w:tcPr>
          <w:p>
            <w:pPr>
              <w:jc w:val="center"/>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20" w:type="dxa"/>
            <w:vAlign w:val="bottom"/>
            <w:vMerge w:val="restart"/>
          </w:tcPr>
          <w:p>
            <w:pPr>
              <w:spacing w:after="0"/>
              <w:rPr>
                <w:sz w:val="12"/>
                <w:szCs w:val="12"/>
                <w:color w:val="auto"/>
              </w:rPr>
            </w:pPr>
          </w:p>
        </w:tc>
        <w:tc>
          <w:tcPr>
            <w:tcW w:w="4580" w:type="dxa"/>
            <w:vAlign w:val="bottom"/>
            <w:gridSpan w:val="3"/>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2720" w:type="dxa"/>
            <w:vAlign w:val="bottom"/>
          </w:tcPr>
          <w:p>
            <w:pPr>
              <w:spacing w:after="0"/>
              <w:rPr>
                <w:sz w:val="15"/>
                <w:szCs w:val="15"/>
                <w:color w:val="auto"/>
              </w:rPr>
            </w:pPr>
          </w:p>
        </w:tc>
        <w:tc>
          <w:tcPr>
            <w:tcW w:w="1860" w:type="dxa"/>
            <w:vAlign w:val="bottom"/>
            <w:gridSpan w:val="2"/>
          </w:tcPr>
          <w:p>
            <w:pPr>
              <w:jc w:val="center"/>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10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on Vesting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Fermi Wang</w:t>
            </w:r>
          </w:p>
        </w:tc>
        <w:tc>
          <w:tcPr>
            <w:tcW w:w="27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36,530</w:t>
            </w:r>
          </w:p>
        </w:tc>
        <w:tc>
          <w:tcPr>
            <w:tcW w:w="8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2,385,601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19,099</w:t>
            </w:r>
          </w:p>
        </w:tc>
        <w:tc>
          <w:tcPr>
            <w:tcW w:w="8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Young</w:t>
            </w:r>
          </w:p>
        </w:tc>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17,790</w:t>
            </w:r>
          </w:p>
        </w:tc>
        <w:tc>
          <w:tcPr>
            <w:tcW w:w="8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w:t>
            </w: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160" w:hanging="424"/>
        <w:spacing w:after="0" w:line="261"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is calculated as the difference between the market price of the shares underlying the options exercised on the date of exercise and the applicable exercise price of those options.</w:t>
      </w:r>
    </w:p>
    <w:p>
      <w:pPr>
        <w:ind w:left="424" w:right="360" w:hanging="424"/>
        <w:spacing w:after="0" w:line="260"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calculated by multiplying the number of shares of stock by the market value of the underlying shares on each vesting date.</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4"/>
          </w:cols>
          <w:pgMar w:left="436" w:top="297" w:right="479" w:bottom="1440" w:gutter="0" w:footer="0" w:header="0"/>
        </w:sectPr>
      </w:pPr>
    </w:p>
    <w:bookmarkStart w:id="52" w:name="page53"/>
    <w:bookmarkEnd w:id="5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Outstanding Equity Awards at Fiscal Year-End 2026</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held by our NEOs at the end of fiscal year 2026.</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04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3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40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320" w:type="dxa"/>
            <w:vAlign w:val="bottom"/>
          </w:tcPr>
          <w:p>
            <w:pPr>
              <w:spacing w:after="0"/>
              <w:rPr>
                <w:sz w:val="13"/>
                <w:szCs w:val="13"/>
                <w:color w:val="auto"/>
              </w:rPr>
            </w:pPr>
          </w:p>
        </w:tc>
        <w:tc>
          <w:tcPr>
            <w:tcW w:w="12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3"/>
                <w:szCs w:val="13"/>
                <w:color w:val="auto"/>
              </w:rPr>
            </w:pPr>
          </w:p>
        </w:tc>
        <w:tc>
          <w:tcPr>
            <w:tcW w:w="9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58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Fermi Wang</w:t>
            </w:r>
          </w:p>
        </w:tc>
        <w:tc>
          <w:tcPr>
            <w:tcW w:w="320" w:type="dxa"/>
            <w:vAlign w:val="bottom"/>
            <w:vMerge w:val="restart"/>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gridSpan w:val="2"/>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38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$ 41.36</w:t>
            </w:r>
          </w:p>
        </w:tc>
        <w:tc>
          <w:tcPr>
            <w:tcW w:w="38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8"/>
              </w:rPr>
              <w:t>3/06/2026</w:t>
            </w:r>
          </w:p>
        </w:tc>
        <w:tc>
          <w:tcPr>
            <w:tcW w:w="160" w:type="dxa"/>
            <w:vAlign w:val="bottom"/>
            <w:vMerge w:val="continue"/>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2,300(3)</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147,292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27,598(4)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1,767,376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19,138(5)</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1,225,598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45,929(6)</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2,941,293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29,340(7)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1,878,934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39,120(8)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2,505,245</w:t>
            </w:r>
          </w:p>
        </w:tc>
        <w:tc>
          <w:tcPr>
            <w:tcW w:w="0" w:type="dxa"/>
            <w:vAlign w:val="bottom"/>
          </w:tcPr>
          <w:p>
            <w:pPr>
              <w:spacing w:after="0"/>
              <w:rPr>
                <w:sz w:val="1"/>
                <w:szCs w:val="1"/>
                <w:color w:val="auto"/>
              </w:rPr>
            </w:pPr>
          </w:p>
        </w:tc>
      </w:tr>
      <w:tr>
        <w:trPr>
          <w:trHeight w:val="30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1,222(3)</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78,257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14,663(4)</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939,019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10,168(5)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651,159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24,403(6)</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1,562,768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14,670(7)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939,467</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19,560(8)</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1,252,622</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Young</w:t>
            </w: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6"/>
              </w:rPr>
              <w:t>$ 55.80</w:t>
            </w:r>
          </w:p>
        </w:tc>
        <w:tc>
          <w:tcPr>
            <w:tcW w:w="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3/27/2027</w:t>
            </w:r>
          </w:p>
        </w:tc>
        <w:tc>
          <w:tcPr>
            <w:tcW w:w="11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297(3)</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19,020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3,556(4)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227,726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15,000(9)</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960,600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7,019(5)</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449,497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16,845(6)</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1,078,754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9,291(7)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594,996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12,388(8)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793,328</w:t>
            </w:r>
          </w:p>
        </w:tc>
        <w:tc>
          <w:tcPr>
            <w:tcW w:w="0" w:type="dxa"/>
            <w:vAlign w:val="bottom"/>
          </w:tcPr>
          <w:p>
            <w:pPr>
              <w:spacing w:after="0"/>
              <w:rPr>
                <w:sz w:val="1"/>
                <w:szCs w:val="1"/>
                <w:color w:val="auto"/>
              </w:rPr>
            </w:pPr>
          </w:p>
        </w:tc>
      </w:tr>
      <w:tr>
        <w:trPr>
          <w:trHeight w:val="30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Lee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1,140(3)</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73,006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13,678(4)</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875,939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9,485(5)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607,419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22,764(6)</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1,457,807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13,692(7)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876,836</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18,256(8)</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1,169,114</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797(3)</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51,040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9,553(4)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611,774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6,625(5)</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424,265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15,898(6)</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1,018,108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9,291(7)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594,996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12,388(8)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793,328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480"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each equity award pursuant to the vesting schedules described in the footnotes to the above table is contingent upon the executive officer’s continued service to the Company through the applicable vesting dates.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4"/>
          </w:cols>
          <w:pgMar w:left="436" w:top="293" w:right="439" w:bottom="1440" w:gutter="0" w:footer="0" w:header="0"/>
        </w:sectPr>
      </w:pPr>
    </w:p>
    <w:bookmarkStart w:id="53" w:name="page54"/>
    <w:bookmarkEnd w:id="53"/>
    <w:p>
      <w:pPr>
        <w:ind w:left="424" w:right="240" w:hanging="424"/>
        <w:spacing w:after="0" w:line="224"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amounts under “Market Value of Shares of Stock or Units That Have Not Vested” were calculated as the product of the closing price of our ordinary shares on the Nasdaq Global Select Market on January 30, 2026 (because January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was a Saturday), which was $64.04, and the number of shares subject to the applicable restricted stock unit award.</w:t>
      </w:r>
    </w:p>
    <w:p>
      <w:pPr>
        <w:ind w:left="424" w:right="120" w:hanging="424"/>
        <w:spacing w:after="0" w:line="250"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restricted stock unit award vesting over a three-year period commencing on March 15, 2023, with 1/12 of the shares vesting on a quarterly basis.</w:t>
      </w:r>
    </w:p>
    <w:p>
      <w:pPr>
        <w:ind w:left="424" w:right="80" w:hanging="424"/>
        <w:spacing w:after="0" w:line="250"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 an award of performance-based restricted stock units covering a target number of shares. Pursuant to time-based vesting requirements, up to 100% of this award is scheduled to vest on March 15, 2026, subject to continued service requirements. The number of shares eligible to vest on March 15, 2026 may be decreased by up to 100%, increased by up to 150%, or may remain the same, based upon attainment of specified levels of the Company’s (a) total shareholder return and (b) cumulative annual revenue growth rate, over the three-year period ending January 31, 2026.</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restricted stock unit award vesting over a three-year period commencing on March 15, 2024, with 1/12 of the shares vesting on a quarterly basis.</w:t>
      </w:r>
    </w:p>
    <w:p>
      <w:pPr>
        <w:ind w:left="424" w:right="80" w:hanging="424"/>
        <w:spacing w:after="0" w:line="250"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 an award of performance-based restricted stock units covering a target number of shares. Pursuant to time-based vesting requirements, up to 100% of this award is scheduled to vest on March 15, 2027, subject to continued service requirements. The number of shares eligible to vest on March 15, 2027 may be decreased by up to 100%, increased by up to 150%, or may remain the same, based upon attainment of specified levels of the Company’s (a) total shareholder return and (b) cumulative annual revenue growth rate, over the three-year period ending January 31, 2027.</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restricted stock unit award vesting over a three-year period commencing on March 15, 2025, with 1/12 of the shares vesting on a quarterly basis.</w:t>
      </w:r>
    </w:p>
    <w:p>
      <w:pPr>
        <w:ind w:left="424" w:right="80" w:hanging="424"/>
        <w:spacing w:after="0" w:line="250"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 an award of performance-based restricted stock units covering a target number of shares. Pursuant to time-based vesting requirements, up to 100% of this award is scheduled to vest on March 15, 2028, subject to continued service requirements. The number of shares eligible to vest on March 15, 2028 may be decreased by up to 100%, increased by up to 150%, or may remain the same, based upon attainment of specified levels of the Company’s (a) total shareholder return and (b) cumulative annual revenue growth rate, over the three-year period ending January 31, 2028.</w:t>
      </w:r>
    </w:p>
    <w:p>
      <w:pPr>
        <w:spacing w:after="0" w:line="1" w:lineRule="exact"/>
        <w:rPr>
          <w:rFonts w:ascii="Times New Roman" w:cs="Times New Roman" w:eastAsia="Times New Roman" w:hAnsi="Times New Roman"/>
          <w:sz w:val="18"/>
          <w:szCs w:val="18"/>
          <w:color w:val="auto"/>
        </w:rPr>
      </w:pPr>
    </w:p>
    <w:p>
      <w:pPr>
        <w:ind w:left="424" w:right="480" w:hanging="424"/>
        <w:spacing w:after="0" w:line="260"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the restricted stock unit award vesting over a four-year period commencing on December 15, 2023, with 1/16 of the shares vesting on a quarterly basis.</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Broad Based Employee Benefits</w:t>
      </w:r>
    </w:p>
    <w:p>
      <w:pPr>
        <w:spacing w:after="0" w:line="121"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our employees is an important factor in attracting and retaining highly qualified personnel. Our NEOs are eligible to participate in all of our employee benefit plans, such as medical, dental, disability, vision, group life and accidental death and dismemberment insurance, our patent incentive program and our 401(k) plan, in each case on the same basis as other U.S.-based salaried employees. We do not offer club memberships, automobile allowances, tickets to sporting events or concerts or other perquisites to any of our NEOs as that would be inconsistent with our egalitarian corporate culture.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Aside from our 401(k) plan, we do not maintain any pension plan or arrangement under which our NEOs are entitled to participate or receive post-retirement benefits.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do not maintain any nonqualified deferred compensation plans or arrangements under which our NEOs are entitled to participate.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97"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Potential Payments upon Termination or Change in Control</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Severance Arrangements</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change of control and severance agreements with each of our NEOs. In 2025, we made some clarifications to certain non-economic terms of the severance and change of control agreements, other than for Dr. Wang and Mr. Kohn, to clarify the reasons for which an NEO may resign for “good reason” to provide consistency across the NEOs. Pursuant to such agreements, upon a termination of such NEO by us other than for cause occurring more than three months before or twelve months following a change of control, subject to the execution of a general release of claims, such NEO is entitled to:</w:t>
      </w:r>
    </w:p>
    <w:p>
      <w:pPr>
        <w:spacing w:after="0" w:line="89" w:lineRule="exact"/>
        <w:rPr>
          <w:sz w:val="20"/>
          <w:szCs w:val="20"/>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accrued salary and vacation;</w:t>
      </w:r>
    </w:p>
    <w:p>
      <w:pPr>
        <w:spacing w:after="0" w:line="130"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lump sum equal to 100% (Dr. Wang and Messrs. Kohn and Young) or 50% (Messrs. Lee and Ju) of the executive officer’s then-current annual base salary;</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prorated portion of the executive officer’s annual target bonus;</w:t>
      </w:r>
    </w:p>
    <w:p>
      <w:pPr>
        <w:spacing w:after="0" w:line="130"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acceleration of twelve months (Dr. Wang and Messrs. Kohn and Young) or six months (Messrs. Lee and Ju) of vesting of outstanding options and restricted stock unit (“RSU”) awards; however, the award agreement governing the performance-based restricted stock units modify this treatment with respect to such awards, as described below; and</w:t>
      </w:r>
    </w:p>
    <w:p>
      <w:pPr>
        <w:spacing w:after="0" w:line="81" w:lineRule="exact"/>
        <w:rPr>
          <w:rFonts w:ascii="Times New Roman" w:cs="Times New Roman" w:eastAsia="Times New Roman" w:hAnsi="Times New Roman"/>
          <w:sz w:val="18"/>
          <w:szCs w:val="18"/>
          <w:color w:val="auto"/>
        </w:rPr>
      </w:pPr>
    </w:p>
    <w:p>
      <w:pPr>
        <w:ind w:left="960" w:right="40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premiums for COBRA continuation coverage for up to twelve months (Dr. Wang and Messrs. Kohn and Young) or six months (Messrs. Lee and Ju) after the date of termination.</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Change of Control Arrangements</w:t>
      </w:r>
    </w:p>
    <w:p>
      <w:pPr>
        <w:spacing w:after="0" w:line="11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the change of control and severance agreements, upon a termination of the NEO by us other than for cause or, if such officer resigns for good reason, within three months before or twelve months following a change of control, subject to the execution of a general release of claims, our NEOs are entitled to:</w:t>
      </w:r>
    </w:p>
    <w:p>
      <w:pPr>
        <w:spacing w:after="0" w:line="81" w:lineRule="exact"/>
        <w:rPr>
          <w:sz w:val="20"/>
          <w:szCs w:val="20"/>
          <w:color w:val="auto"/>
        </w:rPr>
      </w:pPr>
    </w:p>
    <w:p>
      <w:pPr>
        <w:ind w:left="960" w:hanging="532"/>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accrued salary and vacation;</w:t>
      </w:r>
    </w:p>
    <w:p>
      <w:pPr>
        <w:spacing w:after="0" w:line="130" w:lineRule="exact"/>
        <w:rPr>
          <w:rFonts w:ascii="Times New Roman" w:cs="Times New Roman" w:eastAsia="Times New Roman" w:hAnsi="Times New Roman"/>
          <w:sz w:val="18"/>
          <w:szCs w:val="18"/>
          <w:color w:val="auto"/>
        </w:rPr>
      </w:pPr>
    </w:p>
    <w:p>
      <w:pPr>
        <w:ind w:left="960" w:right="620" w:hanging="532"/>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lump sum equal to 100% of the executive officer’s then-current annual base salary (or, if greater, at the level in effect immediately prior to the change of control);</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prorated portion of the executive officer’s annual target bonus;</w:t>
      </w:r>
    </w:p>
    <w:p>
      <w:pPr>
        <w:spacing w:after="0" w:line="130"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acceleration of vesting of 100% (Dr. Wang and Messrs. Kohn and Young) or 50% (Messrs. Lee and Ju) of outstanding options and RSU awards; however, the award agreement governing the performance-based restricted stock units modify this treatment with respect to such awards, as described below;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premiums for COBRA continuation coverage for up to twelve months after the date of termination.</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Severance Upon Death or Disability</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Pursuant to the change of control and severance agreements, if the NEO terminates due to the NEO’s death or disability (as defined in the agreements) subject to the execution of a general release of claims, such NEO is entitled to payment of a lump sum equal to 100% of the executive officer’s then-current annual base salary. With respect to Messrs. Lee and Ju only, this amount is reduced to 50% of their then-current annual base salary if such termination occurs more than three months before or twelve months following a change of control.</w:t>
      </w:r>
    </w:p>
    <w:p>
      <w:pPr>
        <w:spacing w:after="0" w:line="18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foregoing benefits, Dr. Wang and Mr. Kohn also would receive a gross-up payment if such officer is required to pay excise tax under Section 4999 of the Internal Revenue Code, with the amount of such gross-up payment equal to the amount of excise tax. No other executive would receive a gross-up payment. In the event that the severance and other benefits payable to Messrs. Lee, Ju, and Young constitute “parachute payments” under Section 280G of the Internal Revenue Code and would be subject to the excise tax imposed by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93" w:right="459" w:bottom="1440" w:gutter="0" w:footer="0" w:header="0"/>
        </w:sectPr>
      </w:pPr>
    </w:p>
    <w:bookmarkStart w:id="55" w:name="page56"/>
    <w:bookmarkEnd w:id="5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4999 of the Internal Revenue Code, then such executive’s benefits will be either (i) delivered in full or (ii) delivered to such lesser extent which would result in no portion of such benefits being subject to the excise tax, whichever results in the receipt by such executive on an after-tax basis of the greatest amount of benefits.</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change of control and severance agreements above, the term “cause” generally means the occurrence of any of the following events: (i) the executive officer’s willful and continued failure to substantially perform the duties of his position (other than failure resulting from the executive officer’s complete or partial incapacity due to physical or mental illness or impairment); (ii) the executive officer’s willful and continued failure to substantially perform the lawful and specific directives of the Board, as reasonably determined by the Board (other than failure resulting from the executive officer’s complete or partial incapacity due to physical or mental illness or impairment); (iii) the executive officer’s willful commission of an act of fraud or dishonesty resulting in, or is likely to result in, material economic or financial injury to us; or (iv) the executive officer’s willful engagement in illegal conduct that was or is reasonably likely to be materially injurious to us; provided that we have provided to the executive officer any requisite notice in a timely manner and, if permitted to correct the deficiency (with respect to failures to substantially perform under clauses (i) or (ii) only), the executive officer has failed to do so.</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change of control and severance agreements above, “change of control” generally means the occurrence of any of the following events: (i) any person acquires ownership of our securities representing more than 50% of the total voting power of our stock (except that any change in the ownership of our ordinary shares as a result of a private financing that is approved by the Board will not be considered a change of control); (ii) any person acquires 50% or more of the total gross fair market value of our assets over a twelve-month period; (iii) the consummation of our merger or consolidation with any other entity, other than a merger or consolidation that would result in our voting securities outstanding immediately prior thereto continuing to represent more than 50% of the combined voting power of the voting securities of the surviving entity outstanding immediately after such merger or consolidation and with the power to elect at least a majority of the Board or other governing body of such surviving entity; or (iv) the replacement of a majority of the Board during any twenty-four month period by directors whose appointment or election is not approved by a majority of the members of the Board prior to the date of the appointment or election.</w:t>
      </w:r>
    </w:p>
    <w:p>
      <w:pPr>
        <w:spacing w:after="0" w:line="18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For purposes of the change of control and severance agreements above, and reflecting any updates made in May 2025, “good reason” generally means the executive officer’s voluntary resignation from all positions such officer holds with us, effective within 90 days following the expiration of the cure period described below, after the occurrence of any of the following without the NEO’s written consent: (i) with respect to NEOs other than</w:t>
      </w:r>
    </w:p>
    <w:p>
      <w:pPr>
        <w:spacing w:after="0" w:line="1"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7"/>
          <w:szCs w:val="17"/>
          <w:color w:val="auto"/>
        </w:rPr>
        <w:t>Dr. Wang and Mr. Kohn, a material reduction (of 10% or more) by us of the executive officer’s base salary or annual target bonus in effect immediately prior to such reduction and, with respect to Dr. Wang and Mr. Kohn, a reduction by us of his base salary or annual target bonus (other than reductions in connection with similar percentage reductions imposed on all executive-level employees); (ii) a material reduction (with respect to Dr. Wang and</w:t>
      </w:r>
    </w:p>
    <w:p>
      <w:pPr>
        <w:ind w:right="40"/>
        <w:spacing w:after="0" w:line="251" w:lineRule="auto"/>
        <w:rPr>
          <w:sz w:val="20"/>
          <w:szCs w:val="20"/>
          <w:color w:val="auto"/>
        </w:rPr>
      </w:pPr>
      <w:r>
        <w:rPr>
          <w:rFonts w:ascii="Times New Roman" w:cs="Times New Roman" w:eastAsia="Times New Roman" w:hAnsi="Times New Roman"/>
          <w:sz w:val="18"/>
          <w:szCs w:val="18"/>
          <w:color w:val="auto"/>
        </w:rPr>
        <w:t>Mr. Kohn, a reduction) by us of the executive officer’s health or welfare benefits in effect immediately prior to such reduction (with respect to Dr. Wang and Mr. Kohn, other than reductions in connection with similar percentage reductions imposed on all executive-level employees); (iii) our requiring the executive officer to move his primary work location to a location that is more than 30 miles from his then-current principal work location (unless such relocation does not increase his commuting distance); (iv) our material failure and, with respect to Dr. Wang and Mr. Kohn, a failure, to continue in effect any material compensation or benefit plan or practice in which the executive officer is eligible to participate in immediately prior to the change of control, unless certain equitable arrangements embodied in an ongoing substitute or alternative plan have been made; (v) our failure to obtain the assumption, in all material respects, of the change of control agreement by any of our successors; or, for certain of the executive officers, (vi) a material diminution in such executive officer’s authority, duties, responsibilities, and, other than with respect to Messrs. Lee and Ju, title or reporting structure, provided that a change or a material diminution for Dr. Wang and Mr. Kohn in their title or reporting structure solely by virtue of the Company being acquired and made part of a larger entity will not by itself be sufficient to constitute good reason. In all cases, the executive officer must provide written notice to us of the existence of one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97" w:right="459" w:bottom="1440" w:gutter="0" w:footer="0" w:header="0"/>
        </w:sectPr>
      </w:pPr>
    </w:p>
    <w:bookmarkStart w:id="56" w:name="page57"/>
    <w:bookmarkEnd w:id="56"/>
    <w:p>
      <w:pPr>
        <w:ind w:right="8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 these conditions within 60 days after its initial existence, and we must be provided with a period of 30 days during which we may cure the circumstances giving rise to the condition, in which case no good reason will exist.</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w:t>
      </w:r>
    </w:p>
    <w:p>
      <w:pPr>
        <w:spacing w:after="0" w:line="119" w:lineRule="exact"/>
        <w:rPr>
          <w:sz w:val="20"/>
          <w:szCs w:val="20"/>
          <w:color w:val="auto"/>
        </w:rPr>
      </w:pPr>
    </w:p>
    <w:p>
      <w:pPr>
        <w:ind w:firstLine="440"/>
        <w:spacing w:after="0" w:line="233" w:lineRule="auto"/>
        <w:rPr>
          <w:sz w:val="20"/>
          <w:szCs w:val="20"/>
          <w:color w:val="auto"/>
        </w:rPr>
      </w:pPr>
      <w:r>
        <w:rPr>
          <w:rFonts w:ascii="Times New Roman" w:cs="Times New Roman" w:eastAsia="Times New Roman" w:hAnsi="Times New Roman"/>
          <w:sz w:val="18"/>
          <w:szCs w:val="18"/>
          <w:color w:val="auto"/>
        </w:rPr>
        <w:t>In the event of our change in control, as defined in our Amended and Restated 2021 Equity Incentive Plan (the “2021 Plan”) with respect to awards granted under that plan, the three-year relative total shareholder return (“TSR”) goal under the PRSUs would be treated as follows. If TSR has not yet been measured, then our relative TSR performance will be measured in connection with the change in control by basing our TSR performance on the merger consideration payable with respect to Company shares in connection with the change in control, and the TSR measurement period would be shortened to reflect earlier measurement as a result of the change in control. Any shares that do not become eligible to vest based on the above treatment of the performance objectives would be forfeited at the change in control, and the shares underlying the PRSUs that have become eligible to vest will be scheduled to vest on the fifteenth day of each of June, September, December and March through the first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following the end of the TSR measurement period, with the first scheduled vesting date occurring on the first June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following the date of grant, in equal installments, subject to the executive’s continued service through the applicable vesting dates. Further, the portion of the PRSUs that have become eligible to vest that are outstanding as of the change in control will be treated in accordance with the terms of our 2021 Plan, as applicable, and any change of control and severance agreement then in effect.</w:t>
      </w:r>
    </w:p>
    <w:p>
      <w:pPr>
        <w:spacing w:after="0" w:line="20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In the event of our change in control, the three-year cumulative annual revenue growth rate goal under the PRSUs would be treated as follows. If the change in control occurs: (i) in any of the second, third or fourth fiscal quarters of a fiscal year, the revenue for the completed fiscal quarters in that fiscal year will be annualized and treated as the ending revenue for calculating the Company’s revenue CAGR, or (ii) in the first fiscal quarter of a fiscal year, the revenue for the immediately prior fiscal year will be treated as the ending revenue for calculating the Company’s revenue CAGR. The period over which the Company’s revenue CAGR is measured will be such revenue growth from fiscal year 2026 to, as applicable, (x) the fiscal year in which such annualized revenue is calculated under (a)(i) above, or (y) the fiscal year for which the full fiscal year revenue is used in (a)(ii) above.</w:t>
      </w:r>
    </w:p>
    <w:p>
      <w:pPr>
        <w:spacing w:after="0" w:line="187"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If before the scheduled vesting date of the applicable PRSUs and before a change in control, the NEO’s employment is terminated by us other than for cause (as defined in the change of control and severance agreement) (and other than due to the NEO’s death or disability, as defined in the change of control and severance agreement) or, if he resigns for good reason (as defined in the change of control and severance agreement), and he otherwise satisfies the other requirements under the change of control and severance agreement for the payment of other severance benefits to him, then a prorated number of shares underlying the award will accelerate vesting, with respect to the portion of the award eligible to vest. The prorated number of shares is the target number of restricted stock units as of the date of employment termination, or if the termination occurs after the TSR measurement date but before the scheduled vesting date, the prorated number of shares is based on the extent to which any performance goals have been met on or before the employment termination but during the performance period (and as adjusted by the relative TSR performance). The proration generally is determined by measuring the number of shares under the award that would have vested through the last day of the NEO’s employment with us, had the award been scheduled to vest in equal, quarterly installments through the final vesting date, with a first vesting date of the first June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following the date of grant.</w:t>
      </w:r>
    </w:p>
    <w:p>
      <w:pPr>
        <w:spacing w:after="0" w:line="48"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If on or after a change in control, the NEO’s employment is terminated by us other than for cause (as defined in the change of control and severance agreement) (and other than due to the NEO’s death or disability, as defined in the change of control and severance agreement) or if he resigns for good reason (as defined in the change of control and severance agreement), the PRSU award will be eligible for the vesting acceleration under the NEO’s change of control and severance agreement then in effect (as described further above). Otherwise, the terms of the PRSU award agreement generally supersede the vesting acceleration benefits under the NEO’s change of control and severance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97" w:right="459" w:bottom="1440" w:gutter="0" w:footer="0" w:header="0"/>
        </w:sectPr>
      </w:pPr>
    </w:p>
    <w:bookmarkStart w:id="57" w:name="page58"/>
    <w:bookmarkEnd w:id="57"/>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purposes of the PRSU awards above, “change in control,” as defined in our 2021 Plan generally means the occurrence of any of the following events: (i) any person acquires ownership of more than 50% of the total voting power of our stock (except that acquisition of additional stock by a person already considered to own more than 50% of the voting power of our stock will not be considered a change in control); (ii) a change in our effective control that occurs when a majority of members of our Board is replaced during a 12-month period by directors whose appointment or election is not endorsed by a majority of members of the Board prior to the date of the appointment or election; or (iii) a change in ownership of a substantial portion of our assets that occurs when a person acquires 50% or more of the total gross fair market value of our assets over a twelve-month period (subject to certain exceptions, such as the transfer of our assets to our shareholders in exchange for or with respect to our stock).</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2012 Equity Incentive Plan and Amended and Restated 2021 Equity Incentive Plan</w:t>
      </w:r>
    </w:p>
    <w:p>
      <w:pPr>
        <w:spacing w:after="0" w:line="11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Our 2012 Equity Incentive Plan and our Amended and Restated 2021 Equity Incentive Plan each provide that in the event of a merger or “change in control,” as defined under the applicable plan,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 However, the award agreement governing the PRSUs modify this treatment with respect to such awards, as described above.</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1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payments that would be made to our NEOs upon the occurrence of a termination of employment qualifying for severance benefits or upon a change of control, assuming that each NEO’s termination of employment with our Company occurred on</w:t>
      </w:r>
    </w:p>
    <w:p>
      <w:pPr>
        <w:jc w:val="both"/>
        <w:ind w:right="500"/>
        <w:spacing w:after="0" w:line="255" w:lineRule="auto"/>
        <w:rPr>
          <w:sz w:val="20"/>
          <w:szCs w:val="20"/>
          <w:color w:val="auto"/>
        </w:rPr>
      </w:pPr>
      <w:r>
        <w:rPr>
          <w:rFonts w:ascii="Times New Roman" w:cs="Times New Roman" w:eastAsia="Times New Roman" w:hAnsi="Times New Roman"/>
          <w:sz w:val="18"/>
          <w:szCs w:val="18"/>
          <w:color w:val="auto"/>
        </w:rPr>
        <w:t>January 31, 2026, or in the event that a qualifying termination of employment in connection with a change of control of our Company occurred on January 31, 2026, as applicable. Amounts shown do not include (i) accrued but unpaid salary through the date of termination, or (ii) other benefits earned or accrued by the NEO during his employment that are available to all salaried employees, such as accrued vacation.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(Within three</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months before or</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twelve months</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(No change of</w:t>
            </w:r>
          </w:p>
        </w:tc>
        <w:tc>
          <w:tcPr>
            <w:tcW w:w="2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after change of</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control) ($)</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control) ($)</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Fermi Wang</w:t>
            </w:r>
          </w:p>
        </w:tc>
        <w:tc>
          <w:tcPr>
            <w:tcW w:w="4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Salary</w:t>
            </w:r>
          </w:p>
        </w:tc>
        <w:tc>
          <w:tcPr>
            <w:tcW w:w="442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Bonus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Acceleration of RSUs and PRSUs(1)</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4,367,443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10,465,737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Benefits(2)</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29,078</w:t>
            </w: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5,546,521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11,644,815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Kohn</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Salary</w:t>
            </w:r>
          </w:p>
        </w:tc>
        <w:tc>
          <w:tcPr>
            <w:tcW w:w="442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388,592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388,592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Bonus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291,444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291,444</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Acceleration of RSUs and PRSUs(1)</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2,268,190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5,423,291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Benefits(2)</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29,078</w:t>
            </w: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2,977,304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6,132,405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320" w:type="dxa"/>
            <w:vAlign w:val="bottom"/>
            <w:vMerge w:val="restart"/>
          </w:tcPr>
          <w:p>
            <w:pPr>
              <w:jc w:val="right"/>
              <w:ind w:right="289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49"/>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0" w:type="dxa"/>
            <w:vAlign w:val="bottom"/>
          </w:tcPr>
          <w:p>
            <w:pPr>
              <w:spacing w:after="0"/>
              <w:rPr>
                <w:sz w:val="1"/>
                <w:szCs w:val="1"/>
                <w:color w:val="auto"/>
              </w:rPr>
            </w:pPr>
          </w:p>
        </w:tc>
      </w:tr>
      <w:tr>
        <w:trPr>
          <w:trHeight w:val="148"/>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(Within three</w:t>
            </w:r>
          </w:p>
        </w:tc>
        <w:tc>
          <w:tcPr>
            <w:tcW w:w="0" w:type="dxa"/>
            <w:vAlign w:val="bottom"/>
          </w:tcPr>
          <w:p>
            <w:pPr>
              <w:spacing w:after="0"/>
              <w:rPr>
                <w:sz w:val="1"/>
                <w:szCs w:val="1"/>
                <w:color w:val="auto"/>
              </w:rPr>
            </w:pPr>
          </w:p>
        </w:tc>
      </w:tr>
      <w:tr>
        <w:trPr>
          <w:trHeight w:val="148"/>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months before or</w:t>
            </w:r>
          </w:p>
        </w:tc>
        <w:tc>
          <w:tcPr>
            <w:tcW w:w="0" w:type="dxa"/>
            <w:vAlign w:val="bottom"/>
          </w:tcPr>
          <w:p>
            <w:pPr>
              <w:spacing w:after="0"/>
              <w:rPr>
                <w:sz w:val="1"/>
                <w:szCs w:val="1"/>
                <w:color w:val="auto"/>
              </w:rPr>
            </w:pPr>
          </w:p>
        </w:tc>
      </w:tr>
      <w:tr>
        <w:trPr>
          <w:trHeight w:val="148"/>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1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twelve months</w:t>
            </w:r>
          </w:p>
        </w:tc>
        <w:tc>
          <w:tcPr>
            <w:tcW w:w="0" w:type="dxa"/>
            <w:vAlign w:val="bottom"/>
          </w:tcPr>
          <w:p>
            <w:pPr>
              <w:spacing w:after="0"/>
              <w:rPr>
                <w:sz w:val="1"/>
                <w:szCs w:val="1"/>
                <w:color w:val="auto"/>
              </w:rPr>
            </w:pPr>
          </w:p>
        </w:tc>
      </w:tr>
      <w:tr>
        <w:trPr>
          <w:trHeight w:val="148"/>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(No change of</w:t>
            </w:r>
          </w:p>
        </w:tc>
        <w:tc>
          <w:tcPr>
            <w:tcW w:w="11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after change of</w:t>
            </w:r>
          </w:p>
        </w:tc>
        <w:tc>
          <w:tcPr>
            <w:tcW w:w="0" w:type="dxa"/>
            <w:vAlign w:val="bottom"/>
          </w:tcPr>
          <w:p>
            <w:pPr>
              <w:spacing w:after="0"/>
              <w:rPr>
                <w:sz w:val="1"/>
                <w:szCs w:val="1"/>
                <w:color w:val="auto"/>
              </w:rPr>
            </w:pPr>
          </w:p>
        </w:tc>
      </w:tr>
      <w:tr>
        <w:trPr>
          <w:trHeight w:val="173"/>
        </w:trPr>
        <w:tc>
          <w:tcPr>
            <w:tcW w:w="8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control) ($)</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control) ($)</w:t>
            </w:r>
          </w:p>
        </w:tc>
        <w:tc>
          <w:tcPr>
            <w:tcW w:w="0" w:type="dxa"/>
            <w:vAlign w:val="bottom"/>
          </w:tcPr>
          <w:p>
            <w:pPr>
              <w:spacing w:after="0"/>
              <w:rPr>
                <w:sz w:val="1"/>
                <w:szCs w:val="1"/>
                <w:color w:val="auto"/>
              </w:rPr>
            </w:pPr>
          </w:p>
        </w:tc>
      </w:tr>
      <w:tr>
        <w:trPr>
          <w:trHeight w:val="196"/>
        </w:trPr>
        <w:tc>
          <w:tcPr>
            <w:tcW w:w="8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John Young</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Salary</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310,440</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310,440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Bonus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217,308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217,308</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Acceleration of RSUs and PRSUs(1)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1,085,350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4,123,920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Benefits(2)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41,103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41,103</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1,654,201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 Lee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Salary</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176,088</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352,176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Bonus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264,132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264,132</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Acceleration of RSUs and PRSUs(1)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1,094,636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2,530,060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Benefits(2)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18,050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36,100</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1,552,906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Ju</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Salary</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160,933</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321,865</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Severance Attributable to Bonus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209,212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209,212</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Acceleration of RSUs and PRSUs(1)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756,814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1,746,755</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Benefits(2)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14,539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29,078</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1,141,498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100" w:hanging="424"/>
        <w:spacing w:after="0" w:line="257"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accelerated RSUs and PRSUs was calculated by multiplying (x) the number of shares subject to acceleration by (y) the fair market value of an ordinary share on the Nasdaq Global Select Market on January 31, 2026, which was $64.04. The value of accelerated PRSUs assumes a payout at a level of 100% of target.</w:t>
      </w:r>
    </w:p>
    <w:p>
      <w:pPr>
        <w:spacing w:after="0" w:line="1" w:lineRule="exact"/>
        <w:rPr>
          <w:rFonts w:ascii="Times New Roman" w:cs="Times New Roman" w:eastAsia="Times New Roman" w:hAnsi="Times New Roman"/>
          <w:sz w:val="18"/>
          <w:szCs w:val="18"/>
          <w:color w:val="auto"/>
        </w:rPr>
      </w:pPr>
    </w:p>
    <w:p>
      <w:pPr>
        <w:ind w:left="424" w:right="220" w:hanging="424"/>
        <w:spacing w:after="0" w:line="290" w:lineRule="auto"/>
        <w:tabs>
          <w:tab w:leader="none" w:pos="42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premium payments that would be required to be paid to or on behalf of the NEO to provide continued health insurance coverage under COBRA (based on the executive’s health insurance coverage as of January 31, 2026) for the period available to the executive.</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4"/>
          </w:cols>
          <w:pgMar w:left="436" w:top="278"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PAY RATIO DISCLOSURE</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Pursuant to Section 953(b) of the Dodd-Frank Wall Street Reform and Consumer Protection Act and Item 402(u) of Regulation S-K, we are required to disclose the ratio of our principal executive officer’s annual total compensation to the annual total compensation of our median employee. As discussed above in the “Compensation Discussion and Analysis,” we are engaged in a very competitive industry, and our success depends on our ability to attract, motivate and retain highly qualified, talented and creative employees. Consistent with our executive compensation program, our global compensation program is designed to be competitive in terms of both the position and the geographic location in which an employee is located. Accordingly, our pay structures vary among our employees based on position and geographic location, with significant consideration given to local competitive market practices. We believe our compensation philosophy and process yield an equitable result for all of our employees.</w:t>
      </w:r>
    </w:p>
    <w:p>
      <w:pPr>
        <w:spacing w:after="0" w:line="189"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As of January 31, 2026, the end of our fiscal year 2026, we had a total of 959 employees, of which approximately 28% were located in the U.S., primarily in Santa Clara, California, and 72% were located outside of the U.S., primarily in China and Taiwan. Approximately 75% of our employees are engaged in research and development, 23% in sales, marketing and administration and 2% in operations.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Pay Ratio</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During fiscal year 2026, the principal executive officer of Ambarella was our CEO, Dr. Feng-Ming (Fermi) Wang. For fiscal year 2026, the annual total compensation for Dr. Wang was $7,354,330, as disclosed under the Summary Compensation Table above, and the annual total compensation for our median employee was $109,872, calculated using the same methodology as applied for Dr. Wang in the Summary Compensation Table above, resulting in an estimated pay ratio of 67:1.</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Identification of Median Employee</w:t>
      </w:r>
    </w:p>
    <w:p>
      <w:pPr>
        <w:spacing w:after="0" w:line="119"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We selected January 31, 2026, the last day of our fiscal year 2026, as the date on which to determine our median employee. For purposes of identifying the median employee for fiscal year 2026, we considered the aggregate of all the following compensation elements for each of our employees (other than Dr. Wang), as compiled from our internal records as of January 31, 2026:</w:t>
      </w:r>
    </w:p>
    <w:p>
      <w:pPr>
        <w:spacing w:after="0" w:line="81" w:lineRule="exact"/>
        <w:rPr>
          <w:sz w:val="20"/>
          <w:szCs w:val="20"/>
          <w:color w:val="auto"/>
        </w:rPr>
      </w:pPr>
    </w:p>
    <w:p>
      <w:pPr>
        <w:ind w:left="960" w:hanging="532"/>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the annual base salary or wages for fiscal year 2026;</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or other cash incentives paid for fiscal year 2026;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granted in fiscal year 2026.</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selected the above compensation elements because they represent Ambarella’s principal broad-based compensation elements. For purposes of identifying the median employee, any compensation paid in foreign currencies was converted to U.S. dollars based on the average of the monthly exchange rates for the twelve-month period ended January 31, 2026. In identifying the median employee, we did not make any cost-of-living adjustments or exclude any foreign jurisdictions in accordance with Item 402(u) of Regulation S-K.</w:t>
      </w:r>
    </w:p>
    <w:p>
      <w:pPr>
        <w:spacing w:after="0" w:line="180" w:lineRule="exact"/>
        <w:rPr>
          <w:sz w:val="20"/>
          <w:szCs w:val="20"/>
          <w:color w:val="auto"/>
        </w:rPr>
      </w:pPr>
    </w:p>
    <w:p>
      <w:pPr>
        <w:ind w:right="280" w:firstLine="440"/>
        <w:spacing w:after="0" w:line="281" w:lineRule="auto"/>
        <w:rPr>
          <w:sz w:val="20"/>
          <w:szCs w:val="20"/>
          <w:color w:val="auto"/>
        </w:rPr>
      </w:pPr>
      <w:r>
        <w:rPr>
          <w:rFonts w:ascii="Times New Roman" w:cs="Times New Roman" w:eastAsia="Times New Roman" w:hAnsi="Times New Roman"/>
          <w:sz w:val="17"/>
          <w:szCs w:val="17"/>
          <w:color w:val="auto"/>
        </w:rPr>
        <w:t>The pay ratio reported above is a reasonable estimate calculated in a manner consistent with SEC rules based on our internal records and the methodology described above. Because the SEC rules for identifying the median employee and calculating the pay ratio based on that employee’s annual total compensation allow companies to utilize different methodologies and to make reasonable estimates and assumptions that reflect their employee populations and compensation practices, the pay ratio reported by other companies may not be comparable to the pay ratio reported above.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93" w:right="459" w:bottom="1440" w:gutter="0" w:footer="0" w:header="0"/>
        </w:sectPr>
      </w:pPr>
    </w:p>
    <w:bookmarkStart w:id="60" w:name="page61"/>
    <w:bookmarkEnd w:id="6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PAY VERSUS PERFORMANCE</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We are providing the following information about the relationship between “compensation actually paid” to our named executive officers and company financial performance, as required by or defined in Section 953(a) of the Dodd-Frank Act and Item 402(v) of Regulation S-K. For further information regarding our compensation philosophy, and in particular, how we align executive compensation with company financial performance, refer to “Executive Compensation – Compensation Discussion and Analysis,” above.</w:t>
      </w:r>
    </w:p>
    <w:p>
      <w:pPr>
        <w:spacing w:after="0" w:line="188"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$100 Investment Based</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 1/29/2021</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6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16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8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gridSpan w:val="2"/>
            <w:vMerge w:val="continue"/>
          </w:tcPr>
          <w:p>
            <w:pPr>
              <w:spacing w:after="0"/>
              <w:rPr>
                <w:sz w:val="12"/>
                <w:szCs w:val="12"/>
                <w:color w:val="auto"/>
              </w:rPr>
            </w:pPr>
          </w:p>
        </w:tc>
        <w:tc>
          <w:tcPr>
            <w:tcW w:w="78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Return –</w:t>
            </w: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5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 PEO</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AMBA ($)</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Return ($)</w:t>
            </w: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Millions)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165"/>
        </w:trPr>
        <w:tc>
          <w:tcPr>
            <w:tcW w:w="680" w:type="dxa"/>
            <w:vAlign w:val="bottom"/>
            <w:tcBorders>
              <w:bottom w:val="single" w:sz="8" w:color="auto"/>
            </w:tcBorders>
            <w:vMerge w:val="continue"/>
          </w:tcPr>
          <w:p>
            <w:pPr>
              <w:spacing w:after="0"/>
              <w:rPr>
                <w:sz w:val="13"/>
                <w:szCs w:val="13"/>
                <w:color w:val="auto"/>
              </w:rPr>
            </w:pPr>
          </w:p>
        </w:tc>
        <w:tc>
          <w:tcPr>
            <w:tcW w:w="2420" w:type="dxa"/>
            <w:vAlign w:val="bottom"/>
            <w:gridSpan w:val="2"/>
          </w:tcPr>
          <w:p>
            <w:pPr>
              <w:jc w:val="center"/>
              <w:ind w:left="1454"/>
              <w:spacing w:after="0" w:line="160"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24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30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4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28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22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(6)</w:t>
            </w:r>
          </w:p>
        </w:tc>
        <w:tc>
          <w:tcPr>
            <w:tcW w:w="22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(7)</w:t>
            </w:r>
          </w:p>
        </w:tc>
        <w:tc>
          <w:tcPr>
            <w:tcW w:w="280" w:type="dxa"/>
            <w:vAlign w:val="bottom"/>
          </w:tcPr>
          <w:p>
            <w:pPr>
              <w:spacing w:after="0"/>
              <w:rPr>
                <w:sz w:val="13"/>
                <w:szCs w:val="13"/>
                <w:color w:val="auto"/>
              </w:rPr>
            </w:pPr>
          </w:p>
        </w:tc>
        <w:tc>
          <w:tcPr>
            <w:tcW w:w="780" w:type="dxa"/>
            <w:vAlign w:val="bottom"/>
          </w:tcPr>
          <w:p>
            <w:pPr>
              <w:jc w:val="right"/>
              <w:ind w:right="257"/>
              <w:spacing w:after="0" w:line="160" w:lineRule="exact"/>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20"/>
        </w:trPr>
        <w:tc>
          <w:tcPr>
            <w:tcW w:w="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5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vMerge w:val="continue"/>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7,354,330</w:t>
            </w:r>
          </w:p>
        </w:tc>
        <w:tc>
          <w:tcPr>
            <w:tcW w:w="24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3,601,765</w:t>
            </w:r>
          </w:p>
        </w:tc>
        <w:tc>
          <w:tcPr>
            <w:tcW w:w="30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3,069,851</w:t>
            </w:r>
          </w:p>
        </w:tc>
        <w:tc>
          <w:tcPr>
            <w:tcW w:w="24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1,238,613</w:t>
            </w:r>
          </w:p>
        </w:tc>
        <w:tc>
          <w:tcPr>
            <w:tcW w:w="2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67.87</w:t>
            </w:r>
          </w:p>
        </w:tc>
        <w:tc>
          <w:tcPr>
            <w:tcW w:w="22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277.04</w:t>
            </w:r>
          </w:p>
        </w:tc>
        <w:tc>
          <w:tcPr>
            <w:tcW w:w="22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(75.9)</w:t>
            </w:r>
          </w:p>
        </w:tc>
        <w:tc>
          <w:tcPr>
            <w:tcW w:w="78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390.7</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7,477,266</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12,086,018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3,796,963</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5,813,059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173.73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5,808,060</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(778,845)</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2,781,316</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(358,615)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147.59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(169.4)</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5,904,850</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(5,223,250)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3,702,220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(483,113)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95.21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6,205,867</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21,197,673</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2,592,611</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9,835,394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148.53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120.65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424" w:right="60" w:hanging="424"/>
        <w:spacing w:after="0" w:line="257"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are the amounts of total compensation reported for the Company’s principal executive officer, or PEO, Dr. Feng-Ming (Fermi) Wang, for each corresponding fiscal year in the “Total” column of the Summary Compensation Table. Refer to “Executive Compensation – Summary Compensation Table for Fiscal Year 2026,” above.</w:t>
      </w:r>
    </w:p>
    <w:p>
      <w:pPr>
        <w:spacing w:after="0" w:line="1" w:lineRule="exact"/>
        <w:rPr>
          <w:rFonts w:ascii="Times New Roman" w:cs="Times New Roman" w:eastAsia="Times New Roman" w:hAnsi="Times New Roman"/>
          <w:sz w:val="18"/>
          <w:szCs w:val="18"/>
          <w:color w:val="auto"/>
        </w:rPr>
      </w:pPr>
    </w:p>
    <w:p>
      <w:pPr>
        <w:ind w:left="424" w:right="140" w:hanging="424"/>
        <w:spacing w:after="0" w:line="255"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does not mean that our PEO was actually paid those amounts in the listed fiscal year, but this is a dollar amount derived from the starting point of the compensation reported in the “Total” column of the Summary Compensation Table, under the methodology prescribed under the SEC’s rules, as shown in the reconciliation table below.</w:t>
      </w:r>
    </w:p>
    <w:p>
      <w:pPr>
        <w:spacing w:after="0" w:line="77" w:lineRule="exact"/>
        <w:rPr>
          <w:rFonts w:ascii="Times New Roman" w:cs="Times New Roman" w:eastAsia="Times New Roman" w:hAnsi="Times New Roman"/>
          <w:sz w:val="18"/>
          <w:szCs w:val="18"/>
          <w:color w:val="auto"/>
        </w:rPr>
      </w:pPr>
    </w:p>
    <w:p>
      <w:pPr>
        <w:ind w:left="444"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a reconciliation of total compensation paid to the PEO for each year as reported in the Summary Compensation Table, above, to the compensation actually paid to the PEO, which was computed in accordance with Item 402(v) of Regulation S-K, as reported in the Pay versus Performance table, above.</w:t>
      </w:r>
    </w:p>
    <w:p>
      <w:pPr>
        <w:spacing w:after="0" w:line="184"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Exclusion</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Inclusion of</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Equals</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53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for</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5320" w:type="dxa"/>
            <w:vAlign w:val="bottom"/>
          </w:tcPr>
          <w:p>
            <w:pPr>
              <w:spacing w:after="0"/>
              <w:rPr>
                <w:sz w:val="15"/>
                <w:szCs w:val="15"/>
                <w:color w:val="auto"/>
              </w:rPr>
            </w:pPr>
          </w:p>
        </w:tc>
        <w:tc>
          <w:tcPr>
            <w:tcW w:w="12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for PEO($)</w:t>
            </w:r>
          </w:p>
        </w:tc>
        <w:tc>
          <w:tcPr>
            <w:tcW w:w="11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PEO($)</w:t>
            </w:r>
          </w:p>
        </w:tc>
        <w:tc>
          <w:tcPr>
            <w:tcW w:w="11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PEO($)</w:t>
            </w:r>
          </w:p>
        </w:tc>
        <w:tc>
          <w:tcPr>
            <w:tcW w:w="11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to PEO($)</w:t>
            </w:r>
          </w:p>
        </w:tc>
        <w:tc>
          <w:tcPr>
            <w:tcW w:w="0" w:type="dxa"/>
            <w:vAlign w:val="bottom"/>
          </w:tcPr>
          <w:p>
            <w:pPr>
              <w:spacing w:after="0"/>
              <w:rPr>
                <w:sz w:val="1"/>
                <w:szCs w:val="1"/>
                <w:color w:val="auto"/>
              </w:rPr>
            </w:pPr>
          </w:p>
        </w:tc>
      </w:tr>
      <w:tr>
        <w:trPr>
          <w:trHeight w:val="190"/>
        </w:trPr>
        <w:tc>
          <w:tcPr>
            <w:tcW w:w="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53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7,354,330</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1"/>
              </w:rPr>
              <w:t>(5,933,330)</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2,180,765</w:t>
            </w:r>
          </w:p>
        </w:tc>
        <w:tc>
          <w:tcPr>
            <w:tcW w:w="3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3,601,765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6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7,477,266</w:t>
            </w:r>
          </w:p>
        </w:tc>
        <w:tc>
          <w:tcPr>
            <w:tcW w:w="26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(6,353,359)</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10,962,111</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12,086,018</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6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5,808,060</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(5,050,710)</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(1,536,195)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(778,845)</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6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5,904,850</w:t>
            </w:r>
          </w:p>
        </w:tc>
        <w:tc>
          <w:tcPr>
            <w:tcW w:w="26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(5,343,850)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(5,784,250)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(5,223,250)</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6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6,205,867</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(4,905,867)</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19,897,673</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21,197,673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4"/>
          </w:cols>
          <w:pgMar w:left="436" w:top="293"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amounts in the Inclusion of Equity Values for PEO column in the table above are derived from the amounts set forth in the following table:</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 Fair</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 as</w:t>
            </w: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Last Day</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4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Total-</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 at</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from Prior</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380" w:type="dxa"/>
            <w:vAlign w:val="bottom"/>
          </w:tcPr>
          <w:p>
            <w:pPr>
              <w:spacing w:after="0"/>
              <w:rPr>
                <w:sz w:val="12"/>
                <w:szCs w:val="12"/>
                <w:color w:val="auto"/>
              </w:rPr>
            </w:pPr>
          </w:p>
        </w:tc>
        <w:tc>
          <w:tcPr>
            <w:tcW w:w="9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FYE for</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for</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Year for</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4380" w:type="dxa"/>
            <w:vAlign w:val="bottom"/>
          </w:tcPr>
          <w:p>
            <w:pPr>
              <w:spacing w:after="0"/>
              <w:rPr>
                <w:sz w:val="15"/>
                <w:szCs w:val="15"/>
                <w:color w:val="auto"/>
              </w:rPr>
            </w:pPr>
          </w:p>
        </w:tc>
        <w:tc>
          <w:tcPr>
            <w:tcW w:w="90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10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10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7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7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10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PEO ($)</w:t>
            </w:r>
          </w:p>
        </w:tc>
        <w:tc>
          <w:tcPr>
            <w:tcW w:w="0" w:type="dxa"/>
            <w:vAlign w:val="bottom"/>
          </w:tcPr>
          <w:p>
            <w:pPr>
              <w:spacing w:after="0"/>
              <w:rPr>
                <w:sz w:val="1"/>
                <w:szCs w:val="1"/>
                <w:color w:val="auto"/>
              </w:rPr>
            </w:pPr>
          </w:p>
        </w:tc>
      </w:tr>
      <w:tr>
        <w:trPr>
          <w:trHeight w:val="190"/>
        </w:trPr>
        <w:tc>
          <w:tcPr>
            <w:tcW w:w="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3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6"/>
              </w:rPr>
              <w:t>4,840,318</w:t>
            </w: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(863,887)</w:t>
            </w: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(2,464,944)</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6"/>
              </w:rPr>
              <w:t>669,278</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2,180,765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52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8,296,174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91,970</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1,875,658</w:t>
            </w: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6"/>
              </w:rPr>
              <w:t>698,309</w:t>
            </w:r>
          </w:p>
        </w:tc>
        <w:tc>
          <w:tcPr>
            <w:tcW w:w="14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10,962,111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52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2,486,054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(326,581)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(472,449)</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6"/>
              </w:rPr>
              <w:t>477,210</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(1,536,195)</w:t>
            </w:r>
          </w:p>
        </w:tc>
        <w:tc>
          <w:tcPr>
            <w:tcW w:w="0" w:type="dxa"/>
            <w:vAlign w:val="bottom"/>
          </w:tcPr>
          <w:p>
            <w:pPr>
              <w:spacing w:after="0"/>
              <w:rPr>
                <w:sz w:val="1"/>
                <w:szCs w:val="1"/>
                <w:color w:val="auto"/>
              </w:rPr>
            </w:pPr>
          </w:p>
        </w:tc>
      </w:tr>
      <w:tr>
        <w:trPr>
          <w:trHeight w:val="202"/>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5280" w:type="dxa"/>
            <w:vAlign w:val="bottom"/>
            <w:gridSpan w:val="3"/>
          </w:tcPr>
          <w:p>
            <w:pPr>
              <w:ind w:left="4500"/>
              <w:spacing w:after="0"/>
              <w:rPr>
                <w:sz w:val="20"/>
                <w:szCs w:val="20"/>
                <w:color w:val="auto"/>
              </w:rPr>
            </w:pPr>
            <w:r>
              <w:rPr>
                <w:rFonts w:ascii="Times New Roman" w:cs="Times New Roman" w:eastAsia="Times New Roman" w:hAnsi="Times New Roman"/>
                <w:sz w:val="16"/>
                <w:szCs w:val="16"/>
                <w:color w:val="auto"/>
              </w:rPr>
              <w:t>4,221,283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(1,451,046)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(9,054,092)</w:t>
            </w: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6"/>
              </w:rPr>
              <w:t>499,604</w:t>
            </w:r>
          </w:p>
        </w:tc>
        <w:tc>
          <w:tcPr>
            <w:tcW w:w="140" w:type="dxa"/>
            <w:vAlign w:val="bottom"/>
          </w:tcPr>
          <w:p>
            <w:pPr>
              <w:spacing w:after="0"/>
              <w:rPr>
                <w:sz w:val="17"/>
                <w:szCs w:val="17"/>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(5,784,250)</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5280" w:type="dxa"/>
            <w:vAlign w:val="bottom"/>
            <w:gridSpan w:val="3"/>
            <w:shd w:val="clear" w:color="auto" w:fill="CCEEFF"/>
          </w:tcPr>
          <w:p>
            <w:pPr>
              <w:ind w:left="4500"/>
              <w:spacing w:after="0"/>
              <w:rPr>
                <w:sz w:val="20"/>
                <w:szCs w:val="20"/>
                <w:color w:val="auto"/>
              </w:rPr>
            </w:pPr>
            <w:r>
              <w:rPr>
                <w:rFonts w:ascii="Times New Roman" w:cs="Times New Roman" w:eastAsia="Times New Roman" w:hAnsi="Times New Roman"/>
                <w:sz w:val="16"/>
                <w:szCs w:val="16"/>
                <w:color w:val="auto"/>
              </w:rPr>
              <w:t>5,627,028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1,909,656</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11,606,228</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6"/>
              </w:rPr>
              <w:t>754,761</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19,897,673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60" w:hanging="424"/>
        <w:spacing w:after="0" w:line="268" w:lineRule="auto"/>
        <w:tabs>
          <w:tab w:leader="none" w:pos="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in this column represent the average of the amounts reported for the Company’s NEOs other than the Company’s PEO (the “Non-PEO NEOs”), for each corresponding fiscal year in the “Total” column of the Summary Compensation Table. Refer to “Executive Compensation –Summary Compensation Table for Fiscal Year 2026” above and the Summary Compensation Tables for fiscal years 2025 - 2022 contained in the Company’s previously filed proxy statements. The non-PEO NEOs included for purposes of calculating the average amounts in each applicable year are as follows: (i) for fiscal year 2026, Les Kohn, John Young, Chan Lee, and John Ju; (ii) for fiscal year 2025, Les Kohn, John Young, Chan Lee, and John Ju; (iii) for fiscal year 2024, Les Kohn, Brian White, Chan Lee, and John Ju; (iv) for fiscal year 2023, Les Kohn, Brian White, Chan Lee, John Ju, and John Young; and (v) for fiscal year 2022, Les Kohn, Casey Eichler, Chan Lee, John Ju, and John Young.</w:t>
      </w:r>
    </w:p>
    <w:p>
      <w:pPr>
        <w:spacing w:after="0" w:line="2" w:lineRule="exact"/>
        <w:rPr>
          <w:rFonts w:ascii="Times New Roman" w:cs="Times New Roman" w:eastAsia="Times New Roman" w:hAnsi="Times New Roman"/>
          <w:sz w:val="17"/>
          <w:szCs w:val="17"/>
          <w:color w:val="auto"/>
        </w:rPr>
      </w:pPr>
    </w:p>
    <w:p>
      <w:pPr>
        <w:ind w:left="540" w:right="160" w:hanging="424"/>
        <w:spacing w:after="0" w:line="253"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is the average of compensation actually paid for the Non-PEO NEOs in each listed fiscal year. Compensation actually paid does not mean that these Non-PEO NEOs were actually paid those amounts in the listed year, but this is a dollar amount derived from the starting point of Summary Compensation Table total compensation under the methodology prescribed under the SEC’s rules, as shown in the reconciliation table below.</w:t>
      </w:r>
    </w:p>
    <w:p>
      <w:pPr>
        <w:spacing w:after="0" w:line="80" w:lineRule="exact"/>
        <w:rPr>
          <w:rFonts w:ascii="Times New Roman" w:cs="Times New Roman" w:eastAsia="Times New Roman" w:hAnsi="Times New Roman"/>
          <w:sz w:val="18"/>
          <w:szCs w:val="18"/>
          <w:color w:val="auto"/>
        </w:rPr>
      </w:pPr>
    </w:p>
    <w:p>
      <w:pPr>
        <w:ind w:left="560" w:right="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following table presents a reconciliation of the average of the total compensation paid to Non-PEO NEOs for each year as reported in the Summary Compensation Table above and in the Company’s previously filed proxy statements to the average compensation actually paid to the Non-PEO NEOs, which was computed in accordance with Item 402(v) of Regulation S-K, as reported in the Pay versus Performance table, above.</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Equals</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Exclusion</w:t>
            </w: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Inclusion</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55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0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5540" w:type="dxa"/>
            <w:vAlign w:val="bottom"/>
          </w:tcPr>
          <w:p>
            <w:pPr>
              <w:spacing w:after="0"/>
              <w:rPr>
                <w:sz w:val="15"/>
                <w:szCs w:val="15"/>
                <w:color w:val="auto"/>
              </w:rPr>
            </w:pPr>
          </w:p>
        </w:tc>
        <w:tc>
          <w:tcPr>
            <w:tcW w:w="11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10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10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0" w:type="dxa"/>
            <w:vAlign w:val="bottom"/>
          </w:tcPr>
          <w:p>
            <w:pPr>
              <w:spacing w:after="0"/>
              <w:rPr>
                <w:sz w:val="1"/>
                <w:szCs w:val="1"/>
                <w:color w:val="auto"/>
              </w:rPr>
            </w:pPr>
          </w:p>
        </w:tc>
      </w:tr>
      <w:tr>
        <w:trPr>
          <w:trHeight w:val="189"/>
        </w:trPr>
        <w:tc>
          <w:tcPr>
            <w:tcW w:w="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55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3,069,851</w:t>
            </w: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1"/>
              </w:rPr>
              <w:t>(2,373,332)</w:t>
            </w:r>
          </w:p>
        </w:tc>
        <w:tc>
          <w:tcPr>
            <w:tcW w:w="3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542,094</w:t>
            </w:r>
          </w:p>
        </w:tc>
        <w:tc>
          <w:tcPr>
            <w:tcW w:w="3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1,238,613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3,796,963</w:t>
            </w:r>
          </w:p>
        </w:tc>
        <w:tc>
          <w:tcPr>
            <w:tcW w:w="24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(3,174,263)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5,190,359</w:t>
            </w:r>
          </w:p>
        </w:tc>
        <w:tc>
          <w:tcPr>
            <w:tcW w:w="3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5,813,059</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2,781,316</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(2,359,584)</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(780,347)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(358,615)</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3,702,220</w:t>
            </w:r>
          </w:p>
        </w:tc>
        <w:tc>
          <w:tcPr>
            <w:tcW w:w="24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(3,324,397)</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(860,936)</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(483,113)</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6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2,592,611</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(1,956,274)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9,199,057</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9,835,394</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580"/>
        <w:spacing w:after="0" w:line="282" w:lineRule="auto"/>
        <w:rPr>
          <w:sz w:val="20"/>
          <w:szCs w:val="20"/>
          <w:color w:val="auto"/>
        </w:rPr>
      </w:pPr>
      <w:r>
        <w:rPr>
          <w:rFonts w:ascii="Times New Roman" w:cs="Times New Roman" w:eastAsia="Times New Roman" w:hAnsi="Times New Roman"/>
          <w:sz w:val="18"/>
          <w:szCs w:val="18"/>
          <w:color w:val="auto"/>
        </w:rPr>
        <w:t>The amounts in the Inclusion of Equity Values for Non-PEO NEOs column in the table above are derived from the amounts set forth in the following table: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as</w:t>
            </w:r>
          </w:p>
        </w:tc>
        <w:tc>
          <w:tcPr>
            <w:tcW w:w="9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Last Day</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10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Total-</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Vested in</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Inclusion</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 at</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from Prior</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FYE for</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for</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for</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4060" w:type="dxa"/>
            <w:vAlign w:val="bottom"/>
          </w:tcPr>
          <w:p>
            <w:pPr>
              <w:spacing w:after="0"/>
              <w:rPr>
                <w:sz w:val="15"/>
                <w:szCs w:val="15"/>
                <w:color w:val="auto"/>
              </w:rPr>
            </w:pPr>
          </w:p>
        </w:tc>
        <w:tc>
          <w:tcPr>
            <w:tcW w:w="9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10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11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8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NEOs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NEOs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NEOs ($)</w:t>
            </w:r>
          </w:p>
        </w:tc>
        <w:tc>
          <w:tcPr>
            <w:tcW w:w="0" w:type="dxa"/>
            <w:vAlign w:val="bottom"/>
          </w:tcPr>
          <w:p>
            <w:pPr>
              <w:spacing w:after="0"/>
              <w:rPr>
                <w:sz w:val="1"/>
                <w:szCs w:val="1"/>
                <w:color w:val="auto"/>
              </w:rPr>
            </w:pPr>
          </w:p>
        </w:tc>
      </w:tr>
      <w:tr>
        <w:trPr>
          <w:trHeight w:val="189"/>
        </w:trPr>
        <w:tc>
          <w:tcPr>
            <w:tcW w:w="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0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6"/>
              </w:rPr>
              <w:t>1,936,127</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(1,002,882)</w:t>
            </w:r>
          </w:p>
        </w:tc>
        <w:tc>
          <w:tcPr>
            <w:tcW w:w="3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(658,866)</w:t>
            </w:r>
          </w:p>
        </w:tc>
        <w:tc>
          <w:tcPr>
            <w:tcW w:w="3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6"/>
              </w:rPr>
              <w:t>267,715</w:t>
            </w: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— </w:t>
            </w: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542,094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5040" w:type="dxa"/>
            <w:vAlign w:val="bottom"/>
            <w:gridSpan w:val="3"/>
          </w:tcPr>
          <w:p>
            <w:pPr>
              <w:ind w:left="4140"/>
              <w:spacing w:after="0"/>
              <w:rPr>
                <w:sz w:val="20"/>
                <w:szCs w:val="20"/>
                <w:color w:val="auto"/>
              </w:rPr>
            </w:pPr>
            <w:r>
              <w:rPr>
                <w:rFonts w:ascii="Times New Roman" w:cs="Times New Roman" w:eastAsia="Times New Roman" w:hAnsi="Times New Roman"/>
                <w:sz w:val="16"/>
                <w:szCs w:val="16"/>
                <w:color w:val="auto"/>
              </w:rPr>
              <w:t>4,040,115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34,447</w:t>
            </w:r>
          </w:p>
        </w:tc>
        <w:tc>
          <w:tcPr>
            <w:tcW w:w="30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703,516</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412,281</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5,190,359</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5040" w:type="dxa"/>
            <w:vAlign w:val="bottom"/>
            <w:gridSpan w:val="3"/>
            <w:shd w:val="clear" w:color="auto" w:fill="CCEEFF"/>
          </w:tcPr>
          <w:p>
            <w:pPr>
              <w:ind w:left="4140"/>
              <w:spacing w:after="0"/>
              <w:rPr>
                <w:sz w:val="20"/>
                <w:szCs w:val="20"/>
                <w:color w:val="auto"/>
              </w:rPr>
            </w:pPr>
            <w:r>
              <w:rPr>
                <w:rFonts w:ascii="Times New Roman" w:cs="Times New Roman" w:eastAsia="Times New Roman" w:hAnsi="Times New Roman"/>
                <w:sz w:val="16"/>
                <w:szCs w:val="16"/>
                <w:color w:val="auto"/>
              </w:rPr>
              <w:t>1,161,428</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(261,971)</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(1,883,274)</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203,470</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(780,347)</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5040" w:type="dxa"/>
            <w:vAlign w:val="bottom"/>
            <w:gridSpan w:val="3"/>
          </w:tcPr>
          <w:p>
            <w:pPr>
              <w:ind w:left="4140"/>
              <w:spacing w:after="0"/>
              <w:rPr>
                <w:sz w:val="20"/>
                <w:szCs w:val="20"/>
                <w:color w:val="auto"/>
              </w:rPr>
            </w:pPr>
            <w:r>
              <w:rPr>
                <w:rFonts w:ascii="Times New Roman" w:cs="Times New Roman" w:eastAsia="Times New Roman" w:hAnsi="Times New Roman"/>
                <w:sz w:val="16"/>
                <w:szCs w:val="16"/>
                <w:color w:val="auto"/>
              </w:rPr>
              <w:t>2,779,010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(615,781)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(3,238,882)</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214,717</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(860,936)</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5040" w:type="dxa"/>
            <w:vAlign w:val="bottom"/>
            <w:gridSpan w:val="3"/>
            <w:shd w:val="clear" w:color="auto" w:fill="CCEEFF"/>
          </w:tcPr>
          <w:p>
            <w:pPr>
              <w:ind w:left="4140"/>
              <w:spacing w:after="0"/>
              <w:rPr>
                <w:sz w:val="20"/>
                <w:szCs w:val="20"/>
                <w:color w:val="auto"/>
              </w:rPr>
            </w:pPr>
            <w:r>
              <w:rPr>
                <w:rFonts w:ascii="Times New Roman" w:cs="Times New Roman" w:eastAsia="Times New Roman" w:hAnsi="Times New Roman"/>
                <w:sz w:val="16"/>
                <w:szCs w:val="16"/>
                <w:color w:val="auto"/>
              </w:rPr>
              <w:t>2,243,894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1,303,642</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5,350,587</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300,933</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9,199,057</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720" w:hanging="424"/>
        <w:spacing w:after="0" w:line="261"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is calculated by assuming that a $100 investment was made on the last trading day prior to February 1, 2021, the beginning of the earliest fiscal year reported in this table, and reinvesting all dividends until the last day of each reported fiscal year.</w:t>
      </w:r>
    </w:p>
    <w:p>
      <w:pPr>
        <w:ind w:left="540" w:right="18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used is the PHLX Semiconductor Sector Index (SOX), as used in the performance graph included in our annual report. Total shareholder return is calculated by assuming that a $100 investment was made on the last trading day prior to February 1, 2021, the beginning of the earliest fiscal year reported in this table, and reinvesting all dividends until the last day of each reported fiscal year.</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Company’s net income reflected in the Company’s audited financial statements.</w:t>
      </w:r>
    </w:p>
    <w:p>
      <w:pPr>
        <w:spacing w:after="0" w:line="9" w:lineRule="exact"/>
        <w:rPr>
          <w:rFonts w:ascii="Times New Roman" w:cs="Times New Roman" w:eastAsia="Times New Roman" w:hAnsi="Times New Roman"/>
          <w:sz w:val="18"/>
          <w:szCs w:val="18"/>
          <w:color w:val="auto"/>
        </w:rPr>
      </w:pPr>
    </w:p>
    <w:p>
      <w:pPr>
        <w:ind w:left="540" w:right="240" w:hanging="424"/>
        <w:spacing w:after="0" w:line="270" w:lineRule="auto"/>
        <w:tabs>
          <w:tab w:leader="none" w:pos="5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metric in this column, the Company’s revenue as reflected in the Company’s audited financial statements, in our assessment, represents the most important Company financial performance measure (that is not otherwise disclosed in this table) used in fiscal year 2026 to link compensation actually paid to company performance for the NEOs for all years presented. In particular, 1/3 of the annual bonus program for NEOs for fiscal year 2026 is based on the revenue metric. Other key financial performance measures linked to executive compensation are described under “Financial Performance Measures,” below. For additional information regarding actual performance, peer group, and executive compensation for the most recently completed fiscal year, see “Executive Compensation – Compensation Discussion and Analysis,” above.</w:t>
      </w:r>
    </w:p>
    <w:p>
      <w:pPr>
        <w:spacing w:after="0" w:line="280"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Analysis of Information Presented in the Pay Versus Performance Table</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below, the relationships between certain information presented in the Pay Versus Performance table, above. We utilize several financial performance measures to align executive compensation with Company financial performance as described in “Executive Compensation – Compensation Discussion and Analysis,” however, not all of those measures are presented in the Pay versus Performance table, above, nor in the below graphs. We generally seek to incentivize long-term performance using various performance measures, which may not result in alignment of individual performance measures with compensation actually paid (as computed in accordance with Item 402(v) of Regulation S-K, which incorporates various elements including, but not limited to, changes in value based on the Company’s stock price to the vesting date or during the year) for a particular year.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i w:val="1"/>
          <w:iCs w:val="1"/>
          <w:color w:val="auto"/>
        </w:rPr>
        <w:t>Relationship Between PEO Compensation Actually Paid and Non-PEO NEOs Average Compensation Actually Paid and Total Shareholder Return (“TSR”)</w:t>
      </w:r>
    </w:p>
    <w:p>
      <w:pPr>
        <w:spacing w:after="0" w:line="5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(or CAP) to our PEO, the average of compensation actually paid to our Non-PEO NEOs, and the Company’s cumulative TSR as well as the PHLX Semiconductor Sector Index cumulative TSR for the fiscal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140335</wp:posOffset>
            </wp:positionV>
            <wp:extent cx="3891915" cy="22631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9191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Relationship Between PEO Compensation Actually Paid and Non-PEO NEOs Average Compensation Actually Paid and Net Income (Loss)</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(loss) during the fiscal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131445</wp:posOffset>
            </wp:positionV>
            <wp:extent cx="3909060" cy="2057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90906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82"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Relationship Between PEO Compensation Actually Paid and Non-PEO NEOs Average Compensation Actually Paid and Revenue</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revenue for the fiscal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131445</wp:posOffset>
            </wp:positionV>
            <wp:extent cx="3891915" cy="2048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9191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Financial Performance Measures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in further detail in “Executive Compensation – Compensation Discussion and Analysis” above, our executive compensation program incorporates various Company financial performance metrics. Such metrics are used in both our long-term and short-term incentive awards and are selected with the objective of incentivizing our PEO and Non-PEO NEOs to increase the long-term value of our Company for shareholders. The three most important financial performance measures used in fiscal year 2026 to link executive compensation actually paid to our PEO and Non-PEO NEOs, for the most recently completed fiscal year, to our financial performance are as follows (listed in no particular order of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145415</wp:posOffset>
            </wp:positionV>
            <wp:extent cx="3042920" cy="9683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42920" cy="968375"/>
                    </a:xfrm>
                    <a:prstGeom prst="rect">
                      <a:avLst/>
                    </a:prstGeom>
                    <a:noFill/>
                  </pic:spPr>
                </pic:pic>
              </a:graphicData>
            </a:graphic>
          </wp:anchor>
        </w:drawing>
      </w:r>
    </w:p>
    <w:p>
      <w:pPr>
        <w:spacing w:after="0" w:line="294" w:lineRule="exact"/>
        <w:rPr>
          <w:sz w:val="20"/>
          <w:szCs w:val="20"/>
          <w:color w:val="auto"/>
        </w:rPr>
      </w:pPr>
    </w:p>
    <w:p>
      <w:pPr>
        <w:ind w:left="960" w:right="6340" w:hanging="844"/>
        <w:spacing w:after="0" w:line="378" w:lineRule="auto"/>
        <w:tabs>
          <w:tab w:leader="none" w:pos="30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Most Important Financial Performance Measures </w:t>
      </w:r>
      <w:r>
        <w:rPr>
          <w:rFonts w:ascii="Times New Roman" w:cs="Times New Roman" w:eastAsia="Times New Roman" w:hAnsi="Times New Roman"/>
          <w:sz w:val="18"/>
          <w:szCs w:val="18"/>
          <w:color w:val="auto"/>
        </w:rPr>
        <w:t>Revenue</w:t>
      </w:r>
    </w:p>
    <w:p>
      <w:pPr>
        <w:ind w:left="960"/>
        <w:spacing w:after="0"/>
        <w:rPr>
          <w:sz w:val="20"/>
          <w:szCs w:val="20"/>
          <w:color w:val="auto"/>
        </w:rPr>
      </w:pPr>
      <w:r>
        <w:rPr>
          <w:rFonts w:ascii="Times New Roman" w:cs="Times New Roman" w:eastAsia="Times New Roman" w:hAnsi="Times New Roman"/>
          <w:sz w:val="18"/>
          <w:szCs w:val="18"/>
          <w:color w:val="auto"/>
        </w:rPr>
        <w:t>Non-GAAP operating profit before bonus accruals</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Total Shareholder Return relative to semiconductor companies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 the Russell 2000 Index</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5" w:name="page66"/>
    <w:bookmarkEnd w:id="6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EQUITY COMPENSATION PLAN INFORMATION</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The following table provides certain information with respect to all of Ambarella’s equity compensation plans in effect as of January 31, 2026:</w:t>
      </w:r>
    </w:p>
    <w:p>
      <w:pPr>
        <w:sectPr>
          <w:pgSz w:w="11900" w:h="16838" w:orient="portrait"/>
          <w:cols w:equalWidth="0" w:num="1">
            <w:col w:w="11024"/>
          </w:cols>
          <w:pgMar w:left="436" w:top="29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Plan Category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184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184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184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184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184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20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184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220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the first</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9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9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-3557905</wp:posOffset>
            </wp:positionH>
            <wp:positionV relativeFrom="paragraph">
              <wp:posOffset>-8255</wp:posOffset>
            </wp:positionV>
            <wp:extent cx="699516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4884" w:space="720"/>
            <w:col w:w="5420"/>
          </w:cols>
          <w:pgMar w:left="436" w:top="293" w:right="439" w:bottom="1440" w:gutter="0" w:footer="0" w:header="0"/>
          <w:type w:val="continuous"/>
        </w:sectPr>
      </w:pPr>
    </w:p>
    <w:tbl>
      <w:tblPr>
        <w:tblLayout w:type="fixed"/>
        <w:tblInd w:w="4" w:type="dxa"/>
        <w:tblCellMar>
          <w:top w:w="0" w:type="dxa"/>
          <w:left w:w="0" w:type="dxa"/>
          <w:bottom w:w="0" w:type="dxa"/>
          <w:right w:w="0" w:type="dxa"/>
        </w:tblCellMar>
      </w:tblPr>
      <w:tr>
        <w:trPr>
          <w:trHeight w:val="235"/>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w w:val="94"/>
              </w:rPr>
              <w:t>2012</w:t>
            </w:r>
          </w:p>
        </w:tc>
        <w:tc>
          <w:tcPr>
            <w:tcW w:w="4400" w:type="dxa"/>
            <w:vAlign w:val="bottom"/>
          </w:tcPr>
          <w:p>
            <w:pPr>
              <w:ind w:left="40"/>
              <w:spacing w:after="0" w:line="235" w:lineRule="exact"/>
              <w:rPr>
                <w:sz w:val="20"/>
                <w:szCs w:val="20"/>
                <w:color w:val="auto"/>
              </w:rPr>
            </w:pPr>
            <w:r>
              <w:rPr>
                <w:rFonts w:ascii="Times New Roman" w:cs="Times New Roman" w:eastAsia="Times New Roman" w:hAnsi="Times New Roman"/>
                <w:sz w:val="18"/>
                <w:szCs w:val="18"/>
                <w:i w:val="1"/>
                <w:iCs w:val="1"/>
                <w:color w:val="auto"/>
              </w:rPr>
              <w:t>Equity Incentive Plan</w:t>
            </w:r>
            <w:r>
              <w:rPr>
                <w:rFonts w:ascii="Times New Roman" w:cs="Times New Roman" w:eastAsia="Times New Roman" w:hAnsi="Times New Roman"/>
                <w:sz w:val="26"/>
                <w:szCs w:val="26"/>
                <w:color w:val="auto"/>
                <w:vertAlign w:val="superscript"/>
              </w:rPr>
              <w:t>(1)</w:t>
            </w:r>
          </w:p>
        </w:tc>
        <w:tc>
          <w:tcPr>
            <w:tcW w:w="1960" w:type="dxa"/>
            <w:vAlign w:val="bottom"/>
          </w:tcPr>
          <w:p>
            <w:pPr>
              <w:jc w:val="right"/>
              <w:ind w:right="291"/>
              <w:spacing w:after="0" w:line="235" w:lineRule="exact"/>
              <w:rPr>
                <w:sz w:val="20"/>
                <w:szCs w:val="20"/>
                <w:color w:val="auto"/>
              </w:rPr>
            </w:pPr>
            <w:r>
              <w:rPr>
                <w:rFonts w:ascii="Times New Roman" w:cs="Times New Roman" w:eastAsia="Times New Roman" w:hAnsi="Times New Roman"/>
                <w:sz w:val="18"/>
                <w:szCs w:val="18"/>
                <w:color w:val="auto"/>
              </w:rPr>
              <w:t>158,195</w:t>
            </w:r>
            <w:r>
              <w:rPr>
                <w:rFonts w:ascii="Times New Roman" w:cs="Times New Roman" w:eastAsia="Times New Roman" w:hAnsi="Times New Roman"/>
                <w:sz w:val="26"/>
                <w:szCs w:val="26"/>
                <w:color w:val="auto"/>
                <w:vertAlign w:val="superscript"/>
              </w:rPr>
              <w:t>(5)</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52.87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w w:val="94"/>
              </w:rPr>
              <w:t>2012</w:t>
            </w:r>
          </w:p>
        </w:tc>
        <w:tc>
          <w:tcPr>
            <w:tcW w:w="440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7"/>
                <w:szCs w:val="17"/>
                <w:i w:val="1"/>
                <w:iCs w:val="1"/>
                <w:color w:val="auto"/>
              </w:rPr>
              <w:t>Employee Stock Purchase Plan</w:t>
            </w:r>
            <w:r>
              <w:rPr>
                <w:rFonts w:ascii="Times New Roman" w:cs="Times New Roman" w:eastAsia="Times New Roman" w:hAnsi="Times New Roman"/>
                <w:sz w:val="25"/>
                <w:szCs w:val="25"/>
                <w:color w:val="auto"/>
                <w:vertAlign w:val="superscript"/>
              </w:rPr>
              <w:t>(2)</w:t>
            </w:r>
          </w:p>
        </w:tc>
        <w:tc>
          <w:tcPr>
            <w:tcW w:w="196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3,975,230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w w:val="94"/>
              </w:rPr>
              <w:t>2021</w:t>
            </w:r>
          </w:p>
        </w:tc>
        <w:tc>
          <w:tcPr>
            <w:tcW w:w="4400" w:type="dxa"/>
            <w:vAlign w:val="bottom"/>
          </w:tcPr>
          <w:p>
            <w:pPr>
              <w:ind w:left="40"/>
              <w:spacing w:after="0" w:line="216" w:lineRule="exact"/>
              <w:rPr>
                <w:sz w:val="20"/>
                <w:szCs w:val="20"/>
                <w:color w:val="auto"/>
              </w:rPr>
            </w:pPr>
            <w:r>
              <w:rPr>
                <w:rFonts w:ascii="Times New Roman" w:cs="Times New Roman" w:eastAsia="Times New Roman" w:hAnsi="Times New Roman"/>
                <w:sz w:val="17"/>
                <w:szCs w:val="17"/>
                <w:i w:val="1"/>
                <w:iCs w:val="1"/>
                <w:color w:val="auto"/>
              </w:rPr>
              <w:t>Equity Incentive Plan</w:t>
            </w:r>
            <w:r>
              <w:rPr>
                <w:rFonts w:ascii="Times New Roman" w:cs="Times New Roman" w:eastAsia="Times New Roman" w:hAnsi="Times New Roman"/>
                <w:sz w:val="25"/>
                <w:szCs w:val="25"/>
                <w:color w:val="auto"/>
                <w:vertAlign w:val="superscript"/>
              </w:rPr>
              <w:t>(3)</w:t>
            </w:r>
          </w:p>
        </w:tc>
        <w:tc>
          <w:tcPr>
            <w:tcW w:w="1960" w:type="dxa"/>
            <w:vAlign w:val="bottom"/>
          </w:tcPr>
          <w:p>
            <w:pPr>
              <w:jc w:val="right"/>
              <w:ind w:right="291"/>
              <w:spacing w:after="0" w:line="216" w:lineRule="exact"/>
              <w:rPr>
                <w:sz w:val="20"/>
                <w:szCs w:val="20"/>
                <w:color w:val="auto"/>
              </w:rPr>
            </w:pPr>
            <w:r>
              <w:rPr>
                <w:rFonts w:ascii="Times New Roman" w:cs="Times New Roman" w:eastAsia="Times New Roman" w:hAnsi="Times New Roman"/>
                <w:sz w:val="17"/>
                <w:szCs w:val="17"/>
                <w:color w:val="auto"/>
              </w:rPr>
              <w:t>2,621,952</w:t>
            </w:r>
            <w:r>
              <w:rPr>
                <w:rFonts w:ascii="Times New Roman" w:cs="Times New Roman" w:eastAsia="Times New Roman" w:hAnsi="Times New Roman"/>
                <w:sz w:val="25"/>
                <w:szCs w:val="25"/>
                <w:color w:val="auto"/>
                <w:vertAlign w:val="superscript"/>
              </w:rPr>
              <w:t>(6)</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1,029,783</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i w:val="1"/>
                <w:iCs w:val="1"/>
                <w:color w:val="auto"/>
              </w:rPr>
              <w:t>Oculii Corp. 2017 Stock Option Plan</w:t>
            </w:r>
            <w:r>
              <w:rPr>
                <w:rFonts w:ascii="Times New Roman" w:cs="Times New Roman" w:eastAsia="Times New Roman" w:hAnsi="Times New Roman"/>
                <w:sz w:val="25"/>
                <w:szCs w:val="25"/>
                <w:color w:val="auto"/>
                <w:vertAlign w:val="superscript"/>
              </w:rPr>
              <w:t>(4)</w:t>
            </w:r>
          </w:p>
        </w:tc>
        <w:tc>
          <w:tcPr>
            <w:tcW w:w="1960" w:type="dxa"/>
            <w:vAlign w:val="bottom"/>
          </w:tcPr>
          <w:p>
            <w:pPr>
              <w:jc w:val="right"/>
              <w:ind w:right="291"/>
              <w:spacing w:after="0" w:line="216" w:lineRule="exact"/>
              <w:rPr>
                <w:sz w:val="20"/>
                <w:szCs w:val="20"/>
                <w:color w:val="auto"/>
              </w:rPr>
            </w:pPr>
            <w:r>
              <w:rPr>
                <w:rFonts w:ascii="Times New Roman" w:cs="Times New Roman" w:eastAsia="Times New Roman" w:hAnsi="Times New Roman"/>
                <w:sz w:val="17"/>
                <w:szCs w:val="17"/>
                <w:color w:val="auto"/>
              </w:rPr>
              <w:t>1,765</w:t>
            </w:r>
            <w:r>
              <w:rPr>
                <w:rFonts w:ascii="Times New Roman" w:cs="Times New Roman" w:eastAsia="Times New Roman" w:hAnsi="Times New Roman"/>
                <w:sz w:val="25"/>
                <w:szCs w:val="25"/>
                <w:color w:val="auto"/>
                <w:vertAlign w:val="superscript"/>
              </w:rPr>
              <w:t>(7)</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17.59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2,781,912</w:t>
            </w: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400"/>
              <w:spacing w:after="0" w:line="216" w:lineRule="exact"/>
              <w:rPr>
                <w:sz w:val="20"/>
                <w:szCs w:val="20"/>
                <w:color w:val="auto"/>
              </w:rPr>
            </w:pPr>
            <w:r>
              <w:rPr>
                <w:rFonts w:ascii="Times New Roman" w:cs="Times New Roman" w:eastAsia="Times New Roman" w:hAnsi="Times New Roman"/>
                <w:sz w:val="17"/>
                <w:szCs w:val="17"/>
                <w:color w:val="auto"/>
              </w:rPr>
              <w:t>52.48</w:t>
            </w:r>
            <w:r>
              <w:rPr>
                <w:rFonts w:ascii="Times New Roman" w:cs="Times New Roman" w:eastAsia="Times New Roman" w:hAnsi="Times New Roman"/>
                <w:sz w:val="25"/>
                <w:szCs w:val="25"/>
                <w:color w:val="auto"/>
                <w:vertAlign w:val="superscript"/>
              </w:rPr>
              <w:t>(8)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20" w:hanging="424"/>
        <w:spacing w:after="0" w:line="255"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adopted, and our shareholders approved, the 2012 Equity Incentive Plan, or 2012 Plan, which became effective in October 2012 in connection with our initial public offering. As a result of the adoption of the 2021 Equity Incentive Plan, or 2021 Plan, in 2021, we no longer grant awards under the 2012 Plan; however, all outstanding options and restricted stock unit awards issued pursuant to the 2012 Plan prior to adoption of the 2021 Plan continue to be governed by their existing terms.</w:t>
      </w:r>
    </w:p>
    <w:p>
      <w:pPr>
        <w:spacing w:after="0" w:line="2"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adopted, and our shareholders approved, the 2012 Employee Stock Purchase Plan, or ESPP, which became effective in October 2012 in connection with our initial public offering. A total of 460,445 ordinary shares were initially authorized for issuance under the ESPP. The ESPP provides that the number of ordinary shares available for issuance under the ESPP will be increased on the first day of each fiscal year beginning with the 2014 fiscal year, in an amount equal to the least of (i) 1,500,000 ordinary shares, (ii) one and one-quarter percent (1.25%) of the outstanding ordinary shares on the last day of the immediately preceding fiscal year or (iii) such other amount as may be determined by the Board.</w:t>
      </w:r>
    </w:p>
    <w:p>
      <w:pPr>
        <w:spacing w:after="0" w:line="1"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adopted, and our shareholders approved, the 2021 Plan at our 2021 annual shareholder meeting. A total of 1,350,000 ordinary shares were initially authorized for issuance under the 2021 Plan, plus any shares reserved for issuance under the 2012 Plan that were not subject to outstanding awards at the time the 2021 Plan was approved by our shareholders and any shares which were subject to awards granted under the 2021 Plan and subsequently expire, terminate or are forfeited. At our 2024 annual meeting of shareholders, our shareholders approved the amendment and restatement of the 2021 Plan to increase the number of shares authorized for issuance thereunder by 1,750,000 shares.</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acquisition of Oculii Corp. in November 2021, we assumed the Oculii Corp. 2017 Stock Option Plan, or 2017 Plan. No additional awards will be granted under the 2017 Plan. However, all outstanding stock options previously granted under the 2017 Plan will remain subject to the terms of the 2017 Plan and any outstanding stock options that are cancelled or forfeited due to failure to vest will immediately expire from the 2017 Plan.</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 shares granted as restricted stock units and options to purchase 158,150 shares.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entirely of shares granted as restricted stock units.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entirely of outstanding options to purchase shares.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does not take into account outstanding restricted stock units, which have no exercise price.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4"/>
          </w:cols>
          <w:pgMar w:left="436" w:top="293" w:right="439" w:bottom="1440" w:gutter="0" w:footer="0" w:header="0"/>
          <w:type w:val="continuous"/>
        </w:sectPr>
      </w:pPr>
    </w:p>
    <w:bookmarkStart w:id="66" w:name="page67"/>
    <w:bookmarkEnd w:id="6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Ambarella’s ordinary shares as of March 1, 2026 by: (i) each director; (ii) each of the executive officers named in the Summary Compensation Table (referred to in this Proxy Statement as our “named executive officers”); (iii) all executive officers and directors of Ambarella as a group; and (iv) all those known by Ambarella to be beneficial owners of more than five percent of its ordinary shares.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6780" w:type="dxa"/>
            <w:vAlign w:val="bottom"/>
            <w:vMerge w:val="restart"/>
          </w:tcPr>
          <w:p>
            <w:pPr>
              <w:spacing w:after="0"/>
              <w:rPr>
                <w:sz w:val="15"/>
                <w:szCs w:val="15"/>
                <w:color w:val="auto"/>
              </w:rPr>
            </w:pPr>
          </w:p>
        </w:tc>
        <w:tc>
          <w:tcPr>
            <w:tcW w:w="316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Beneficial Ownership(1)</w:t>
            </w:r>
          </w:p>
        </w:tc>
        <w:tc>
          <w:tcPr>
            <w:tcW w:w="0" w:type="dxa"/>
            <w:vAlign w:val="bottom"/>
          </w:tcPr>
          <w:p>
            <w:pPr>
              <w:spacing w:after="0"/>
              <w:rPr>
                <w:sz w:val="1"/>
                <w:szCs w:val="1"/>
                <w:color w:val="auto"/>
              </w:rPr>
            </w:pPr>
          </w:p>
        </w:tc>
      </w:tr>
      <w:tr>
        <w:trPr>
          <w:trHeight w:val="149"/>
        </w:trPr>
        <w:tc>
          <w:tcPr>
            <w:tcW w:w="1080" w:type="dxa"/>
            <w:vAlign w:val="bottom"/>
            <w:tcBorders>
              <w:bottom w:val="single" w:sz="8" w:color="auto"/>
            </w:tcBorders>
            <w:vMerge w:val="continue"/>
          </w:tcPr>
          <w:p>
            <w:pPr>
              <w:spacing w:after="0"/>
              <w:rPr>
                <w:sz w:val="12"/>
                <w:szCs w:val="12"/>
                <w:color w:val="auto"/>
              </w:rPr>
            </w:pPr>
          </w:p>
        </w:tc>
        <w:tc>
          <w:tcPr>
            <w:tcW w:w="6780" w:type="dxa"/>
            <w:vAlign w:val="bottom"/>
            <w:vMerge w:val="continue"/>
          </w:tcPr>
          <w:p>
            <w:pPr>
              <w:spacing w:after="0"/>
              <w:rPr>
                <w:sz w:val="12"/>
                <w:szCs w:val="12"/>
                <w:color w:val="auto"/>
              </w:rPr>
            </w:pPr>
          </w:p>
        </w:tc>
        <w:tc>
          <w:tcPr>
            <w:tcW w:w="1960" w:type="dxa"/>
            <w:vAlign w:val="bottom"/>
            <w:tcBorders>
              <w:top w:val="single" w:sz="8" w:color="auto"/>
            </w:tcBorders>
            <w:gridSpan w:val="2"/>
          </w:tcPr>
          <w:p>
            <w:pPr>
              <w:jc w:val="right"/>
              <w:ind w:right="840"/>
              <w:spacing w:after="0" w:line="12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9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 of Total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8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Shareholders:</w:t>
            </w:r>
          </w:p>
        </w:tc>
        <w:tc>
          <w:tcPr>
            <w:tcW w:w="1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Vanguard Group(2)</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5,840,285</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Inc.(3)</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3,081,149</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2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Feng-Ming (Fermi) Wang(4)</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805,187</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Kohn(5)</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604,043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Young(6)</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104,295</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W. Lee(7)</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118,485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Chi-Hong (John) Ju(8)</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145,853</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Chantelle Y. Breithaupt(9)</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3,691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M. Bryant(10)</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819</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Hsiao-Wuen Hon(11)</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29,527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Chenming C. Hu(12)</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28,267</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B. Paisley(13)</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40,030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 Jeffrey Richardson(14)</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27,061</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M. Schwarting(15)</w:t>
            </w:r>
          </w:p>
        </w:tc>
        <w:tc>
          <w:tcPr>
            <w:tcW w:w="19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5,441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(13 persons) (16)</w:t>
            </w:r>
          </w:p>
        </w:tc>
        <w:tc>
          <w:tcPr>
            <w:tcW w:w="19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1,972,509</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424" w:right="20" w:hanging="424"/>
        <w:spacing w:after="0" w:line="250"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in the case of principal shareholders, Schedules 13G filed with the SEC prior to March 1, 2026. Unless otherwise indicated in the footnotes to this table and subject to community property laws where applicable, Ambarella believes that each of the shareholders named in this table has sole voting and investment power with respect to the shares indicated as beneficially owned. Applicable percentages are based on 43,306,612 of our ordinary shares outstanding on March 1, 2026. Beneficial ownership is determined in accordance with the rules of the SEC. In computing the number of shares beneficially owned by a person and the percentage of ownership of that person, stock options held by that person that are currently exercisable or become exercisable within 60 days of March 1, 2026 and restricted stock unit awards held by that person that are subject to release within 60 days of March 1, 2026 are considered to be outstanding and beneficially owned by such person. Those shares, however, are not deemed outstanding for the purpose of computing the percentage ownership of any other person.</w:t>
      </w:r>
    </w:p>
    <w:p>
      <w:pPr>
        <w:spacing w:after="0" w:line="3"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13G/A filed with the SEC on January 30, 2026, The Vanguard Group reported that as of December 31, 2025 it had shared voting power over 338,601 shares and shared dispositive power over 5,840,285 shares, and that its principal address is 100 Vanguard Blvd., Malvern, PA 19355.</w:t>
      </w:r>
    </w:p>
    <w:p>
      <w:pPr>
        <w:spacing w:after="0" w:line="1" w:lineRule="exact"/>
        <w:rPr>
          <w:rFonts w:ascii="Times New Roman" w:cs="Times New Roman" w:eastAsia="Times New Roman" w:hAnsi="Times New Roman"/>
          <w:sz w:val="18"/>
          <w:szCs w:val="18"/>
          <w:color w:val="auto"/>
        </w:rPr>
      </w:pPr>
    </w:p>
    <w:p>
      <w:pPr>
        <w:jc w:val="both"/>
        <w:ind w:left="424" w:right="120" w:hanging="424"/>
        <w:spacing w:after="0" w:line="265" w:lineRule="auto"/>
        <w:tabs>
          <w:tab w:leader="none" w:pos="42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Schedule 13G/A filed with the SEC on April 23, 2025, BlackRock, Inc. reported that as of March 31, 2025 it had sole voting power over 3,017,663 shares and sole dispositive power over 3,081,149 shares, and that its principal address is 50 Hudson Yards, New York, NY 10001.</w:t>
      </w:r>
    </w:p>
    <w:p>
      <w:pPr>
        <w:ind w:left="424" w:right="580" w:hanging="424"/>
        <w:spacing w:after="0" w:line="250"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50,000 shares that Dr. Wang had the right to acquire as of March 1, 2026 pursuant to outstanding options and (ii) 36,986 shares expected to be vested and delivered pursuant to outstanding restricted stock unit awards within 60 days of March 1, 2026.</w:t>
      </w: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19,548 shares expected to be vested and delivered pursuant to outstanding restricted stock unit awards within 60 days of March 1, 2026.</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4"/>
          </w:cols>
          <w:pgMar w:left="436" w:top="293" w:right="439" w:bottom="1440" w:gutter="0" w:footer="0" w:header="0"/>
        </w:sectPr>
      </w:pPr>
    </w:p>
    <w:bookmarkStart w:id="67" w:name="page68"/>
    <w:bookmarkEnd w:id="67"/>
    <w:p>
      <w:pPr>
        <w:ind w:left="424" w:right="560" w:hanging="424"/>
        <w:spacing w:after="0" w:line="261"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Includes (i) 25,000 shares that Mr. Young had the right to acquire pursuant to outstanding options as of March 1, 2026 and (ii) 8,164 shares expected to be vested and delivered pursuant to outstanding restricted stock unit awards within 60 days of March 1, 2026.</w:t>
      </w: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18,236 shares expected to be vested and delivered pursuant to outstanding restricted stock unit awards within 60 days of March 1, 2026.</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12,707 shares expected to be vested and delivered pursuant to outstanding restricted stock unit awards within 60 days of March 1, 2026.</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625 shares expected to be vested and delivered pursuant to an outstanding restricted stock unit award within 60 days of March 1, 2026.</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819 shares expected to be vested and delivered pursuant to an outstanding restricted stock unit award within 60 days of March 1, 2026.</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625 shares expected to be vested and delivered pursuant to an outstanding restricted stock unit award within 60 days of March 1, 2026.</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625 shares expected to be vested and delivered pursuant to an outstanding restricted stock unit award within 60 days of March 1, 2026.</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625 shares expected to be vested and delivered pursuant to an outstanding restricted stock unit award within 60 days of March 1, 2026.</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625 shares expected to be vested and delivered pursuant to an outstanding restricted stock unit award within 60 days of March 1, 2026.</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625 shares expected to be vested and delivered pursuant to an outstanding restricted stock unit award within 60 days of March 1, 2026.</w:t>
      </w:r>
    </w:p>
    <w:p>
      <w:pPr>
        <w:spacing w:after="0" w:line="9" w:lineRule="exact"/>
        <w:rPr>
          <w:rFonts w:ascii="Times New Roman" w:cs="Times New Roman" w:eastAsia="Times New Roman" w:hAnsi="Times New Roman"/>
          <w:sz w:val="18"/>
          <w:szCs w:val="18"/>
          <w:color w:val="auto"/>
        </w:rPr>
      </w:pPr>
    </w:p>
    <w:p>
      <w:pPr>
        <w:ind w:left="424" w:hanging="424"/>
        <w:spacing w:after="0" w:line="260"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181,383 shares that our directors and executive officers had the right to acquire within 60 days of March 1, 2026 pursuant to outstanding options and restricted stock unit awards.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97" w:right="4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RELATIONSHIPS AND RELATED PERSON TRANSACTIONS</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compensation arrangements with directors and executive officers described elsewhere in this Proxy Statement, the following is a description of each transaction since February 1, 2026 and each currently proposed transaction in which:</w:t>
      </w:r>
    </w:p>
    <w:p>
      <w:pPr>
        <w:spacing w:after="0" w:line="67" w:lineRule="exact"/>
        <w:rPr>
          <w:sz w:val="20"/>
          <w:szCs w:val="20"/>
          <w:color w:val="auto"/>
        </w:rPr>
      </w:pPr>
    </w:p>
    <w:p>
      <w:pPr>
        <w:ind w:left="960" w:hanging="532"/>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Ambarella has been or is to be a participant;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or will exceed $120,000; and</w:t>
      </w:r>
    </w:p>
    <w:p>
      <w:pPr>
        <w:spacing w:after="0" w:line="130"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our ordinary shares, or any immediate family member of or person sharing the household with any of these individuals (other than tenants or employees), had or will have a direct or indirect material interest.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 with Executive Officers and Directors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Ambarella has entered into indemnification agreements with each of its directors and executive officers pursuant to which Ambarella has agreed to indemnify the directors and executive officers against certain liabilities and expenses incurred by such persons in connection with claims by reason of their being such a director or officer. These indemnification agreements and Ambarella’s memorandum and articles of association will indemnify each of our directors and officers to the fullest extent permitted by applicable Cayman Islands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and Procedures</w:t>
      </w:r>
    </w:p>
    <w:p>
      <w:pPr>
        <w:spacing w:after="0" w:line="121"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In 2012, Ambarella adopted a formal written policy that became effective upon completion of Ambarella’s initial public offering that all executive officers, directors, nominees for election as directors, beneficial owners of more than 5% of our ordinary shares and any member of the immediate family of any of the foregoing persons, are not permitted to enter into a related party transaction in which the aggregate amount involved will or may be expected to exceed $120,000 in any calendar year with Ambarella without the prior consent of Ambarella’s Audit Committee, subject to the pre-approval exceptions described below. If advance approval is not feasible, then the related party transaction will be considered at the Audit Committee’s next regularly scheduled meeting. In approving or rejecting any such proposal, the Audit Committee is to consider the relevant facts and circumstances including, but not limited to, whether the transaction is on terms no less favorable than terms generally available to an unaffiliated third party under the same or similar circumstances and the extent of the related party’s interest in the transaction. The Board has delegated to the chair of the Audit Committee the authority to pre-approve or ratify any request to enter into a transaction with a related party, in which the amount involved is less than $250,000 and where the chair is not the related party. The Audit Committee may also review certain types of related party transactions that it has deemed pre-approved even if the aggregate amount involved will exceed $120,000 including, employment of executive officers, director compensation, certain transactions with other organizations in which the relevant person is not an executive officer or beneficial owner of more than 10%, certain charitable contributions, transactions where all shareholders receive proportional benefits, transactions involving competitive bids, regulated transactions and certain banking-related services.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93" w:right="459" w:bottom="1440" w:gutter="0" w:footer="0" w:header="0"/>
        </w:sectPr>
      </w:pPr>
    </w:p>
    <w:bookmarkStart w:id="69" w:name="page70"/>
    <w:bookmarkEnd w:id="69"/>
    <w:p>
      <w:pPr>
        <w:ind w:left="4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4</w:t>
      </w:r>
    </w:p>
    <w:p>
      <w:pPr>
        <w:spacing w:after="0" w:line="1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APPROVAL OF THE AMBARELLA, INC. 2021 EQUITY INCENTIVE PLAN, AS AMENDED AND RESTATED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We are asking shareholders to approve an increase of 2,750,000 ordinary shares available for issuance under our 2021 Equity Incentive Plan (the “2021 Plan”), as amended and restated (the “Share Increase”). Our Board of Directors has adopted the amended and restated 2021 Plan, subject to shareholder approval at our Annual Meeting. Other than the Share Increase, there have been no additional changes to the 2021 Plan since shareholders last approved an amendment to the 2021 Plan in 2024. We believe the Share Increase is critical to our ability to continue using equity awards to attract and retain key employees in a highly competitive talent market.</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Executing our strategy depends on attracting, motivating, and retaining employees. Approximately 75% of our employees work in research and development, the majority of whom are software engineers. As the opportunity in edge AI grows, we compete for people with specialized skills across AI software and semiconductor disciplines (such as AI model optimization, software system architecture, systems integration, and VLSI engineering). Competition for these employees is very intense, especially in regions such as Silicon Valley. If we cannot hire and retain key engineers and leaders at the pace we need, we may be unable to deliver product roadmaps, meet customer requirements, and capture the potential of our edge AI opportunity. We have established a strong position in the edge AI market, having shipped 45 million edge AI SoCs and built a product portfolio supporting more than 200 AI model architectures, but maintaining this momentum requires continued access to top talent.</w:t>
      </w:r>
    </w:p>
    <w:p>
      <w:pPr>
        <w:spacing w:after="0" w:line="189"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Equity awards are an important part of our pay program and are commonly expected by current and prospective employees, particularly in our industry. Our employee turnover rate, while higher in fiscal year 2026 due to intense competition for talent, remains below our industry average, which we believe reflects in part the effectiveness of our equity program. If shareholders approve the Share Increase, we expect to continue using equity awards to recruit and retain employees who are vital to our long-term success, while aligning employees’ incentives with long-term performance and shareholder value.</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Equity is a key part of our employee compensation and retention strategy.</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use equity awards broadly to attract and retain employees and to align their incentives with our long-term performance.</w:t>
      </w:r>
    </w:p>
    <w:p>
      <w:pPr>
        <w:spacing w:after="0" w:line="131" w:lineRule="exact"/>
        <w:rPr>
          <w:sz w:val="20"/>
          <w:szCs w:val="20"/>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 2026, approximately 98% of our employees had received grants of equity awards.</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2026, approximately 89% of the equity awards granted by the Company were awarded to employees who are not executive officers.</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executives’ compensation opportunity is based on long-term equity awards. For fiscal year 2026, approximately 84% of total target compensation for our CEO and, on average, 80% of total target compensation for our other NEOs was in the form of equity that vests over three years.</w:t>
      </w:r>
    </w:p>
    <w:p>
      <w:pPr>
        <w:spacing w:after="0" w:line="176"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We believe delivering a significant portion of compensation in equity generally helps align the long-term interests of our executives and employees with those of our shareholders. In addition, our shareholders have historically expressed strong support for our executive compensation program, as reflected in the strong Say-on-Pay support over the past three years (93% in 2025; 88% in 2024; and 89% in 2023).</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Without this increase, we expect to run short of shares for equity awards.</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2021 Plan does not include an automatic (or “evergreen”) share increase feature, so shareholder approval is required to increase the number of shares available for issuance under the 2021 Plan. If shareholders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93" w:right="459" w:bottom="1440" w:gutter="0" w:footer="0" w:header="0"/>
        </w:sectPr>
      </w:pPr>
    </w:p>
    <w:bookmarkStart w:id="70" w:name="page71"/>
    <w:bookmarkEnd w:id="70"/>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do not approve the Share Increase, it will not become available under the 2021 Plan and we can grant equity awards under the 2021 Plan only to the extent shares remain available. As of April 1, 2026, 412,628 shares remained available for issuance under the 2021 Plan, and we do not believe these remaining shares are sufficient to meet our anticipated equity compensation needs over the next 12 months. If the Share Increase is not approved, our ability to use equity awards as part of compensation would be very limited, which would make it more difficult to attract and retain the specialized AI and VLSI talent needed to execute our product roadmap and pursue our edge AI opportunity. We may also need to rely more on cash-based compensation, which could reduce the cash available for other purposes, including investment in research and development and go-to-market initiatives.</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We are focused on using equity responsibly and limiting dilution.</w:t>
      </w:r>
    </w:p>
    <w:p>
      <w:pPr>
        <w:spacing w:after="0" w:line="11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Since shareholders approved the 2021 Plan in 2021, our Board and Compensation Committee have administered the plan with discipline, including over the past two years since the last shareholder vote on a share increase. We recognize that equity awards can be dilutive, and we have actively sought to reduce both our burn rate and overhang while maintaining competitive compensation practices. Consistent with that approach, our burn rate (how many shares we grant each year) and our equity overhang (the total shares tied to outstanding awards plus shares still available for grant, as a percentage of shares outstanding) have declined substantially.</w:t>
      </w:r>
    </w:p>
    <w:p>
      <w:pPr>
        <w:spacing w:after="0" w:line="89" w:lineRule="exact"/>
        <w:rPr>
          <w:sz w:val="20"/>
          <w:szCs w:val="20"/>
          <w:color w:val="auto"/>
        </w:rPr>
      </w:pPr>
    </w:p>
    <w:p>
      <w:pPr>
        <w:ind w:left="960" w:right="240" w:hanging="532"/>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three-fiscal-year average gross burn rate declined from 4.4% in fiscal year 2021 to 3.65% in fiscal year 2024 and to 3.07% in fiscal year 2026.</w:t>
      </w:r>
    </w:p>
    <w:p>
      <w:pPr>
        <w:spacing w:after="0" w:line="67" w:lineRule="exact"/>
        <w:rPr>
          <w:rFonts w:ascii="Times New Roman" w:cs="Times New Roman" w:eastAsia="Times New Roman" w:hAnsi="Times New Roman"/>
          <w:sz w:val="18"/>
          <w:szCs w:val="18"/>
          <w:color w:val="auto"/>
        </w:rPr>
      </w:pPr>
    </w:p>
    <w:p>
      <w:pPr>
        <w:ind w:left="960" w:right="40" w:hanging="532"/>
        <w:spacing w:after="0" w:line="296"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overhang declined from 10.2% in fiscal year 2021 to 8.93% in fiscal year 2024 and to 8.13% in fiscal year 2026. Moreover, our three-fiscal-year average overhang is below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our peer group.</w:t>
      </w:r>
    </w:p>
    <w:p>
      <w:pPr>
        <w:spacing w:after="0" w:line="24"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Our Board and Compensation Committee intend to continue administering equity awards responsibly. If shareholders approve the Share Increase, we expect the shares available under the 2021 Plan to be sufficient to meet our anticipated needs through the date of our 2028 annual meeting of shareholders (although actual share usage will depend on a number of factors, including hiring, retention, and our future equity grant practices).</w:t>
      </w:r>
    </w:p>
    <w:p>
      <w:pPr>
        <w:spacing w:after="0" w:line="172"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unanimously recommends that you vote “FOR” approval of the 2021 Equity Incentive Plan, as amended and restated, so we can continue attracting and retaining the talent needed to execute our strategy and drive long-term shareholder value.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Share Increase Under the 2021 Plan</w:t>
      </w:r>
    </w:p>
    <w:p>
      <w:pPr>
        <w:spacing w:after="0" w:line="121"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Board and management believe that time- and performance-based restricted stock units and stock options, as well as other types of equity awards, are one of the primary ways to attract and retain key personnel responsible for the continued development and growth of our business, and to motivate all employees to increase shareholder value.</w:t>
      </w:r>
    </w:p>
    <w:p>
      <w:pPr>
        <w:spacing w:after="0" w:line="176" w:lineRule="exact"/>
        <w:rPr>
          <w:sz w:val="20"/>
          <w:szCs w:val="20"/>
          <w:color w:val="auto"/>
        </w:rPr>
      </w:pPr>
    </w:p>
    <w:p>
      <w:pPr>
        <w:ind w:right="180" w:firstLine="440"/>
        <w:spacing w:after="0" w:line="272" w:lineRule="auto"/>
        <w:rPr>
          <w:sz w:val="20"/>
          <w:szCs w:val="20"/>
          <w:color w:val="auto"/>
        </w:rPr>
      </w:pPr>
      <w:r>
        <w:rPr>
          <w:rFonts w:ascii="Times New Roman" w:cs="Times New Roman" w:eastAsia="Times New Roman" w:hAnsi="Times New Roman"/>
          <w:sz w:val="17"/>
          <w:szCs w:val="17"/>
          <w:color w:val="auto"/>
        </w:rPr>
        <w:t>Subject to adjustment upon changes in capitalization of the Company as provided under the 2021 Plan, the total number of Company ordinary shares that will be reserved for issuance under the 2021 Plan, as amended and restated, will be equal to (a) 5,850,000 ordinary shares of the Company, plus (b) (i) any ordinary shares subject to awards granted under the Company’s 2012 Equity Incentive Plan (the “2012 Plan”) that, after the date the</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2012 Plan was terminated on June 17, 2021, were or are cancelled, expire or otherwise terminate without having been exercised in full or are forfeited to or repurchased by the Company due to failure to vest, plus (ii) 3,574,824 ordinary shares, which represents the number of ordinary shares that, as of immediately prior to the termination of the 2012 Plan, were reserved but not issued pursuant to any awards granted under the 2012 Plan and were not subject to any awards thereunder, with the maximum number of Company ordinary shares that may be added to the 2021 Plan pursuant to clause (b) equal to 6,834,208 Company ordinary shares.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97" w:right="479" w:bottom="1440" w:gutter="0" w:footer="0" w:header="0"/>
        </w:sectPr>
      </w:pPr>
    </w:p>
    <w:bookmarkStart w:id="71" w:name="page72"/>
    <w:bookmarkEnd w:id="71"/>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our shareholders approve the amended and restated 2021 Plan, we currently anticipate that the shares will be sufficient to meet our expected needs for approximately two years.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determining the number of shares to be reserved for issuance under the amended and restated 2021 Plan, the compensation committee and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Board considered various factors, including the following:</w:t>
      </w:r>
    </w:p>
    <w:p>
      <w:pPr>
        <w:spacing w:after="0" w:line="205" w:lineRule="exact"/>
        <w:rPr>
          <w:sz w:val="20"/>
          <w:szCs w:val="20"/>
          <w:color w:val="auto"/>
        </w:rPr>
      </w:pPr>
    </w:p>
    <w:p>
      <w:pPr>
        <w:ind w:left="4"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Historical Grant Practices</w:t>
      </w:r>
      <w:r>
        <w:rPr>
          <w:rFonts w:ascii="Times New Roman" w:cs="Times New Roman" w:eastAsia="Times New Roman" w:hAnsi="Times New Roman"/>
          <w:sz w:val="18"/>
          <w:szCs w:val="18"/>
          <w:color w:val="auto"/>
        </w:rPr>
        <w:t>. The compensation committee and the Board considered the historical amounts of equity awards that we granted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past three years. The annual share usage, or burn rate, under our equity compensation program for the last three years was as follows:</w:t>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Annual Share Usage</w:t>
            </w:r>
          </w:p>
        </w:tc>
        <w:tc>
          <w:tcPr>
            <w:tcW w:w="4840" w:type="dxa"/>
            <w:vAlign w:val="bottom"/>
            <w:vMerge w:val="restart"/>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Three-Year</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860" w:type="dxa"/>
            <w:vAlign w:val="bottom"/>
          </w:tcPr>
          <w:p>
            <w:pPr>
              <w:jc w:val="right"/>
              <w:ind w:right="195"/>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c>
          <w:tcPr>
            <w:tcW w:w="860" w:type="dxa"/>
            <w:vAlign w:val="bottom"/>
          </w:tcPr>
          <w:p>
            <w:pPr>
              <w:jc w:val="right"/>
              <w:ind w:right="195"/>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860" w:type="dxa"/>
            <w:vAlign w:val="bottom"/>
          </w:tcPr>
          <w:p>
            <w:pPr>
              <w:jc w:val="right"/>
              <w:ind w:right="195"/>
              <w:spacing w:after="0" w:line="160"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108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Stock Options Granted</w:t>
            </w: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1,091,264</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1,314,804</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1,288,972</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1,231,680</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RSUs Earned(1)</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107,671</w:t>
            </w:r>
          </w:p>
        </w:tc>
        <w:tc>
          <w:tcPr>
            <w:tcW w:w="12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35,890</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Awards Granted/Earned</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1,198,935</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1,314,804</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1,288,972</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1,267,570</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Ordinary Shares Outstanding</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39,878,872</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41,303,287</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42,704,312</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41,295,490</w:t>
            </w:r>
          </w:p>
        </w:tc>
        <w:tc>
          <w:tcPr>
            <w:tcW w:w="0" w:type="dxa"/>
            <w:vAlign w:val="bottom"/>
          </w:tcPr>
          <w:p>
            <w:pPr>
              <w:spacing w:after="0"/>
              <w:rPr>
                <w:sz w:val="1"/>
                <w:szCs w:val="1"/>
                <w:color w:val="auto"/>
              </w:rPr>
            </w:pPr>
          </w:p>
        </w:tc>
      </w:tr>
      <w:tr>
        <w:trPr>
          <w:trHeight w:val="23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Unadjusted Burn-Rate</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3.01%</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424" w:right="20" w:hanging="424"/>
        <w:spacing w:after="0" w:line="266"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includes performance-based RSUs that were earned and delivered in the applicable fiscal year. The target number of performance-based RSUs granted in those fiscal years were: fiscal year 2024: 146,231; fiscal year 2025: 231,527; and fiscal year 2026: 119,316. Performance-based shares earned in fiscal year 2024 were subject to awards granted in fiscal year 2021.</w:t>
      </w:r>
    </w:p>
    <w:p>
      <w:pPr>
        <w:spacing w:after="0" w:line="174"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Forecasted Grant Practices. </w:t>
      </w:r>
      <w:r>
        <w:rPr>
          <w:rFonts w:ascii="Times New Roman" w:cs="Times New Roman" w:eastAsia="Times New Roman" w:hAnsi="Times New Roman"/>
          <w:sz w:val="18"/>
          <w:szCs w:val="18"/>
          <w:color w:val="auto"/>
        </w:rPr>
        <w:t>The Board and the compensation committee anticipate that the shares reserved under the 2021 Plan, as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based on currently projected share use, will be sufficient for the granting of equity awards thereunder for approximately the next two years. As a result, we currently anticipate that we will be requesting additional shares thereunder at our 2028 Annual Meeting of Shareholders. Despite the projected share use described above, future circumstances and business needs, such as higher than expected headcount increases, including officers and other key employees to support growth in development or commercial activities or merger and acquisition activity, may result in a significant increase in projected or actual grants of options, restricted stock units and/or other equity awards.</w:t>
      </w:r>
    </w:p>
    <w:p>
      <w:pPr>
        <w:spacing w:after="0" w:line="182" w:lineRule="exact"/>
        <w:rPr>
          <w:sz w:val="20"/>
          <w:szCs w:val="20"/>
          <w:color w:val="auto"/>
        </w:rPr>
      </w:pPr>
    </w:p>
    <w:p>
      <w:pPr>
        <w:ind w:left="4"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Overhang. </w:t>
      </w:r>
      <w:r>
        <w:rPr>
          <w:rFonts w:ascii="Times New Roman" w:cs="Times New Roman" w:eastAsia="Times New Roman" w:hAnsi="Times New Roman"/>
          <w:sz w:val="18"/>
          <w:szCs w:val="18"/>
          <w:color w:val="auto"/>
        </w:rPr>
        <w:t>As of April 1, 2026, our overhang is 8.13%. For this purpose we calculated overhang as (x) the sum of (i) 108,895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outstanding options under our 2012 Plan and the 2021 Plan, plus (ii) 3,458,823 ordinary shares subject to outstanding restricted stock units under the 2021 Plan, including performance-based restricted stock units (assuming the maximum level of achievement of the applicable performance goals), divided by (y) 43,861,934, which is the total number of outstanding Company ordinary shares as of April 1, 2026. The outstanding options have a weighted average exercise price of $57.69 and a weighted average remaining term of 2.66 years. Our 2012 Plan has previously terminated and, therefore, no additional equity awards have been granted under this plan since its termination or will be granted under the plan in the future.</w:t>
      </w:r>
    </w:p>
    <w:p>
      <w:pPr>
        <w:spacing w:after="0" w:line="184"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Considering the factors described above, and the fact that the ability to continue to grant equity compensation is critical to our ability to attract and retain employees in an extremely competitive market, our Board has determined the proposed Share Increase is reasonable and appropriate at this time. The Company’s named executive officers, directors and director nominees have an interest in this proposal as they are eligible to receive equity awards under the 2021 Plan. Future awards under the 2021 Plan are discretionary and therefore are not yet determinable.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Summary of the 2021 Plan, as Amended and Restated</w:t>
      </w:r>
    </w:p>
    <w:p>
      <w:pPr>
        <w:spacing w:after="0" w:line="121"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paragraphs provide a summary of the principal features of the 2021 Plan, as amended and restated, and its operation. However, this summary is not a complete description of all of the provisions of the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4"/>
          </w:cols>
          <w:pgMar w:left="436" w:top="297" w:right="439" w:bottom="1440" w:gutter="0" w:footer="0" w:header="0"/>
        </w:sectPr>
      </w:pPr>
    </w:p>
    <w:bookmarkStart w:id="72" w:name="page73"/>
    <w:bookmarkEnd w:id="72"/>
    <w:p>
      <w:pPr>
        <w:ind w:right="5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2021 Plan, as amended and restated, and is qualified in its entirety by the specific language of the amended and restated 2021 Plan. A copy of the amended and restated 2021 Plan is attached to this Proxy Statement as Annex 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Purposes</w:t>
      </w:r>
    </w:p>
    <w:p>
      <w:pPr>
        <w:spacing w:after="0" w:line="121"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The purposes of the 2021 Plan are to attract and retain the best available personnel for positions of substantial responsibility, to provide additional incentive to employees, directors and consultants who perform services to the Company, and to promote the success of the Company’s business. These incentives will be provided through the grant of stock options, stock appreciation rights, restricted stock, restricted stock units, and performance awards as the administrator (as defined below) of the 2021 Plan may determine.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2021 Plan permits the grant of incentive stock options, within the meaning of Section 422 of the Internal Revenue Code, to the Company’s employees and any of its parent and subsidiary corporations’ employees, and the grant of nonstatutory stock options, restricted stock, restricted stock units, stock appreciation rights and performance awards to employees, directors and consultants of the Company and employees and consultants of any of its parents or subsidiaries. As of April 1, 2026, 7 non-employee directors, approximately 955 employees (including 7 executive officers) and 2 consultants are eligible to participate in the 2021 Plan. The basis for participation in the 2021 Plan by eligible persons is the selection of such persons by the administrator (or its proper delegate) in its discretion.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Subject to the adjustment provisions contained in the 2021 Plan, and prior to the Share Increase, the total number of Company ordinary shares that are reserved for issuance under the 2021 Plan is equal to (a) 3,100,000 ordinary shares of the Company, plus (b) (i) any shares subject to awards granted under the 2012 Plan that, after the date the 2012 Plan was terminated on June 17, 2021, are cancelled, expire or otherwise terminate (or were cancelled, expired or otherwise terminated) without having been exercised in full or are (or were) forfeited to or repurchased by the Company due to failure to vest, and (ii) 3,574,824 shares, which represents the number of Company ordinary shares that, as of immediately prior to the termination of the 2012 Plan, were reserved but not issued pursuant to any awards granted under the 2012 Plan and were not subject to any awards thereunder, with the maximum number of shares that may be added to the 2021 Plan pursuant to clause (b) equal to 6,834,208 ordinary shares of the Company. Under the 2021 Plan, as amended and restated, our shareholders are being asked to approve a Share Increase of 2,750,000 ordinary shares in the maximum number of Company ordinary shares that may be issued pursuant to awards under the 2021 Plan, as amended and restated. Thus, if our shareholders approve the 2021 Plan, as amended and restated, then total number of Company ordinary shares that are reserved for issuance will equal 5,850,000 ordinary shares, plus the number of ordinary shares described in clause (b) above. Subject to adjustment as provided in the 2021 Plan, the maximum number of ordinary shares that may be issued upon the exercise of incentive stock options under the 2021 Plan, as amended and restated, will equal the aggregate share number set forth in the immediately preceding sentence, plus, to the extent allowable under the incentive stock option rules, any shares that become available for issuance under the 2021 Plan pursuant to the following paragraph. As of April 1, 2026, a total of 2,773,293 ordinary shares were subject to awards outstanding under the 2021 Plan and the number of ordinary shares that were available for future issuance under the 2021 Plan was 412,628 ordinary shares.</w:t>
      </w:r>
    </w:p>
    <w:p>
      <w:pPr>
        <w:spacing w:after="0" w:line="195"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If any award granted under the 2021 Plan expires or becomes unexercisable without having been exercised in full, or, with respect to restricted stock, restricted stock units, or performance awards, is forfeited to or repurchased by the Company due to failure to vest, then the unpurchased or forfeited or repurchased shares subject to such award will become available for future grant or sale under the 2021 Plan (unless the 2021 Plan has terminated). With respect to the exercise of stock appreciation rights settled in shares, the gross number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97"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shares covered by the portion of the exercised award, whether or not actually issued pursuant to such exercise, will cease to be available under the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2021 Plan. If shares issued pursuant to restricted stock, restricted stock units, or performance awards are repurchased by or forfeited to the Company due to failure to vest, such shares will become available for future grant under the 2021 Plan. Shares used to pay the exercise price of an award or to satisfy the tax withholding obligations of an award will not become available for future grant or sale under the 2021 Plan. Payment of cash rather than shares pursuant to an award will not result in reducing the number of shares available for issuance under the 2021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Shares and Awards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In the event of any dividend or other distribution (whether in the form of cash, ordinary shares, other securities, or other property), recapitalization, share or stock split, reverse share or stock split, reorganization, merger, consolidation, split-up, spin-off, combination, reclassification, repurchase, or exchange of shares or other securities of the Company, or other change in the corporate structure affecting the Company’s ordinary shares occurs (other than any ordinary dividends or other ordinary distributions), the administrator, in order to prevent diminution or enlargement of the benefits or potential benefits intended to be made available under the 2021 Plan, will adjust the number and class of shares that may be delivered under the 2021 Plan, and/or the number, class and price of shares subject to outstanding awards, and the numerical share limits contained in the 2021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With respect to any options and stock appreciation rights granted under the 2021 Plan, until the ordinary shares are issued under the award, the participant will not have any rights to dividends or other rights as a shareholder with respect to such shares, including even if the participant has exercised the award. No adjustment will be made for a dividend or other right for which the record date is prior to the date the shares are issued under the option or stock appreciation right, except as provided in the 2021 Plan (and summarized further below). Participants holding restricted stock will be entitled to receive all dividends and other distributions paid with respect to the shares (whether vested or unvested) subject to such award, unless the administrator provides otherwise. Until the ordinary shares are issued under restricted stock units and performance awards, the participant will not have any rights to dividends or any other rights as a shareholder with respect to such shares, unless determined otherwise by the administrator. However, any dividends or distributions payable with respect to restricted stock or with respect to restricted stock units and performance awards (if at all), will be subject to the same restrictions on transferability and/or forfeitability as the shares subject to such award on which they were paid. The number of ordinary shares available for issuance under the 2021 Plan will not be reduced to reflect any dividends or other distributions that are reinvested into additional ordinary shares or credited as additional ordinary shares subject to or paid with respect to an award.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2021 Plan will be administered by the Board, any committee of the Board, or a committee of individuals satisfying applicable laws appointed by the Board in accordance with the terms of the 2021 Plan (the “administrator”). The compensation committee currently administers the 2021 Plan and will continue to administer the 2021 Plan, although the Board also has and may continue to act as administrator as well. In addition, to the extent it is desirable to qualify transactions under the 2021 Plan as exempt under Rule 16b-3 of the Exchange Act, such transactions will be structured to satisfy the requirements for exemption under Rule 16b-3.</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2021 Plan, the administrator has the power to interpret and administer the 2021 Plan and make all determinations deemed necessary or advisable for administering the 2021 Plan, including but not limited to, the power to determine the fair market value of the ordinary shares, to determine whether and to what extent awards are granted under the 2021 Plan, select the service providers to whom awards may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97" w:right="459" w:bottom="1440" w:gutter="0" w:footer="0" w:header="0"/>
        </w:sectPr>
      </w:pPr>
    </w:p>
    <w:bookmarkStart w:id="74" w:name="page75"/>
    <w:bookmarkEnd w:id="7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temporarily suspend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construe and interpret the terms of the 2021 Plan and awards granted under it, prescribe, amend and rescind rules relating to the 2021 Plan, including making rules and regulations relating to sub-plans established for the purpose of facilitating compliance with applicable non-U.S. laws, easing the administration of the 2021 Plan or qualifying for favorable tax treatment under applicable non-U.S. laws, modify or amend each award, and allow a participant to defer the receipt of payment of cash or the delivery of shares that otherwise would be due to such participant under an award. The administrator’s decisions, interpretations and other actions are final and binding on all participants and will be given the maximum deference permitted by applicable law. Notwithstanding the powers of the administrator, the administrator may not institute an exchange program.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Stock options may be granted under the 2021 Plan. The exercise price of options granted under the 2021 Plan generally must be equal to at least 100% of the fair market value of a Company ordinary share on the date of grant. However, an exception may be made for any options that are granted in substitution for options held by award holders of companies that the Company acquires in a manner consistent with Section 424(a) of the Internal Revenue Code. The term of an option may not exceed ten years. With respect to any participant who owns more than 10% of the voting power of all classes of the Company’s (or any of its parent’s or subsidiary’s) outstanding shares, the term of an incentive stock option granted to such participant must not exceed five years and the per share exercise price must equal at least 110% of the fair market value of an ordinary share of the Company on the grant date. The administrator will determine the methods of payment of the exercise price of an option, which may include cash, certain ordinary shares of the Company, cashless exercise, net exercise, as well as other types of consideration permitted by applicable law. Options will be exercisable at such times or under such conditions as determined by the administrator and set forth in the award agreement. After the cessation of service of an employee, director or consultant, he or she may exercise his or her option for the period of time stated in his or her award agreement. In the absence of a specified time in an award agreement, if such cessation is due to death or disability, the option will remain exercisable for twelve months following the cessation of service. In all other cases, in the absence of a specified time in an award agreement, the option will remain exercisable for ninety days following the cessation of service. An option, however, may not be exercised later than the expiration of its term. Subject to the provisions of the 2021 Plan, the administrator determines the terms of options. An award agreement may provide for an extension of a post-service exercise period upon a cessation of service for reasons other than death or disability if the exercise of the option following such cessation of service would result in liability under Section 16(b) of the Exchange Act or would violate the registration requirements under the U.S. Securities Act of 1933, as amended.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ind w:right="160" w:firstLine="440"/>
        <w:spacing w:after="0" w:line="269" w:lineRule="auto"/>
        <w:rPr>
          <w:sz w:val="20"/>
          <w:szCs w:val="20"/>
          <w:color w:val="auto"/>
        </w:rPr>
      </w:pPr>
      <w:r>
        <w:rPr>
          <w:rFonts w:ascii="Times New Roman" w:cs="Times New Roman" w:eastAsia="Times New Roman" w:hAnsi="Times New Roman"/>
          <w:sz w:val="17"/>
          <w:szCs w:val="17"/>
          <w:color w:val="auto"/>
        </w:rPr>
        <w:t>Stock appreciation rights may be granted under the 2021 Plan. Stock appreciation rights allow the recipient to receive the appreciation in the fair market value of Company ordinary shares between the date of grant and the exercise date. The term of a stock appreciation right may not exceed ten years. After the cessation of service of an employee, director or consultant, he or she may exercise his or her stock appreciation right for the period of time stated in his or her stock appreciation rights agreement. The terms and conditions relating to the maximum term and the period of exercise following a cessation of service with respect to options described above also apply to stock appreciation rights. Subject to the provisions of the</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2021 Plan, the administrator determines the terms of stock appreciation rights, including when such rights become exercisable and whether to pay any increased appreciation in cash or with ordinary shares of the Company, or a combination of both, except that the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97" w:right="459" w:bottom="1440" w:gutter="0" w:footer="0" w:header="0"/>
        </w:sectPr>
      </w:pPr>
    </w:p>
    <w:bookmarkStart w:id="75" w:name="page76"/>
    <w:bookmarkEnd w:id="75"/>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per-share exercise price for the shares that will be used to determine the amount of payment or number of shares to be issued pursuant to the exercise of a stock appreciation right generally will be no less than 100% of the fair market value per share on the date of grant.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Restricted stock may be granted under the 2021 Plan. Restricted stock awards are grants of ordinary shares of the Company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Shares of restricted stock that do not vest are subject to the right of repurchase or forfeiture.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Restricted stock units (or “RSUs”) may be granted under the 2021 Plan. Each restricted stock unit is a bookkeeping entry representing an amount equal to the fair market value of one ordinary share of the Company.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ind w:right="240" w:firstLine="440"/>
        <w:spacing w:after="0" w:line="254" w:lineRule="auto"/>
        <w:rPr>
          <w:sz w:val="20"/>
          <w:szCs w:val="20"/>
          <w:color w:val="auto"/>
        </w:rPr>
      </w:pPr>
      <w:r>
        <w:rPr>
          <w:rFonts w:ascii="Times New Roman" w:cs="Times New Roman" w:eastAsia="Times New Roman" w:hAnsi="Times New Roman"/>
          <w:sz w:val="18"/>
          <w:szCs w:val="18"/>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All outside (non-employee) directors will be eligible to receive all types of awards (except for incentive stock options) under the 2021 Plan. The 2021 Plan provides that in any given fiscal year of ours, no outside director may be granted any equity awards (including equity awards under the 2021 Plan) (the value of which will be based on their grant date fair value) and be provided any cash retainers or fees for service as an outside director in amounts that, in the aggregate, exceed $500,000, provided that in the Company’s fiscal year of the individual’s initial service as a non-employee director, such amount is increased to $1,000,000. For the purposes of this maximum limit provision, the grant date fair values of awards granted under the 2021 Plan will be determined according to U.S. GAAP. Any awards or other compensation provided to an individual for his or her</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40"/>
          </w:cols>
          <w:pgMar w:left="440" w:top="297" w:right="519" w:bottom="1440" w:gutter="0" w:footer="0" w:header="0"/>
        </w:sectPr>
      </w:pPr>
    </w:p>
    <w:bookmarkStart w:id="76" w:name="page77"/>
    <w:bookmarkEnd w:id="76"/>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services as an employee or a consultant (other than an outside director), will not count toward this limit. This maximum limit provision does not reflect the intended size of any potential grants or a commitment to make grants to the outside directors under the 2021 Plan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Non-Transferability of Awards</w:t>
      </w:r>
    </w:p>
    <w:p>
      <w:pPr>
        <w:spacing w:after="0" w:line="121"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or Liquidation</w:t>
      </w:r>
    </w:p>
    <w:p>
      <w:pPr>
        <w:spacing w:after="0" w:line="12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If there is a proposed liquidation or dissolution of the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or Change in Control</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2021 Plan provides that in the event of the Company’s merger with or into another corporation or other entity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 successor corporation or its parent or subsidiary does not assume or substitute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with the participant authorized by the administrator.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non-employee director authorized by the administrator.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Forfeiture and Clawback</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the Company is required to restate its audited financial statements due to material noncompliance with any financial reporting requirement under the securities laws, each current or former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97" w:right="459" w:bottom="1440" w:gutter="0" w:footer="0" w:header="0"/>
        </w:sectPr>
      </w:pPr>
    </w:p>
    <w:bookmarkStart w:id="77" w:name="page78"/>
    <w:bookmarkEnd w:id="7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officer participant shall be required to immediately repay the Company any compensation they received pursuant to awards granted under the 2021 Plan during the three-year period preceding the date upon which the Company is required to prepare the restatement that is in excess of what would have been paid to the executive officer participant under the restated financial statement, in accordance with Section 10D of the U.S. Securities Exchange Act of 1934, as amended, and any rules promulgated thereunder. Any amount required to be repaid under this provision will be determined by the administrator in its sole discretion, unless otherwise required by applicable laws.</w:t>
      </w:r>
    </w:p>
    <w:p>
      <w:pPr>
        <w:spacing w:after="0" w:line="183"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In addition, awards will be subject to any clawback policy of which we are required to adopt pursuant to the listing standards of any national securities exchange or association on which Company securities are listed or as is otherwise required by applicable laws, including our Compensation Recovery Policy adopted on November 28, 2023. The administrator may require a participant to forfeit or return to us, or reimburse us for, all or a portion of the award and any amounts paid under the award in order to comply with any such clawback policy or with applicable laws. The administrator also may specify in an award agreement that the participant’s rights, payments and benefits with respect to an award will be subject to reduction, cancellation, forfeiture or recoupment upon the occurrence of certain specified events.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w:t>
      </w:r>
    </w:p>
    <w:p>
      <w:pPr>
        <w:spacing w:after="0" w:line="121" w:lineRule="exact"/>
        <w:rPr>
          <w:sz w:val="20"/>
          <w:szCs w:val="20"/>
          <w:color w:val="auto"/>
        </w:rPr>
      </w:pPr>
    </w:p>
    <w:p>
      <w:pPr>
        <w:jc w:val="both"/>
        <w:ind w:right="80" w:firstLine="440"/>
        <w:spacing w:after="0" w:line="256" w:lineRule="auto"/>
        <w:rPr>
          <w:sz w:val="20"/>
          <w:szCs w:val="20"/>
          <w:color w:val="auto"/>
        </w:rPr>
      </w:pPr>
      <w:r>
        <w:rPr>
          <w:rFonts w:ascii="Times New Roman" w:cs="Times New Roman" w:eastAsia="Times New Roman" w:hAnsi="Times New Roman"/>
          <w:sz w:val="18"/>
          <w:szCs w:val="18"/>
          <w:color w:val="auto"/>
        </w:rPr>
        <w:t>Our Board initially approved the 2021 Plan on April 12, 2021, and the 2021 Plan became effective on June 17, 2021, which was the date that the 2021 Plan was approved by the shareholders of the Company. The 2021 Plan, as amended and restated, will become effective upon the date on which it is approved by the shareholders of the Company. The 2021 Plan will continue in effect for a term of ten years from the date of the original adoption of the 2021 Plan by the Board, unless terminated earlier by the administrator. In addition, the administrator will have the authority to amend, suspend, or terminate the 2021 Plan or any part of the 2021 Plan, at any time and for any reason, but such action generally may not materially impair the rights of any participant without his or her written consent.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U.S. Federal Income Tax Consequences</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U.S. federal income tax consequences of participation in the 2021 Plan. The summary is based on existing U.S. laws and regulations as of April 1, 2026,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country in which the participant may reside. As a result, tax consequences for any particular participant may vary based on individual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 participant generally recognizes no taxable income for ordinary income tax purposes as a result of the grant or exercise of an option that qualifies as an incentive stock option under Section 422 of the Internal Revenue Code. If a participant exercises the option and then later sells or otherwise disposes of the shares acquired through the exercise of the option after both the two-year anniversary of the date the option was granted and the one-year anniversary of the date of exercise of the option, the participant will recognize a capital gain or loss equal to the difference between the sale price of the shares and the exercise price.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However, if the participant disposes of such shares either on or before the two-year anniversary of the date of grant or on or before the one-year anniversary of the date of exercise of the option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gain (such as a gift). Any gain in excess of that amount will be a capital gain. If a loss is recognized with respect to the share disposition, there will be no ordinary income, and such loss will be a capital loss.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0"/>
          </w:cols>
          <w:pgMar w:left="440" w:top="297" w:right="479" w:bottom="1440" w:gutter="0" w:footer="0" w:header="0"/>
        </w:sectPr>
      </w:pPr>
    </w:p>
    <w:bookmarkStart w:id="78" w:name="page79"/>
    <w:bookmarkEnd w:id="78"/>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purposes of the alternative minimum tax, the difference between the fair market value of the shares over the option exercise price on the date of exercise of the option is treated as an adjustment item in computing the participant’s alternative minimum taxable income in the year of exercise (unless the shares are disposed of in the same year as the option exercise). In addition, special alternative minimum tax rules may apply to certain subsequent disqualifying dispositions of the shares or provide certain basis adjustments or tax credits.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 participant generally recognizes no taxable income for ordinary income tax purposes as a result of the grant of such an option. However, upon exercising the option, the participant generally recognizes ordinary income equal to the amount that the fair market value of the shares on such date exceeds the exercise price. If the participant is an employee, such ordinary income generally is subject to withholding of income and employment taxes. Upon the sale or other disposition of the shares acquired by the exercise of a nonstatutory stock option, any gain or loss (based on the difference between the sale price and the fair market value on the exercise date) will be taxed as capital gain or loss.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In general, no taxable income for ordinary income tax purposes is reportable when a stock appreciation right is granted to a participant. Upon exercise, the participant generally will recognize ordinary income in an amount equal to the fair market value of any shares received. Any additional gain or loss recognized upon any later disposition of the shares would be capital gain or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pursuant to Section 83(b) of the Internal Revenue Code, may elect to accelerate the ordinary income tax event to the date of acquisition of the shares by filing an election with the IRS generally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 and Performance Awards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There generally are no immediate tax consequences of receiving an award of restricted stock units or a performance award. A participant who is granted restricted stock units or performance awards generally will be required to recognize ordinary income in an amount equal to the fair market value of shares issued to such participant at the time of settlement. If the participant is an employee, generally such ordinary income is subject to withholding of income taxes, and certain employment tax withholdings also would apply to the shares that vest. Any additional gain or loss recognized upon any later disposition of any shares received would be capital gain or loss.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409A</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Section 409A of the Internal Revenue Code provides certain requirements for non-qualified deferred compensation arrangements with respect to an individual’s deferral and distribution elections and permissible distribution events. Awards with a deferral feature to a participant subject to U.S. income tax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440" w:top="297" w:right="439" w:bottom="1440" w:gutter="0" w:footer="0" w:header="0"/>
        </w:sectPr>
      </w:pPr>
    </w:p>
    <w:bookmarkStart w:id="79" w:name="page80"/>
    <w:bookmarkEnd w:id="79"/>
    <w:p>
      <w:pPr>
        <w:ind w:right="7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that is subject to Section 409A fails to comply with Section 409A’s provisions, Section 409A imposes an additional 20% federal income tax on compensation recognized as ordinary income, as well as interest on such deferred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Surtax</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a participant’s annual “net investment income,” as defined in Section 1411 of the Internal Revenue Code, may be subject to a 3.8% U.S. federal surtax. Net investment income may include capital gain and/or loss arising from the disposition of ordinary shares of the Company issued pursuant to awards under the 2021 Plan. Whether a participant’s net investment income will be subject to this surtax will depend on the participant’s level of annual income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Effect for the Company</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generally will be entitled to a tax deduction in connection with an award under the 2021 Plan in an amount equal to the ordinary income realized by a participant and at the time the participant recognizes such income (for example, the exercise of a nonstatutory stock option) except to the extent such deduction is limited by applicable provisions of the Internal Revenue Code. Special rules limit the deductibility of compensation paid to the Company’s chief executive officer and certain “covered employees” as determined under Section 162(m) of the Internal Revenue Code and applicable guidance. Under Section 162(m) of the Internal Revenue Code, the annual compensation paid to any of these specified individuals will be deductible only to the extent that it does not exceed $1,000,000.</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FOREGOING IS ONLY A SUMMARY OF THE EFFECT OF U.S. FEDERAL INCOME TAXATION UPON PARTICIPANTS AND THE COMPANY WITH RESPECT TO AWARDS UNDER THE 2021 PLAN. IT DOES NOT PURPORT TO BE COMPLETE AND DOES NOT DISCUSS THE IMPACT OF EMPLOYMENT OR OTHER TAX REQUIREMENTS, THE TAX CONSEQUENCES OF A PARTICIPANT’S DEATH, OR THE PROVISIONS OF THE INCOME TAX LAWS OF ANY MUNICIPALITY, STATE, OR NON-U.S. COUNTRY IN WHICH THE PARTICIPANT MAY RESIDE.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Awards Granted to Employees, Consultants and Directors</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number of awards that an employee, director or consultant may receive under the 2021 Plan, as amended and restated, is in the discretion of the administrator and therefore cannot be determined in advance. The following table sets forth the aggregate number of ordinary shares subject to restricted stock units and performance-based restricted stock units (at the target number of shares awarded) granted under the 2021 Plan to our NEOs and the below-listed groups during the last fiscal year (no other types of awards were granted to such individuals during the last fiscal year). As of April 1, 2026, the closing price of an ordinary share of the Company as reported on the Nasdaq Global Select Market was $51.08.</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97" w:right="459" w:bottom="1440" w:gutter="0" w:footer="0" w:header="0"/>
        </w:sectPr>
      </w:pPr>
    </w:p>
    <w:bookmarkStart w:id="80" w:name="page81"/>
    <w:bookmarkEnd w:id="80"/>
    <w:tbl>
      <w:tblPr>
        <w:tblLayout w:type="fixed"/>
        <w:tblInd w:w="4"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6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6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60" w:type="dxa"/>
            <w:vAlign w:val="bottom"/>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Performance –</w:t>
            </w:r>
          </w:p>
        </w:tc>
        <w:tc>
          <w:tcPr>
            <w:tcW w:w="10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Dollar Value of</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6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7"/>
              </w:rPr>
              <w:t>Based</w:t>
            </w:r>
          </w:p>
        </w:tc>
        <w:tc>
          <w:tcPr>
            <w:tcW w:w="10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88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76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Units and</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88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76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Performance-Based</w:t>
            </w:r>
          </w:p>
        </w:tc>
        <w:tc>
          <w:tcPr>
            <w:tcW w:w="0" w:type="dxa"/>
            <w:vAlign w:val="bottom"/>
          </w:tcPr>
          <w:p>
            <w:pPr>
              <w:spacing w:after="0"/>
              <w:rPr>
                <w:sz w:val="1"/>
                <w:szCs w:val="1"/>
                <w:color w:val="auto"/>
              </w:rPr>
            </w:pPr>
          </w:p>
        </w:tc>
      </w:tr>
      <w:tr>
        <w:trPr>
          <w:trHeight w:val="203"/>
        </w:trPr>
        <w:tc>
          <w:tcPr>
            <w:tcW w:w="2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Individual or Group</w:t>
            </w:r>
          </w:p>
        </w:tc>
        <w:tc>
          <w:tcPr>
            <w:tcW w:w="3900" w:type="dxa"/>
            <w:vAlign w:val="bottom"/>
            <w:vMerge w:val="restart"/>
          </w:tcPr>
          <w:p>
            <w:pPr>
              <w:spacing w:after="0"/>
              <w:rPr>
                <w:sz w:val="17"/>
                <w:szCs w:val="17"/>
                <w:color w:val="auto"/>
              </w:rPr>
            </w:pPr>
          </w:p>
        </w:tc>
        <w:tc>
          <w:tcPr>
            <w:tcW w:w="188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76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Units Granted</w:t>
            </w:r>
          </w:p>
        </w:tc>
        <w:tc>
          <w:tcPr>
            <w:tcW w:w="10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0" w:type="dxa"/>
            <w:vAlign w:val="bottom"/>
          </w:tcPr>
          <w:p>
            <w:pPr>
              <w:spacing w:after="0"/>
              <w:rPr>
                <w:sz w:val="1"/>
                <w:szCs w:val="1"/>
                <w:color w:val="auto"/>
              </w:rPr>
            </w:pPr>
          </w:p>
        </w:tc>
      </w:tr>
      <w:tr>
        <w:trPr>
          <w:trHeight w:val="225"/>
        </w:trPr>
        <w:tc>
          <w:tcPr>
            <w:tcW w:w="2040" w:type="dxa"/>
            <w:vAlign w:val="bottom"/>
            <w:tcBorders>
              <w:bottom w:val="single" w:sz="8" w:color="auto"/>
            </w:tcBorders>
            <w:vMerge w:val="continue"/>
          </w:tcPr>
          <w:p>
            <w:pPr>
              <w:spacing w:after="0"/>
              <w:rPr>
                <w:sz w:val="19"/>
                <w:szCs w:val="19"/>
                <w:color w:val="auto"/>
              </w:rPr>
            </w:pPr>
          </w:p>
        </w:tc>
        <w:tc>
          <w:tcPr>
            <w:tcW w:w="3900" w:type="dxa"/>
            <w:vAlign w:val="bottom"/>
            <w:vMerge w:val="continue"/>
          </w:tcPr>
          <w:p>
            <w:pPr>
              <w:spacing w:after="0"/>
              <w:rPr>
                <w:sz w:val="19"/>
                <w:szCs w:val="19"/>
                <w:color w:val="auto"/>
              </w:rPr>
            </w:pPr>
          </w:p>
        </w:tc>
        <w:tc>
          <w:tcPr>
            <w:tcW w:w="188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Units Granted</w:t>
            </w:r>
          </w:p>
        </w:tc>
        <w:tc>
          <w:tcPr>
            <w:tcW w:w="176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6"/>
              </w:rPr>
              <w:t>(at Target)</w:t>
            </w:r>
          </w:p>
        </w:tc>
        <w:tc>
          <w:tcPr>
            <w:tcW w:w="100" w:type="dxa"/>
            <w:vAlign w:val="bottom"/>
          </w:tcPr>
          <w:p>
            <w:pPr>
              <w:spacing w:after="0"/>
              <w:rPr>
                <w:sz w:val="19"/>
                <w:szCs w:val="19"/>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Units(1)</w:t>
            </w:r>
          </w:p>
        </w:tc>
        <w:tc>
          <w:tcPr>
            <w:tcW w:w="0" w:type="dxa"/>
            <w:vAlign w:val="bottom"/>
          </w:tcPr>
          <w:p>
            <w:pPr>
              <w:spacing w:after="0"/>
              <w:rPr>
                <w:sz w:val="1"/>
                <w:szCs w:val="1"/>
                <w:color w:val="auto"/>
              </w:rPr>
            </w:pPr>
          </w:p>
        </w:tc>
      </w:tr>
      <w:tr>
        <w:trPr>
          <w:trHeight w:val="171"/>
        </w:trPr>
        <w:tc>
          <w:tcPr>
            <w:tcW w:w="59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Feng-Ming (Fermi) Wang, Chairman of the Board of Directors, President</w:t>
            </w:r>
          </w:p>
        </w:tc>
        <w:tc>
          <w:tcPr>
            <w:tcW w:w="1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Chief Executive Officer</w:t>
            </w:r>
          </w:p>
        </w:tc>
        <w:tc>
          <w:tcPr>
            <w:tcW w:w="18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39,120</w:t>
            </w:r>
          </w:p>
        </w:tc>
        <w:tc>
          <w:tcPr>
            <w:tcW w:w="17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39,120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5,933,330</w:t>
            </w:r>
          </w:p>
        </w:tc>
        <w:tc>
          <w:tcPr>
            <w:tcW w:w="0" w:type="dxa"/>
            <w:vAlign w:val="bottom"/>
          </w:tcPr>
          <w:p>
            <w:pPr>
              <w:spacing w:after="0"/>
              <w:rPr>
                <w:sz w:val="1"/>
                <w:szCs w:val="1"/>
                <w:color w:val="auto"/>
              </w:rPr>
            </w:pPr>
          </w:p>
        </w:tc>
      </w:tr>
      <w:tr>
        <w:trPr>
          <w:trHeight w:val="198"/>
        </w:trPr>
        <w:tc>
          <w:tcPr>
            <w:tcW w:w="5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Leslie Kohn, Chief Technology Advisor and Former Chief Technology</w:t>
            </w: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 and Director</w:t>
            </w: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19,560</w:t>
            </w: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19,560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2,966,665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Young, Chief Financial Officer</w:t>
            </w:r>
          </w:p>
        </w:tc>
        <w:tc>
          <w:tcPr>
            <w:tcW w:w="18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12,388</w:t>
            </w:r>
          </w:p>
        </w:tc>
        <w:tc>
          <w:tcPr>
            <w:tcW w:w="17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12,388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1,878,888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 W. Lee, Chief Operating Officer</w:t>
            </w: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18,256</w:t>
            </w: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18,256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2,768,888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Chi-Hong (John) Ju, Sr. Vice President, Systems</w:t>
            </w:r>
          </w:p>
        </w:tc>
        <w:tc>
          <w:tcPr>
            <w:tcW w:w="18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12,388</w:t>
            </w:r>
          </w:p>
        </w:tc>
        <w:tc>
          <w:tcPr>
            <w:tcW w:w="17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12,388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1,878,888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as a group</w:t>
            </w: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107,580</w:t>
            </w: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107,580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16,316,659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who are not executive officers, as a group</w:t>
            </w:r>
          </w:p>
        </w:tc>
        <w:tc>
          <w:tcPr>
            <w:tcW w:w="18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17,430</w:t>
            </w:r>
          </w:p>
        </w:tc>
        <w:tc>
          <w:tcPr>
            <w:tcW w:w="17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1,350,101</w:t>
            </w:r>
          </w:p>
        </w:tc>
        <w:tc>
          <w:tcPr>
            <w:tcW w:w="0" w:type="dxa"/>
            <w:vAlign w:val="bottom"/>
          </w:tcPr>
          <w:p>
            <w:pPr>
              <w:spacing w:after="0"/>
              <w:rPr>
                <w:sz w:val="1"/>
                <w:szCs w:val="1"/>
                <w:color w:val="auto"/>
              </w:rPr>
            </w:pP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employees who are not executive officers, as a group</w:t>
            </w: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1,141,494</w:t>
            </w:r>
          </w:p>
        </w:tc>
        <w:tc>
          <w:tcPr>
            <w:tcW w:w="17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85,055,525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of the equity awards computed in accordance with FASB ASC Topic 718.</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ask that you vote “FOR” the following resolution:</w:t>
      </w:r>
    </w:p>
    <w:p>
      <w:pPr>
        <w:spacing w:after="0" w:line="225" w:lineRule="exact"/>
        <w:rPr>
          <w:sz w:val="20"/>
          <w:szCs w:val="20"/>
          <w:color w:val="auto"/>
        </w:rPr>
      </w:pPr>
    </w:p>
    <w:p>
      <w:pPr>
        <w:jc w:val="both"/>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RESOLVED, that the amendment and restatement of the Ambarella, Inc. 2021 Equity Incentive Plan be confirmed, ratified and approved in all respects.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Approval of the 2021 Plan, as amended and restated, requires the affirmative vote of a majority of the shares present and voting at the Annual Meeting in person or by proxy. Abstentions and broker non-votes, although counted toward the quorum requirement, will not be counted towards the vote total for this proposal. Unless otherwise indicated, proxies received will be voted “FOR” ratification of this proposal will have no effect.</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the 2021 Equity Incentive Plan, as amended and restated.</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4"/>
          </w:cols>
          <w:pgMar w:left="436" w:top="299" w:right="4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DELINQUENT SECTION 16(A) REPORTS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 SEC regulations require us to identify in this proxy statement anyone who filed a required report late during the most recent fiscal year. Based solely on our review of copies of such forms that we have received, or written representations from reporting persons, we believe that during the fiscal year ended January 31, 2026, all executive officers, directors and greater than 10% stockholders complied with all applicable SEC filing requirements, except for a Form 4 filing for each of Mr. Chen, Mr. Young, Mr. Lee, Mr. Kohn, Mr. Ju, and Dr. Wang (“Filers”) in connection with one transaction related to restricted stock unit awards granted on February 28, 2025 for each Filer that was filed on March 7, 2025 due to an administrative error.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 FOR THE 2027 ANNUAL MEETING OF SHAREHOLDERS</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If a shareholder wishes to present a proposal to be included in our Proxy Statement for the 2027 Annual Meeting of Shareholders, the proponent and the proposal must comply with the proxy proposal submission rules of the SEC. One of the requirements is that the proposal be received by the Secretary no later than January 15, 2027. Proposals we receive after that date will not be included in the Proxy Statement. We urge shareholders to submit proposals by Certified Mail—Return Receipt Requested.</w:t>
      </w:r>
    </w:p>
    <w:p>
      <w:pPr>
        <w:spacing w:after="0" w:line="180" w:lineRule="exact"/>
        <w:rPr>
          <w:sz w:val="20"/>
          <w:szCs w:val="20"/>
          <w:color w:val="auto"/>
        </w:rPr>
      </w:pPr>
    </w:p>
    <w:p>
      <w:pPr>
        <w:ind w:right="20" w:firstLine="440"/>
        <w:spacing w:after="0" w:line="231" w:lineRule="auto"/>
        <w:rPr>
          <w:sz w:val="20"/>
          <w:szCs w:val="20"/>
          <w:color w:val="auto"/>
        </w:rPr>
      </w:pPr>
      <w:r>
        <w:rPr>
          <w:rFonts w:ascii="Times New Roman" w:cs="Times New Roman" w:eastAsia="Times New Roman" w:hAnsi="Times New Roman"/>
          <w:sz w:val="18"/>
          <w:szCs w:val="18"/>
          <w:color w:val="auto"/>
        </w:rPr>
        <w:t>A shareholder proposal not included in our proxy statement for the 2027 Annual Meeting of Shareholders will be ineligible for presentation at the 2027 Annual Meeting of Shareholders unless the shareholder gives timely notice of the proposal in writing to the Secretary of Ambarella at the principal executive offices of Ambarella. Under our articles of association, in order for a matter to be deemed properly presented by a shareholder, timely notice must be delivered to, or mailed and received by, us not more than one hundred twenty (120) days nor less than ninety (90) days in advance of the one-year anniversary of the date of our proxy statement provided in connection with the previous year’s annual meeting of shareholders, January 15, 2027 and February 14, 2027, respectively, for the 2027 Annual Meeting of Shareholders; provided, however, that in the event that we did not hold an Annual Meeting in the prior year or if the date of the Annual Meeting is more than 30 days before or after the anniversary date of the prior year’s Annual Meeting, we must receive the shareholder’s notice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Annual Meeting and not later than the close of business on the later of 90 days prior to the Annual Meeting and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day we provided such public disclosure of the meeting date.</w:t>
      </w:r>
    </w:p>
    <w:p>
      <w:pPr>
        <w:spacing w:after="0" w:line="20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shareholder’s notice must set forth, as to each proposed matter, the following: (a) a brief description of the business desired to be brought before the meeting and reasons for conducting such business at the meeting; (b) the name and address, as they appear on our books, of the shareholder proposing such business; (c) the class and number of shares of our securities that are beneficially owned by the shareholder; (d) any material interest of the shareholder in such business; and (e) any other information that is required to be provided by such shareholder pursuant to our articles of association or the proxy proposal submission rules of the SEC. Additional requirements relating to shareholder nominations of individuals to stand for election to the Board at our annual meeting of shareholders may be found above in “Information Regarding the Board of Directors and Corporate Governance— Director Nominations.” In addition, any notice of director nomination submitted must include the additional information required by Rule 14a-19(b) under the Exchange Act. The presiding officer of the meeting may refuse to acknowledge any matter not made in compliance with the foregoing procedure.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93" w:right="45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HOUSEHOLDING OF PROXY MATERIALS</w:t>
      </w:r>
    </w:p>
    <w:p>
      <w:pPr>
        <w:spacing w:after="0" w:line="229"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To reduce the expense of delivering duplicate proxy materials to shareholders who may have more than one account holding the Company’s ordinary shares but who share the same address, we have adopted a procedure approved by the SEC called “householding.” Under this procedure, certain shareholders of record who have the same address and last name will receive only one copy of the Notice of Internet Availability for our proxy materials until such time as one or more of these shareholders notify us that they want to receive separate copies. This procedure reduces duplicate mailings and saves printing costs and postage fees, as well as natural resources. Shareholders who participate in householding will continue to have access to and utilize separate proxy voting instructions.</w:t>
      </w:r>
    </w:p>
    <w:p>
      <w:pPr>
        <w:spacing w:after="0" w:line="18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If you are a registered shareholder and you receive a single copy of the Notice of Internet Availability as a result of householding, and you would like to have separate copies mailed to you, or if you receive multiple copies and would like to receive a single copy, you may submit a request in the following manners: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internet:</w:t>
            </w:r>
          </w:p>
        </w:tc>
        <w:tc>
          <w:tcPr>
            <w:tcW w:w="9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xml:space="preserve">go to </w:t>
            </w:r>
            <w:r>
              <w:rPr>
                <w:rFonts w:ascii="Times New Roman" w:cs="Times New Roman" w:eastAsia="Times New Roman" w:hAnsi="Times New Roman"/>
                <w:sz w:val="18"/>
                <w:szCs w:val="18"/>
                <w:i w:val="1"/>
                <w:iCs w:val="1"/>
                <w:color w:val="auto"/>
              </w:rPr>
              <w:t>www.envisionreports.com/AMBA</w:t>
            </w:r>
          </w:p>
        </w:tc>
      </w:tr>
      <w:tr>
        <w:trPr>
          <w:trHeight w:val="324"/>
        </w:trPr>
        <w:tc>
          <w:tcPr>
            <w:tcW w:w="4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phone:</w:t>
            </w:r>
          </w:p>
        </w:tc>
        <w:tc>
          <w:tcPr>
            <w:tcW w:w="9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call 1-866-641-4276</w:t>
            </w:r>
          </w:p>
        </w:tc>
      </w:tr>
      <w:tr>
        <w:trPr>
          <w:trHeight w:val="283"/>
        </w:trPr>
        <w:tc>
          <w:tcPr>
            <w:tcW w:w="4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email:</w:t>
            </w:r>
          </w:p>
        </w:tc>
        <w:tc>
          <w:tcPr>
            <w:tcW w:w="9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send an email to investorvote@computershare.com with “Proxy Materials Ambarella Inc.” in the subject line. Include your</w:t>
            </w:r>
          </w:p>
        </w:tc>
      </w:tr>
      <w:tr>
        <w:trPr>
          <w:trHeight w:val="20"/>
        </w:trPr>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37"/>
        </w:trPr>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1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full name and address, as well as the unique ID number found on your Shareholder Meeting Notice.</w:t>
            </w:r>
          </w:p>
        </w:tc>
      </w:tr>
    </w:tbl>
    <w:p>
      <w:pPr>
        <w:spacing w:after="0" w:line="198"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Shareholders who hold shares in street name may contact their brokerage firm, bank, broker-dealer or other similar organization to request information about householding.</w:t>
      </w:r>
    </w:p>
    <w:p>
      <w:pPr>
        <w:spacing w:after="0" w:line="374" w:lineRule="exact"/>
        <w:rPr>
          <w:sz w:val="20"/>
          <w:szCs w:val="20"/>
          <w:color w:val="auto"/>
        </w:rPr>
      </w:pPr>
    </w:p>
    <w:p>
      <w:pPr>
        <w:jc w:val="center"/>
        <w:ind w:left="460" w:right="6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JUNE 26, 2026</w:t>
      </w:r>
    </w:p>
    <w:p>
      <w:pPr>
        <w:spacing w:after="0" w:line="157"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notice of annual meeting, proxy statement and annual report are available at </w:t>
      </w:r>
      <w:r>
        <w:rPr>
          <w:rFonts w:ascii="Times New Roman" w:cs="Times New Roman" w:eastAsia="Times New Roman" w:hAnsi="Times New Roman"/>
          <w:sz w:val="18"/>
          <w:szCs w:val="18"/>
          <w:i w:val="1"/>
          <w:iCs w:val="1"/>
          <w:color w:val="auto"/>
        </w:rPr>
        <w:t>www.edocumentview.com/AMBA</w:t>
      </w:r>
      <w:r>
        <w:rPr>
          <w:rFonts w:ascii="Times New Roman" w:cs="Times New Roman" w:eastAsia="Times New Roman" w:hAnsi="Times New Roman"/>
          <w:sz w:val="18"/>
          <w:szCs w:val="18"/>
          <w:color w:val="auto"/>
        </w:rPr>
        <w:t xml:space="preserve">. If you are a shareholder of record, you also may view these materials at </w:t>
      </w:r>
      <w:r>
        <w:rPr>
          <w:rFonts w:ascii="Times New Roman" w:cs="Times New Roman" w:eastAsia="Times New Roman" w:hAnsi="Times New Roman"/>
          <w:sz w:val="18"/>
          <w:szCs w:val="18"/>
          <w:i w:val="1"/>
          <w:iCs w:val="1"/>
          <w:color w:val="auto"/>
        </w:rPr>
        <w:t>http://www.envisionreports.com/AMBA.</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94615</wp:posOffset>
            </wp:positionV>
            <wp:extent cx="1997075" cy="3943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970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MICHAEL MOREHEAD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93" w:right="47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Annex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AMENDED AND RESTATED 2021 EQUITY INCENTIVE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Purposes of the Plan</w:t>
      </w:r>
      <w:r>
        <w:rPr>
          <w:rFonts w:ascii="Times New Roman" w:cs="Times New Roman" w:eastAsia="Times New Roman" w:hAnsi="Times New Roman"/>
          <w:sz w:val="18"/>
          <w:szCs w:val="18"/>
          <w:color w:val="auto"/>
        </w:rPr>
        <w:t>. The purposes of this Plan are:</w:t>
      </w:r>
    </w:p>
    <w:p>
      <w:pPr>
        <w:spacing w:after="0" w:line="135" w:lineRule="exact"/>
        <w:rPr>
          <w:sz w:val="20"/>
          <w:szCs w:val="20"/>
          <w:color w:val="auto"/>
        </w:rPr>
      </w:pPr>
    </w:p>
    <w:p>
      <w:pPr>
        <w:ind w:left="1420" w:hanging="331"/>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Restricted Stock Units and Performance Awards.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Ordinary Shares, including but not limited to, under U.S. federal and state corporate laws, U.S. federal and state securities laws, the Code, any stock or share exchange or quotation system on which the Ordinary Shares are listed or quoted and the applicable laws of any non-U.S. country or jurisdiction where Awards are, or will be, granted under the Plan.</w:t>
      </w:r>
    </w:p>
    <w:p>
      <w:pPr>
        <w:spacing w:after="0" w:line="176" w:lineRule="exact"/>
        <w:rPr>
          <w:sz w:val="20"/>
          <w:szCs w:val="20"/>
          <w:color w:val="auto"/>
        </w:rPr>
      </w:pPr>
    </w:p>
    <w:p>
      <w:pPr>
        <w:ind w:right="600" w:firstLine="991"/>
        <w:spacing w:after="0" w:line="28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or Performance Awards.</w:t>
      </w:r>
    </w:p>
    <w:p>
      <w:pPr>
        <w:spacing w:after="0" w:line="155" w:lineRule="exact"/>
        <w:rPr>
          <w:sz w:val="20"/>
          <w:szCs w:val="20"/>
          <w:color w:val="auto"/>
        </w:rPr>
      </w:pPr>
    </w:p>
    <w:p>
      <w:pPr>
        <w:ind w:right="380" w:firstLine="991"/>
        <w:spacing w:after="0" w:line="28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117" w:lineRule="exact"/>
        <w:rPr>
          <w:sz w:val="20"/>
          <w:szCs w:val="20"/>
          <w:color w:val="auto"/>
        </w:rPr>
      </w:pPr>
    </w:p>
    <w:p>
      <w:pPr>
        <w:ind w:firstLine="1542"/>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 person, or more than one person acting as a group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acquires ownership of the shares of the Company that, together with the shares held by such Person, constitutes more than fifty percent (50%) of the total voting power of the shares of the Company; provided, however, that for purposes of this subsection (a), the acquisition of additional shares by any one Person, who is considered to own more than fifty percent (50%) of the total voting power of the shares of the Company will not be considered a Change in Control; provided, further, that any change in the ownership of the shares of the Company as a result of a private financing of the Company that is approved by the Board also will not be considered a Change in Control. Further, if the shareholders of the Company immediately before such change in ownership continue to retain immediately after the change in ownership, in substantially the same proportions as their ownership of shares of the Company’s voting shares immediately prior to the change in ownership, direct or indirect beneficial ownership of fifty percent (50%) or more of the total voting power of the shares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0"/>
          </w:cols>
          <w:pgMar w:left="440" w:top="297" w:right="459" w:bottom="1440" w:gutter="0" w:footer="0" w:header="0"/>
        </w:sectPr>
      </w:pPr>
    </w:p>
    <w:bookmarkStart w:id="84" w:name="page85"/>
    <w:bookmarkEnd w:id="84"/>
    <w:p>
      <w:pPr>
        <w:jc w:val="both"/>
        <w:ind w:left="4" w:right="40" w:firstLine="1542"/>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(b)  </w:t>
      </w:r>
      <w:r>
        <w:rPr>
          <w:rFonts w:ascii="Times New Roman" w:cs="Times New Roman" w:eastAsia="Times New Roman" w:hAnsi="Times New Roman"/>
          <w:sz w:val="18"/>
          <w:szCs w:val="18"/>
          <w:b w:val="1"/>
          <w:bCs w:val="1"/>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71" w:lineRule="exact"/>
        <w:rPr>
          <w:sz w:val="20"/>
          <w:szCs w:val="20"/>
          <w:color w:val="auto"/>
        </w:rPr>
      </w:pPr>
    </w:p>
    <w:p>
      <w:pPr>
        <w:ind w:left="4" w:right="60" w:firstLine="1542"/>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shareholders immediately after the transfer, or (ii) a transfer of assets by the Company to: (A) a shareholder of the Company (immediately before the asset transfer) in exchange for or with respect to the Company’s shares,</w:t>
      </w:r>
    </w:p>
    <w:p>
      <w:pPr>
        <w:spacing w:after="0" w:line="1" w:lineRule="exact"/>
        <w:rPr>
          <w:sz w:val="20"/>
          <w:szCs w:val="20"/>
          <w:color w:val="auto"/>
        </w:rPr>
      </w:pPr>
    </w:p>
    <w:p>
      <w:pPr>
        <w:ind w:left="4" w:hanging="4"/>
        <w:spacing w:after="0" w:line="253" w:lineRule="auto"/>
        <w:tabs>
          <w:tab w:leader="none" w:pos="28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fifty percent (50%) or more of the total value or voting power of which is owned, directly or indirectly, by the Company, (C) a Person, that owns, directly or indirectly, fifty percent (50%) or more of the total value or voting power of all the outstanding shares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7" w:lineRule="exact"/>
        <w:rPr>
          <w:sz w:val="20"/>
          <w:szCs w:val="20"/>
          <w:color w:val="auto"/>
        </w:rPr>
      </w:pPr>
    </w:p>
    <w:p>
      <w:pPr>
        <w:ind w:left="4" w:right="200" w:firstLine="1542"/>
        <w:spacing w:after="0" w:line="282" w:lineRule="auto"/>
        <w:rPr>
          <w:sz w:val="20"/>
          <w:szCs w:val="20"/>
          <w:color w:val="auto"/>
        </w:rPr>
      </w:pPr>
      <w:r>
        <w:rPr>
          <w:rFonts w:ascii="Times New Roman" w:cs="Times New Roman" w:eastAsia="Times New Roman" w:hAnsi="Times New Roman"/>
          <w:sz w:val="18"/>
          <w:szCs w:val="18"/>
          <w:color w:val="auto"/>
        </w:rPr>
        <w:t>For purposes of this Section 2.6, persons will be considered to be acting as a group if they are owners of a corporation that enters into a merger, consolidation, purchase or acquisition of shares, or similar business transaction with the Company.</w:t>
      </w:r>
    </w:p>
    <w:p>
      <w:pPr>
        <w:spacing w:after="0" w:line="162" w:lineRule="exact"/>
        <w:rPr>
          <w:sz w:val="20"/>
          <w:szCs w:val="20"/>
          <w:color w:val="auto"/>
        </w:rPr>
      </w:pPr>
    </w:p>
    <w:p>
      <w:pPr>
        <w:ind w:left="4" w:right="40" w:firstLine="1542"/>
        <w:spacing w:after="0" w:line="282"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w:t>
      </w:r>
    </w:p>
    <w:p>
      <w:pPr>
        <w:spacing w:after="0" w:line="162" w:lineRule="exact"/>
        <w:rPr>
          <w:sz w:val="20"/>
          <w:szCs w:val="20"/>
          <w:color w:val="auto"/>
        </w:rPr>
      </w:pPr>
    </w:p>
    <w:p>
      <w:pPr>
        <w:ind w:left="4" w:right="60" w:firstLine="1542"/>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ind w:left="4" w:right="200" w:firstLine="991"/>
        <w:spacing w:after="0" w:line="291"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53" w:lineRule="exact"/>
        <w:rPr>
          <w:sz w:val="20"/>
          <w:szCs w:val="20"/>
          <w:color w:val="auto"/>
        </w:rPr>
      </w:pPr>
    </w:p>
    <w:p>
      <w:pPr>
        <w:ind w:left="4" w:right="300" w:firstLine="991"/>
        <w:spacing w:after="0" w:line="28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 hereof.</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Ambarella, Inc., a Cayman Islands corporation, or any successor thereto.</w:t>
      </w:r>
    </w:p>
    <w:p>
      <w:pPr>
        <w:spacing w:after="0" w:line="225" w:lineRule="exact"/>
        <w:rPr>
          <w:sz w:val="20"/>
          <w:szCs w:val="20"/>
          <w:color w:val="auto"/>
        </w:rPr>
      </w:pPr>
    </w:p>
    <w:p>
      <w:pPr>
        <w:ind w:left="4" w:right="20" w:firstLine="991"/>
        <w:spacing w:after="0" w:line="259"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4"/>
          </w:cols>
          <w:pgMar w:left="436" w:top="293" w:right="439" w:bottom="1440" w:gutter="0" w:footer="0" w:header="0"/>
        </w:sectPr>
      </w:pPr>
    </w:p>
    <w:bookmarkStart w:id="85" w:name="page86"/>
    <w:bookmarkEnd w:id="8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2.11 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right="180" w:firstLine="991"/>
        <w:spacing w:after="0" w:line="268"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1" w:lineRule="exact"/>
        <w:rPr>
          <w:sz w:val="20"/>
          <w:szCs w:val="20"/>
          <w:color w:val="auto"/>
        </w:rPr>
      </w:pPr>
    </w:p>
    <w:p>
      <w:pPr>
        <w:ind w:firstLine="991"/>
        <w:spacing w:after="0" w:line="317" w:lineRule="auto"/>
        <w:rPr>
          <w:sz w:val="20"/>
          <w:szCs w:val="20"/>
          <w:color w:val="auto"/>
        </w:rPr>
      </w:pPr>
      <w:r>
        <w:rPr>
          <w:rFonts w:ascii="Times New Roman" w:cs="Times New Roman" w:eastAsia="Times New Roman" w:hAnsi="Times New Roman"/>
          <w:sz w:val="17"/>
          <w:szCs w:val="17"/>
          <w:color w:val="auto"/>
        </w:rPr>
        <w:t>2.13 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color w:val="auto"/>
        </w:rPr>
        <w:t>Exchange Program</w:t>
      </w:r>
      <w:r>
        <w:rPr>
          <w:rFonts w:ascii="Times New Roman" w:cs="Times New Roman" w:eastAsia="Times New Roman" w:hAnsi="Times New Roman"/>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w:t>
      </w:r>
    </w:p>
    <w:p>
      <w:pPr>
        <w:spacing w:after="0" w:line="176" w:lineRule="exact"/>
        <w:rPr>
          <w:sz w:val="20"/>
          <w:szCs w:val="20"/>
          <w:color w:val="auto"/>
        </w:rPr>
      </w:pPr>
    </w:p>
    <w:p>
      <w:pPr>
        <w:ind w:right="380" w:firstLine="991"/>
        <w:spacing w:after="0" w:line="286"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Ordinary Shares determined as follows:</w:t>
      </w:r>
    </w:p>
    <w:p>
      <w:pPr>
        <w:spacing w:after="0" w:line="51" w:lineRule="exact"/>
        <w:rPr>
          <w:sz w:val="20"/>
          <w:szCs w:val="20"/>
          <w:color w:val="auto"/>
        </w:rPr>
      </w:pPr>
    </w:p>
    <w:p>
      <w:pPr>
        <w:ind w:firstLine="1652"/>
        <w:spacing w:after="0" w:line="258" w:lineRule="auto"/>
        <w:rPr>
          <w:sz w:val="20"/>
          <w:szCs w:val="20"/>
          <w:color w:val="auto"/>
        </w:rPr>
      </w:pPr>
      <w:r>
        <w:rPr>
          <w:rFonts w:ascii="Times New Roman" w:cs="Times New Roman" w:eastAsia="Times New Roman" w:hAnsi="Times New Roman"/>
          <w:sz w:val="18"/>
          <w:szCs w:val="18"/>
          <w:color w:val="auto"/>
        </w:rPr>
        <w:t xml:space="preserve">(a)  If the Ordinary Shares are listed on any established stock or share exchange or a national market system, including without limitation the New York Stock Exchange or the Nasdaq Global Select Market, the Nasdaq Global Market, or the Nasdaq Capital Market of The Nasdaq Stock Market, its Fair Market Value will be the closing sales price for such shares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or such other source as the Administrator deems reliable;</w:t>
      </w:r>
    </w:p>
    <w:p>
      <w:pPr>
        <w:spacing w:after="0" w:line="75" w:lineRule="exact"/>
        <w:rPr>
          <w:sz w:val="20"/>
          <w:szCs w:val="20"/>
          <w:color w:val="auto"/>
        </w:rPr>
      </w:pPr>
    </w:p>
    <w:p>
      <w:pPr>
        <w:ind w:right="20" w:firstLine="1652"/>
        <w:spacing w:after="0" w:line="261" w:lineRule="auto"/>
        <w:rPr>
          <w:sz w:val="20"/>
          <w:szCs w:val="20"/>
          <w:color w:val="auto"/>
        </w:rPr>
      </w:pPr>
      <w:r>
        <w:rPr>
          <w:rFonts w:ascii="Times New Roman" w:cs="Times New Roman" w:eastAsia="Times New Roman" w:hAnsi="Times New Roman"/>
          <w:sz w:val="18"/>
          <w:szCs w:val="18"/>
          <w:color w:val="auto"/>
        </w:rPr>
        <w:t xml:space="preserve">(b)  If the Ordinary Shares are regularly quoted by a recognized securities dealer but selling prices are not reported, the Fair Market Value of a Share will be the mean between the high bid and low asked prices for the Ordinary Shares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7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(c)   In the absence of an established market for the Ordinary Shares, the Fair Market Value will be determined in good faith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Administrator.</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Code Section 422 and the regulations promulgated thereunder.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00"/>
          </w:cols>
          <w:pgMar w:left="440" w:top="293" w:right="559" w:bottom="1440" w:gutter="0" w:footer="0" w:header="0"/>
        </w:sectPr>
      </w:pPr>
    </w:p>
    <w:bookmarkStart w:id="86" w:name="page87"/>
    <w:bookmarkEnd w:id="8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2.19   “</w:t>
      </w:r>
      <w:r>
        <w:rPr>
          <w:rFonts w:ascii="Times New Roman" w:cs="Times New Roman" w:eastAsia="Times New Roman" w:hAnsi="Times New Roman"/>
          <w:sz w:val="18"/>
          <w:szCs w:val="18"/>
          <w:b w:val="1"/>
          <w:bCs w:val="1"/>
          <w:color w:val="auto"/>
        </w:rPr>
        <w:t>Inside Director</w:t>
      </w:r>
      <w:r>
        <w:rPr>
          <w:rFonts w:ascii="Times New Roman" w:cs="Times New Roman" w:eastAsia="Times New Roman" w:hAnsi="Times New Roman"/>
          <w:sz w:val="18"/>
          <w:szCs w:val="18"/>
          <w:color w:val="auto"/>
        </w:rPr>
        <w:t>” means a Director who is an Employee.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2.20   “</w:t>
      </w:r>
      <w:r>
        <w:rPr>
          <w:rFonts w:ascii="Times New Roman" w:cs="Times New Roman" w:eastAsia="Times New Roman" w:hAnsi="Times New Roman"/>
          <w:sz w:val="17"/>
          <w:szCs w:val="17"/>
          <w:b w:val="1"/>
          <w:bCs w:val="1"/>
          <w:color w:val="auto"/>
        </w:rPr>
        <w:t>Nonstatutory Stock Option</w:t>
      </w:r>
      <w:r>
        <w:rPr>
          <w:rFonts w:ascii="Times New Roman" w:cs="Times New Roman" w:eastAsia="Times New Roman" w:hAnsi="Times New Roman"/>
          <w:sz w:val="17"/>
          <w:szCs w:val="17"/>
          <w:color w:val="auto"/>
        </w:rPr>
        <w:t>” means an Option that by its terms does not qualify or is not intended to qualify as an Incentive Stock</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203"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Share Option</w:t>
      </w:r>
      <w:r>
        <w:rPr>
          <w:rFonts w:ascii="Times New Roman" w:cs="Times New Roman" w:eastAsia="Times New Roman" w:hAnsi="Times New Roman"/>
          <w:sz w:val="18"/>
          <w:szCs w:val="18"/>
          <w:color w:val="auto"/>
        </w:rPr>
        <w:t>” means an option to purchase Shares granted pursuant to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shall mean the Ordinary Shares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cash- or share-denominated and may be settled for cash, Shares or other securities or a combination of the foregoing granted pursuant to Section 10.</w:t>
      </w:r>
    </w:p>
    <w:p>
      <w:pPr>
        <w:spacing w:after="0" w:line="171"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color w:val="auto"/>
        </w:rPr>
        <w:t>Period of Restriction</w:t>
      </w:r>
      <w:r>
        <w:rPr>
          <w:rFonts w:ascii="Times New Roman" w:cs="Times New Roman" w:eastAsia="Times New Roman" w:hAnsi="Times New Roman"/>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2021 Equity Incentive Plan.</w:t>
      </w:r>
    </w:p>
    <w:p>
      <w:pPr>
        <w:spacing w:after="0" w:line="22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15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55" w:lineRule="exact"/>
        <w:rPr>
          <w:sz w:val="20"/>
          <w:szCs w:val="20"/>
          <w:color w:val="auto"/>
        </w:rPr>
      </w:pPr>
    </w:p>
    <w:p>
      <w:pPr>
        <w:ind w:right="700" w:firstLine="991"/>
        <w:spacing w:after="0" w:line="286"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155"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b w:val="1"/>
          <w:bCs w:val="1"/>
          <w:color w:val="auto"/>
        </w:rPr>
        <w:t>Section 457A</w:t>
      </w:r>
      <w:r>
        <w:rPr>
          <w:rFonts w:ascii="Times New Roman" w:cs="Times New Roman" w:eastAsia="Times New Roman" w:hAnsi="Times New Roman"/>
          <w:sz w:val="18"/>
          <w:szCs w:val="18"/>
          <w:color w:val="auto"/>
        </w:rPr>
        <w:t>” means Code Section 457A and the U.S. Treasury Regulations and guidance thereunder, and any applicable state law equivalent, as each may be promulgated, amended or modified from time to time.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93" w:right="459" w:bottom="1440" w:gutter="0" w:footer="0" w:header="0"/>
        </w:sectPr>
      </w:pPr>
    </w:p>
    <w:bookmarkStart w:id="87" w:name="page88"/>
    <w:bookmarkEnd w:id="8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2.36 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including the rules and regulations promulgated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an Ordinary Share, as adjusted in accordance with Section 15 of the Plan.</w:t>
      </w:r>
    </w:p>
    <w:p>
      <w:pPr>
        <w:spacing w:after="0" w:line="225" w:lineRule="exact"/>
        <w:rPr>
          <w:sz w:val="20"/>
          <w:szCs w:val="20"/>
          <w:color w:val="auto"/>
        </w:rPr>
      </w:pPr>
    </w:p>
    <w:p>
      <w:pPr>
        <w:ind w:right="300" w:firstLine="991"/>
        <w:spacing w:after="0" w:line="286"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Share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225" w:lineRule="exact"/>
        <w:rPr>
          <w:sz w:val="20"/>
          <w:szCs w:val="20"/>
          <w:color w:val="auto"/>
        </w:rPr>
      </w:pPr>
    </w:p>
    <w:p>
      <w:pPr>
        <w:ind w:right="180" w:firstLine="991"/>
        <w:spacing w:after="0" w:line="268"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or share exchange, national market system, or other trading platform, as applicable, upon which the Ordinary Shares are listed (or otherwise trades regularly, as determined by the Administrator, in its sole discretion), is open for trading.</w:t>
      </w:r>
    </w:p>
    <w:p>
      <w:pPr>
        <w:spacing w:after="0" w:line="171"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Shares Subject to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Shares Subject to the Plan</w:t>
      </w:r>
      <w:r>
        <w:rPr>
          <w:rFonts w:ascii="Times New Roman" w:cs="Times New Roman" w:eastAsia="Times New Roman" w:hAnsi="Times New Roman"/>
          <w:sz w:val="18"/>
          <w:szCs w:val="18"/>
          <w:color w:val="auto"/>
        </w:rPr>
        <w:t>. Subject to adjustment upon changes in capitalization of the Company as provided in Section 15, the maximum aggregate number of Shares that may be subject to Awards and issued under the Plan will be equal to (a) 5,850,000 Shares plus (b) (i) any Shares subject to awards granted under the Company’s 2012 Equity Incentive Plan (the “</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that, after the date the Prior Plan is terminated, are cancelled, expire or otherwise terminate without having been exercised in full or are forfeited to or repurchased by the Company due to failure to vest, and (ii) any Shares that, as of immediately prior to the termination of the Prior Plan, have been reserved but not issued pursuant to any awards granted under the Prior Plan and are not subject to any awards thereunder, with the maximum number of Shares to be added to the Plan pursuant to clause (b) equal to 6,834,208 Shares. In addition, Shares may become available for issuance under Section 3.2. The Shares may be authorized but unissued, or reacquired Ordinary Shares.</w:t>
      </w:r>
    </w:p>
    <w:p>
      <w:pPr>
        <w:spacing w:after="0" w:line="18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Lapsed Awards</w:t>
      </w:r>
      <w:r>
        <w:rPr>
          <w:rFonts w:ascii="Times New Roman" w:cs="Times New Roman" w:eastAsia="Times New Roman" w:hAnsi="Times New Roman"/>
          <w:sz w:val="18"/>
          <w:szCs w:val="18"/>
          <w:color w:val="auto"/>
        </w:rPr>
        <w:t>. If an Award expires or becomes unexercisable without having been exercised in full, or, with respect to Restricted Stock, Restricted Stock Units,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that are settled in Shares, the gross number of Shares covered by the portion of the Award so exercised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withholding obligations related to an Award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 3.2.</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20"/>
          </w:cols>
          <w:pgMar w:left="440" w:top="293" w:right="439" w:bottom="1440" w:gutter="0" w:footer="0" w:header="0"/>
        </w:sectPr>
      </w:pPr>
    </w:p>
    <w:bookmarkStart w:id="88" w:name="page89"/>
    <w:bookmarkEnd w:id="88"/>
    <w:p>
      <w:pPr>
        <w:ind w:right="30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3.3 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82" w:lineRule="exact"/>
        <w:rPr>
          <w:sz w:val="20"/>
          <w:szCs w:val="20"/>
          <w:color w:val="auto"/>
        </w:rPr>
      </w:pPr>
    </w:p>
    <w:p>
      <w:pPr>
        <w:ind w:left="960" w:hanging="532"/>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administer the Plan.</w:t>
      </w:r>
    </w:p>
    <w:p>
      <w:pPr>
        <w:spacing w:after="0" w:line="203" w:lineRule="exact"/>
        <w:rPr>
          <w:sz w:val="20"/>
          <w:szCs w:val="20"/>
          <w:color w:val="auto"/>
        </w:rPr>
      </w:pPr>
    </w:p>
    <w:p>
      <w:pPr>
        <w:ind w:right="680" w:firstLine="1542"/>
        <w:spacing w:after="0" w:line="28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55" w:lineRule="exact"/>
        <w:rPr>
          <w:sz w:val="20"/>
          <w:szCs w:val="20"/>
          <w:color w:val="auto"/>
        </w:rPr>
      </w:pPr>
    </w:p>
    <w:p>
      <w:pPr>
        <w:ind w:right="80" w:firstLine="1542"/>
        <w:spacing w:after="0" w:line="28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comply with Applicable Laws.</w:t>
      </w:r>
    </w:p>
    <w:p>
      <w:pPr>
        <w:spacing w:after="0" w:line="155"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5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   to determine the Fair Market Value;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   to select the Service Providers to whom Awards may be granted hereunder;</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   to determine whether and to what extent Awards are granted hereunder;</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   to determine the number of Shares or dollar amounts to be covered by each Award granted hereunder;</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   to approve forms of Award Agreements for use under the Plan;</w:t>
      </w:r>
    </w:p>
    <w:p>
      <w:pPr>
        <w:spacing w:after="0" w:line="117" w:lineRule="exact"/>
        <w:rPr>
          <w:sz w:val="20"/>
          <w:szCs w:val="20"/>
          <w:color w:val="auto"/>
        </w:rPr>
      </w:pPr>
    </w:p>
    <w:p>
      <w:pPr>
        <w:ind w:right="240" w:firstLine="1542"/>
        <w:spacing w:after="0" w:line="255" w:lineRule="auto"/>
        <w:rPr>
          <w:sz w:val="20"/>
          <w:szCs w:val="20"/>
          <w:color w:val="auto"/>
        </w:rPr>
      </w:pPr>
      <w:r>
        <w:rPr>
          <w:rFonts w:ascii="Times New Roman" w:cs="Times New Roman" w:eastAsia="Times New Roman" w:hAnsi="Times New Roman"/>
          <w:sz w:val="18"/>
          <w:szCs w:val="18"/>
          <w:color w:val="auto"/>
        </w:rPr>
        <w:t>(f)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8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   to construe and interpret the terms of the Plan and Awards granted pursuant to the Plan;</w:t>
      </w:r>
    </w:p>
    <w:p>
      <w:pPr>
        <w:spacing w:after="0" w:line="117" w:lineRule="exact"/>
        <w:rPr>
          <w:sz w:val="20"/>
          <w:szCs w:val="20"/>
          <w:color w:val="auto"/>
        </w:rPr>
      </w:pPr>
    </w:p>
    <w:p>
      <w:pPr>
        <w:jc w:val="both"/>
        <w:ind w:firstLine="1542"/>
        <w:spacing w:after="0" w:line="266" w:lineRule="auto"/>
        <w:rPr>
          <w:sz w:val="20"/>
          <w:szCs w:val="20"/>
          <w:color w:val="auto"/>
        </w:rPr>
      </w:pPr>
      <w:r>
        <w:rPr>
          <w:rFonts w:ascii="Times New Roman" w:cs="Times New Roman" w:eastAsia="Times New Roman" w:hAnsi="Times New Roman"/>
          <w:sz w:val="18"/>
          <w:szCs w:val="18"/>
          <w:color w:val="auto"/>
        </w:rPr>
        <w:t>(h)  to prescribe, amend and rescind rules and regulations relating to the Plan, including rules and regulations relating to sub-plans established for the purpose of facilitating compliance with applicable non-U.S. laws, easing the administration of the Plan or for qualifying for favorable tax treatment under applicable non-U.S. laws;</w:t>
      </w:r>
    </w:p>
    <w:p>
      <w:pPr>
        <w:spacing w:after="0" w:line="68" w:lineRule="exact"/>
        <w:rPr>
          <w:sz w:val="20"/>
          <w:szCs w:val="20"/>
          <w:color w:val="auto"/>
        </w:rPr>
      </w:pPr>
    </w:p>
    <w:p>
      <w:pPr>
        <w:ind w:right="160" w:firstLine="1542"/>
        <w:spacing w:after="0" w:line="266" w:lineRule="auto"/>
        <w:rPr>
          <w:sz w:val="20"/>
          <w:szCs w:val="20"/>
          <w:color w:val="auto"/>
        </w:rPr>
      </w:pPr>
      <w:r>
        <w:rPr>
          <w:rFonts w:ascii="Times New Roman" w:cs="Times New Roman" w:eastAsia="Times New Roman" w:hAnsi="Times New Roman"/>
          <w:sz w:val="18"/>
          <w:szCs w:val="18"/>
          <w:color w:val="auto"/>
        </w:rPr>
        <w:t>(i)  to modify or amend each Award (subject to Sections 4.3 and 20.3), including but not limited to the discretionary authority to extend the post-termination exercisability period of Awards and to extend the maximum term of an Option or Stock Appreciation Right (subject to Sections 6.4 and 7.5);</w:t>
      </w:r>
    </w:p>
    <w:p>
      <w:pPr>
        <w:spacing w:after="0" w:line="6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(j)   to allow Participants to satisfy tax withholding obligations in a manner prescribed in Section 16;</w:t>
      </w:r>
    </w:p>
    <w:p>
      <w:pPr>
        <w:spacing w:after="0" w:line="117" w:lineRule="exact"/>
        <w:rPr>
          <w:sz w:val="20"/>
          <w:szCs w:val="20"/>
          <w:color w:val="auto"/>
        </w:rPr>
      </w:pPr>
    </w:p>
    <w:p>
      <w:pPr>
        <w:ind w:right="680" w:firstLine="1542"/>
        <w:spacing w:after="0" w:line="282" w:lineRule="auto"/>
        <w:rPr>
          <w:sz w:val="20"/>
          <w:szCs w:val="20"/>
          <w:color w:val="auto"/>
        </w:rPr>
      </w:pPr>
      <w:r>
        <w:rPr>
          <w:rFonts w:ascii="Times New Roman" w:cs="Times New Roman" w:eastAsia="Times New Roman" w:hAnsi="Times New Roman"/>
          <w:sz w:val="18"/>
          <w:szCs w:val="18"/>
          <w:color w:val="auto"/>
        </w:rPr>
        <w:t>(k)  to authorize any person to execute on behalf of the Company any instrument required to effect the grant of an Award previously granted by the Administrator;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0"/>
          </w:cols>
          <w:pgMar w:left="440" w:top="293" w:right="459" w:bottom="1440" w:gutter="0" w:footer="0" w:header="0"/>
        </w:sectPr>
      </w:pPr>
    </w:p>
    <w:bookmarkStart w:id="89" w:name="page90"/>
    <w:bookmarkEnd w:id="89"/>
    <w:p>
      <w:pPr>
        <w:ind w:right="40" w:firstLine="154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  to allow a Participant to defer the receipt of the payment of cash or the delivery of Shares that otherwise would be due to such Participant under an Award; and</w:t>
      </w:r>
    </w:p>
    <w:p>
      <w:pPr>
        <w:spacing w:after="0" w:line="5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(m)   to make all other determinations deemed necessary or advisable for administering the Plan.</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Exchange Program or Repricing</w:t>
      </w:r>
      <w:r>
        <w:rPr>
          <w:rFonts w:ascii="Times New Roman" w:cs="Times New Roman" w:eastAsia="Times New Roman" w:hAnsi="Times New Roman"/>
          <w:sz w:val="18"/>
          <w:szCs w:val="18"/>
          <w:color w:val="auto"/>
        </w:rPr>
        <w:t>. Notwithstanding the powers of the Administrator set forth herein, the Administrator will not be permitted to implement an Exchange Program.</w:t>
      </w:r>
    </w:p>
    <w:p>
      <w:pPr>
        <w:spacing w:after="0" w:line="162"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With respect to any Options and Stock Appreciation Rights, until the Shares are issued (as evidenced by the appropriate entry in the Register of Members of the Company or on the books of the Company or of a duly authorized transfer agent or registrar of the Company, as applicable) thereunder, no right to receive dividends or any other rights as a shareholder will exist with respect to the Shares subject to such Award, including without limitation notwithstanding any exercise of such Award. Further, no adjustment will be made for a dividend or other right for which the record date is prior to the date the Shares are issued under an Option or Stock Appreciation Right, except as provided in Section 15 of the Plan. During any applicable Period of Restriction, Service Providers holding Shares of Restricted Stock will be entitled to receive all dividends and other distributions paid with respect to such Shares, unless the Administrator provides otherwise; provided, however, that any such dividends or distributions payable with respect to such Shares will be subject to the same restrictions on transferability and/or forfeitability as the Shares of Restricted Stock with respect to which they were paid. With respect to Awards of Restricted Stock Units and Performance Awards, until the Shares are issued (as evidenced by the appropriate entry in the Register of Members of the Company or on the books of the Company or a duly authorized transfer agent of the Company, as applicable), no right to receive dividends or any other rights as a shareholder will exist with respect to the Shares subject to such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such Award with respect to which they were paid. For the avoidance of doubt, the number of Shares available for issuance under the Plan will not be reduced to reflect any dividends or other distributions that are reinvested into additional Shares or credited as additional Shares subject to or paid with respect to an Award.</w:t>
      </w:r>
    </w:p>
    <w:p>
      <w:pPr>
        <w:spacing w:after="0" w:line="178"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and Performance Awards may be granted to Service Providers. Incentive Stock Options may be granted only to Employees.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Grant of Options</w:t>
      </w:r>
      <w:r>
        <w:rPr>
          <w:rFonts w:ascii="Times New Roman" w:cs="Times New Roman" w:eastAsia="Times New Roman" w:hAnsi="Times New Roman"/>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155" w:lineRule="exact"/>
        <w:rPr>
          <w:sz w:val="20"/>
          <w:szCs w:val="20"/>
          <w:color w:val="auto"/>
        </w:rPr>
      </w:pPr>
    </w:p>
    <w:p>
      <w:pPr>
        <w:ind w:right="3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71" w:lineRule="exact"/>
        <w:rPr>
          <w:sz w:val="20"/>
          <w:szCs w:val="20"/>
          <w:color w:val="auto"/>
        </w:rPr>
      </w:pPr>
    </w:p>
    <w:p>
      <w:pPr>
        <w:ind w:right="220" w:firstLine="991"/>
        <w:spacing w:after="0" w:line="291"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b w:val="1"/>
          <w:bCs w:val="1"/>
          <w:color w:val="auto"/>
        </w:rPr>
        <w:t>Limitations</w:t>
      </w:r>
      <w:r>
        <w:rPr>
          <w:rFonts w:ascii="Times New Roman" w:cs="Times New Roman" w:eastAsia="Times New Roman" w:hAnsi="Times New Roman"/>
          <w:sz w:val="17"/>
          <w:szCs w:val="17"/>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0"/>
          </w:cols>
          <w:pgMar w:left="440" w:top="297" w:right="459" w:bottom="1440" w:gutter="0" w:footer="0" w:header="0"/>
        </w:sectPr>
      </w:pPr>
    </w:p>
    <w:bookmarkStart w:id="90" w:name="page91"/>
    <w:bookmarkEnd w:id="90"/>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76" w:lineRule="exact"/>
        <w:rPr>
          <w:sz w:val="20"/>
          <w:szCs w:val="20"/>
          <w:color w:val="auto"/>
        </w:rPr>
      </w:pPr>
    </w:p>
    <w:p>
      <w:pPr>
        <w:jc w:val="both"/>
        <w:ind w:right="100" w:firstLine="991"/>
        <w:spacing w:after="0" w:line="259"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shares representing more than ten percent (10%) of the total combined voting power of all classes of shares of the Company or any Parent or Subsidiary, the term of the Incentive Stock Option will be five (5) years from the date of grant or such shorter term as may be provided in the Award Agreement.</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Option Exercise Price and Consideration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1542"/>
        <w:spacing w:after="0" w:line="256"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shares representing more than ten percent (10%) of the voting power of all classes of shares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83" w:lineRule="exact"/>
        <w:rPr>
          <w:sz w:val="20"/>
          <w:szCs w:val="20"/>
          <w:color w:val="auto"/>
        </w:rPr>
      </w:pPr>
    </w:p>
    <w:p>
      <w:pPr>
        <w:ind w:right="160" w:firstLine="1542"/>
        <w:spacing w:after="0" w:line="286"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b w:val="1"/>
          <w:bCs w:val="1"/>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55" w:lineRule="exact"/>
        <w:rPr>
          <w:sz w:val="20"/>
          <w:szCs w:val="20"/>
          <w:color w:val="auto"/>
        </w:rPr>
      </w:pPr>
    </w:p>
    <w:p>
      <w:pPr>
        <w:ind w:right="60" w:firstLine="1542"/>
        <w:spacing w:after="0" w:line="271" w:lineRule="auto"/>
        <w:rPr>
          <w:sz w:val="20"/>
          <w:szCs w:val="20"/>
          <w:color w:val="auto"/>
        </w:rPr>
      </w:pPr>
      <w:r>
        <w:rPr>
          <w:rFonts w:ascii="Times New Roman" w:cs="Times New Roman" w:eastAsia="Times New Roman" w:hAnsi="Times New Roman"/>
          <w:sz w:val="17"/>
          <w:szCs w:val="17"/>
          <w:color w:val="auto"/>
        </w:rPr>
        <w:t xml:space="preserve">6.5.3  </w:t>
      </w:r>
      <w:r>
        <w:rPr>
          <w:rFonts w:ascii="Times New Roman" w:cs="Times New Roman" w:eastAsia="Times New Roman" w:hAnsi="Times New Roman"/>
          <w:sz w:val="17"/>
          <w:szCs w:val="17"/>
          <w:b w:val="1"/>
          <w:bCs w:val="1"/>
          <w:color w:val="auto"/>
        </w:rPr>
        <w:t>Form of Consideration</w:t>
      </w:r>
      <w:r>
        <w:rPr>
          <w:rFonts w:ascii="Times New Roman" w:cs="Times New Roman" w:eastAsia="Times New Roman" w:hAnsi="Times New Roman"/>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(d) consideration received by the Company under a cashless exercise program (whether through a broker or otherwise) implemented by the Company in connection with the Plan; (e) by net exercise; (f) such other consideration and method of payment for the issuance of Shares to the extent permitted by Applicable Laws, or (g)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Exercise of Option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542"/>
        <w:spacing w:after="0" w:line="268" w:lineRule="auto"/>
        <w:rPr>
          <w:sz w:val="20"/>
          <w:szCs w:val="20"/>
          <w:color w:val="auto"/>
        </w:rPr>
      </w:pPr>
      <w:r>
        <w:rPr>
          <w:rFonts w:ascii="Times New Roman" w:cs="Times New Roman" w:eastAsia="Times New Roman" w:hAnsi="Times New Roman"/>
          <w:sz w:val="18"/>
          <w:szCs w:val="18"/>
          <w:color w:val="auto"/>
        </w:rPr>
        <w:t xml:space="preserve">6.6.1  </w:t>
      </w:r>
      <w:r>
        <w:rPr>
          <w:rFonts w:ascii="Times New Roman" w:cs="Times New Roman" w:eastAsia="Times New Roman" w:hAnsi="Times New Roman"/>
          <w:sz w:val="18"/>
          <w:szCs w:val="18"/>
          <w:b w:val="1"/>
          <w:bCs w:val="1"/>
          <w:color w:val="auto"/>
        </w:rPr>
        <w:t>Procedure for Exercise; Rights as a Shareholder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5" w:lineRule="exact"/>
        <w:rPr>
          <w:sz w:val="20"/>
          <w:szCs w:val="20"/>
          <w:color w:val="auto"/>
        </w:rPr>
      </w:pPr>
    </w:p>
    <w:p>
      <w:pPr>
        <w:ind w:right="360" w:firstLine="1432"/>
        <w:spacing w:after="0" w:line="266"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0"/>
          </w:cols>
          <w:pgMar w:left="440" w:top="297" w:right="459" w:bottom="1440" w:gutter="0" w:footer="0" w:header="0"/>
        </w:sectPr>
      </w:pPr>
    </w:p>
    <w:bookmarkStart w:id="91" w:name="page92"/>
    <w:bookmarkEnd w:id="91"/>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The Company will issue (or cause to be issued) such Shares promptly after the Option is exercised.</w:t>
      </w:r>
    </w:p>
    <w:p>
      <w:pPr>
        <w:spacing w:after="0" w:line="176" w:lineRule="exact"/>
        <w:rPr>
          <w:sz w:val="20"/>
          <w:szCs w:val="20"/>
          <w:color w:val="auto"/>
        </w:rPr>
      </w:pPr>
    </w:p>
    <w:p>
      <w:pPr>
        <w:ind w:right="240" w:firstLine="1432"/>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58" w:lineRule="exact"/>
        <w:rPr>
          <w:sz w:val="20"/>
          <w:szCs w:val="20"/>
          <w:color w:val="auto"/>
        </w:rPr>
      </w:pPr>
    </w:p>
    <w:p>
      <w:pPr>
        <w:ind w:firstLine="1432"/>
        <w:spacing w:after="0" w:line="255" w:lineRule="auto"/>
        <w:rPr>
          <w:sz w:val="20"/>
          <w:szCs w:val="20"/>
          <w:color w:val="auto"/>
        </w:rPr>
      </w:pPr>
      <w:r>
        <w:rPr>
          <w:rFonts w:ascii="Times New Roman" w:cs="Times New Roman" w:eastAsia="Times New Roman" w:hAnsi="Times New Roman"/>
          <w:sz w:val="18"/>
          <w:szCs w:val="18"/>
          <w:color w:val="auto"/>
        </w:rPr>
        <w:t xml:space="preserve">6.6.2  </w:t>
      </w:r>
      <w:r>
        <w:rPr>
          <w:rFonts w:ascii="Times New Roman" w:cs="Times New Roman" w:eastAsia="Times New Roman" w:hAnsi="Times New Roman"/>
          <w:sz w:val="18"/>
          <w:szCs w:val="18"/>
          <w:b w:val="1"/>
          <w:bCs w:val="1"/>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by the Administrator, the Option will terminate, and the Shares covered by such Option will revert to the Plan.</w:t>
      </w:r>
    </w:p>
    <w:p>
      <w:pPr>
        <w:spacing w:after="0" w:line="185"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 xml:space="preserve">6.6.3  </w:t>
      </w:r>
      <w:r>
        <w:rPr>
          <w:rFonts w:ascii="Times New Roman" w:cs="Times New Roman" w:eastAsia="Times New Roman" w:hAnsi="Times New Roman"/>
          <w:sz w:val="18"/>
          <w:szCs w:val="18"/>
          <w:b w:val="1"/>
          <w:bCs w:val="1"/>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twelve (12)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herein, the Option will terminate, and the Shares covered by such Option will revert to the Plan.</w:t>
      </w:r>
    </w:p>
    <w:p>
      <w:pPr>
        <w:spacing w:after="0" w:line="183"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6.6.4  </w:t>
      </w:r>
      <w:r>
        <w:rPr>
          <w:rFonts w:ascii="Times New Roman" w:cs="Times New Roman" w:eastAsia="Times New Roman" w:hAnsi="Times New Roman"/>
          <w:sz w:val="18"/>
          <w:szCs w:val="18"/>
          <w:b w:val="1"/>
          <w:bCs w:val="1"/>
          <w:color w:val="auto"/>
        </w:rPr>
        <w:t>Death of Participant</w:t>
      </w:r>
      <w:r>
        <w:rPr>
          <w:rFonts w:ascii="Times New Roman" w:cs="Times New Roman" w:eastAsia="Times New Roman" w:hAnsi="Times New Roman"/>
          <w:sz w:val="18"/>
          <w:szCs w:val="18"/>
          <w:color w:val="auto"/>
        </w:rPr>
        <w:t>. If a Participant dies while a Service Provider, the Option may be exercised within twelve (12)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“Legal Representative”).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6.6.5   </w:t>
      </w:r>
      <w:r>
        <w:rPr>
          <w:rFonts w:ascii="Times New Roman" w:cs="Times New Roman" w:eastAsia="Times New Roman" w:hAnsi="Times New Roman"/>
          <w:sz w:val="18"/>
          <w:szCs w:val="18"/>
          <w:b w:val="1"/>
          <w:bCs w:val="1"/>
          <w:color w:val="auto"/>
        </w:rPr>
        <w:t>Tolling Expiration</w:t>
      </w:r>
      <w:r>
        <w:rPr>
          <w:rFonts w:ascii="Times New Roman" w:cs="Times New Roman" w:eastAsia="Times New Roman" w:hAnsi="Times New Roman"/>
          <w:sz w:val="18"/>
          <w:szCs w:val="18"/>
          <w:color w:val="auto"/>
        </w:rPr>
        <w:t>. A Participant’s Award Agreement may also provide that:</w:t>
      </w:r>
    </w:p>
    <w:p>
      <w:pPr>
        <w:spacing w:after="0" w:line="121" w:lineRule="exact"/>
        <w:rPr>
          <w:sz w:val="20"/>
          <w:szCs w:val="20"/>
          <w:color w:val="auto"/>
        </w:rPr>
      </w:pPr>
    </w:p>
    <w:p>
      <w:pPr>
        <w:ind w:right="40" w:firstLine="2203"/>
        <w:spacing w:after="0" w:line="282" w:lineRule="auto"/>
        <w:rPr>
          <w:sz w:val="20"/>
          <w:szCs w:val="20"/>
          <w:color w:val="auto"/>
        </w:rPr>
      </w:pPr>
      <w:r>
        <w:rPr>
          <w:rFonts w:ascii="Times New Roman" w:cs="Times New Roman" w:eastAsia="Times New Roman" w:hAnsi="Times New Roman"/>
          <w:sz w:val="18"/>
          <w:szCs w:val="18"/>
          <w:color w:val="auto"/>
        </w:rPr>
        <w:t>(a)  if the exercise of the Option following the cessation of Participant’s status as a Service Provider (other than upon the Participant’s death or Disability) would result in liability 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00"/>
          </w:cols>
          <w:pgMar w:left="440" w:top="297" w:right="459" w:bottom="1440" w:gutter="0" w:footer="0" w:header="0"/>
        </w:sectPr>
      </w:pPr>
    </w:p>
    <w:bookmarkStart w:id="92" w:name="page93"/>
    <w:bookmarkEnd w:id="92"/>
    <w:p>
      <w:pPr>
        <w:ind w:right="36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16b, then the Option will terminate on the earlier of (i) the expiration of the term of the Option set forth in the Award Agreement, or (ii)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last date on which such exercise would result in liability under Section 16b; or</w:t>
      </w:r>
    </w:p>
    <w:p>
      <w:pPr>
        <w:spacing w:after="0" w:line="1" w:lineRule="exact"/>
        <w:rPr>
          <w:sz w:val="20"/>
          <w:szCs w:val="20"/>
          <w:color w:val="auto"/>
        </w:rPr>
      </w:pPr>
    </w:p>
    <w:p>
      <w:pPr>
        <w:ind w:firstLine="2203"/>
        <w:spacing w:after="0" w:line="252" w:lineRule="auto"/>
        <w:rPr>
          <w:sz w:val="20"/>
          <w:szCs w:val="20"/>
          <w:color w:val="auto"/>
        </w:rPr>
      </w:pPr>
      <w:r>
        <w:rPr>
          <w:rFonts w:ascii="Times New Roman" w:cs="Times New Roman" w:eastAsia="Times New Roman" w:hAnsi="Times New Roman"/>
          <w:sz w:val="18"/>
          <w:szCs w:val="18"/>
          <w:color w:val="auto"/>
        </w:rPr>
        <w:t>(b)  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Stock Appreciation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55"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 The Administrator will have complete discretion to determine the number of Shares subject to any Award of Stock Appreciation Rights.</w:t>
      </w:r>
    </w:p>
    <w:p>
      <w:pPr>
        <w:spacing w:after="0" w:line="155"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6"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1" w:lineRule="exact"/>
        <w:rPr>
          <w:sz w:val="20"/>
          <w:szCs w:val="20"/>
          <w:color w:val="auto"/>
        </w:rPr>
      </w:pPr>
    </w:p>
    <w:p>
      <w:pPr>
        <w:jc w:val="both"/>
        <w:ind w:right="40" w:firstLine="991"/>
        <w:spacing w:after="0" w:line="26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71" w:lineRule="exact"/>
        <w:rPr>
          <w:sz w:val="20"/>
          <w:szCs w:val="20"/>
          <w:color w:val="auto"/>
        </w:rPr>
      </w:pPr>
    </w:p>
    <w:p>
      <w:pPr>
        <w:ind w:right="400" w:firstLine="991"/>
        <w:spacing w:after="0" w:line="28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51" w:lineRule="exact"/>
        <w:rPr>
          <w:sz w:val="20"/>
          <w:szCs w:val="20"/>
          <w:color w:val="auto"/>
        </w:rPr>
      </w:pPr>
    </w:p>
    <w:p>
      <w:pPr>
        <w:ind w:left="1420" w:right="1280"/>
        <w:spacing w:after="0" w:line="407" w:lineRule="auto"/>
        <w:rPr>
          <w:sz w:val="20"/>
          <w:szCs w:val="20"/>
          <w:color w:val="auto"/>
        </w:rPr>
      </w:pPr>
      <w:r>
        <w:rPr>
          <w:rFonts w:ascii="Times New Roman" w:cs="Times New Roman" w:eastAsia="Times New Roman" w:hAnsi="Times New Roman"/>
          <w:sz w:val="18"/>
          <w:szCs w:val="18"/>
          <w:color w:val="auto"/>
        </w:rPr>
        <w:t>(a)  The difference between the Fair Market Value of a Share on the date of exercise over the exercise price; times (b)  The number of Shares with respect to which the Stock Appreciation Right is exercised.</w:t>
      </w:r>
    </w:p>
    <w:p>
      <w:pPr>
        <w:spacing w:after="0" w:line="54" w:lineRule="exact"/>
        <w:rPr>
          <w:sz w:val="20"/>
          <w:szCs w:val="20"/>
          <w:color w:val="auto"/>
        </w:rPr>
      </w:pPr>
    </w:p>
    <w:p>
      <w:pPr>
        <w:ind w:right="80" w:firstLine="1432"/>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Restricted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980"/>
          </w:cols>
          <w:pgMar w:left="440" w:top="297" w:right="479" w:bottom="1440" w:gutter="0" w:footer="0" w:header="0"/>
        </w:sectPr>
      </w:pPr>
    </w:p>
    <w:bookmarkStart w:id="93" w:name="page94"/>
    <w:bookmarkEnd w:id="93"/>
    <w:p>
      <w:pPr>
        <w:ind w:right="220" w:firstLine="99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8.2  </w:t>
      </w:r>
      <w:r>
        <w:rPr>
          <w:rFonts w:ascii="Times New Roman" w:cs="Times New Roman" w:eastAsia="Times New Roman" w:hAnsi="Times New Roman"/>
          <w:sz w:val="18"/>
          <w:szCs w:val="18"/>
          <w:b w:val="1"/>
          <w:bCs w:val="1"/>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6"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5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55" w:lineRule="exact"/>
        <w:rPr>
          <w:sz w:val="20"/>
          <w:szCs w:val="20"/>
          <w:color w:val="auto"/>
        </w:rPr>
      </w:pPr>
    </w:p>
    <w:p>
      <w:pPr>
        <w:ind w:right="160" w:firstLine="991"/>
        <w:spacing w:after="0" w:line="291"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b w:val="1"/>
          <w:bCs w:val="1"/>
          <w:color w:val="auto"/>
        </w:rPr>
        <w:t>Removal of Restrictions</w:t>
      </w:r>
      <w:r>
        <w:rPr>
          <w:rFonts w:ascii="Times New Roman" w:cs="Times New Roman" w:eastAsia="Times New Roman" w:hAnsi="Times New Roman"/>
          <w:sz w:val="17"/>
          <w:szCs w:val="17"/>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53" w:lineRule="exact"/>
        <w:rPr>
          <w:sz w:val="20"/>
          <w:szCs w:val="20"/>
          <w:color w:val="auto"/>
        </w:rPr>
      </w:pPr>
    </w:p>
    <w:p>
      <w:pPr>
        <w:ind w:right="5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5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6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71" w:lineRule="exact"/>
        <w:rPr>
          <w:sz w:val="20"/>
          <w:szCs w:val="20"/>
          <w:color w:val="auto"/>
        </w:rPr>
      </w:pPr>
    </w:p>
    <w:p>
      <w:pPr>
        <w:ind w:right="220" w:firstLine="991"/>
        <w:spacing w:after="0" w:line="26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6"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1"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16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00"/>
          </w:cols>
          <w:pgMar w:left="440" w:top="293" w:right="459" w:bottom="1440" w:gutter="0" w:footer="0" w:header="0"/>
        </w:sectPr>
      </w:pPr>
    </w:p>
    <w:bookmarkStart w:id="94" w:name="page95"/>
    <w:bookmarkEnd w:id="9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10.   </w:t>
      </w: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91"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Each Performance Award will be evidenced by an Award Agreement that will specify any time period during which any performance objectives or other vesting provisions will be measured (“</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and such other terms and conditions as the Administrator determines. Each Performance Award will have an initial value that is determined by the Administrator on or before its date of grant.</w:t>
      </w:r>
    </w:p>
    <w:p>
      <w:pPr>
        <w:spacing w:after="0" w:line="153"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Objectives or Vesting Provisions and Other Terms.</w:t>
      </w:r>
      <w:r>
        <w:rPr>
          <w:rFonts w:ascii="Times New Roman" w:cs="Times New Roman" w:eastAsia="Times New Roman" w:hAnsi="Times New Roman"/>
          <w:sz w:val="18"/>
          <w:szCs w:val="18"/>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Earning Performance Awards</w:t>
      </w:r>
      <w:r>
        <w:rPr>
          <w:rFonts w:ascii="Times New Roman" w:cs="Times New Roman" w:eastAsia="Times New Roman" w:hAnsi="Times New Roman"/>
          <w:sz w:val="18"/>
          <w:szCs w:val="18"/>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71"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71" w:lineRule="exact"/>
        <w:rPr>
          <w:sz w:val="20"/>
          <w:szCs w:val="20"/>
          <w:color w:val="auto"/>
        </w:rPr>
      </w:pPr>
    </w:p>
    <w:p>
      <w:pPr>
        <w:ind w:right="480" w:firstLine="991"/>
        <w:spacing w:after="0" w:line="28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Cancellation of Performance Awards</w:t>
      </w:r>
      <w:r>
        <w:rPr>
          <w:rFonts w:ascii="Times New Roman" w:cs="Times New Roman" w:eastAsia="Times New Roman" w:hAnsi="Times New Roman"/>
          <w:sz w:val="18"/>
          <w:szCs w:val="18"/>
          <w:color w:val="auto"/>
        </w:rPr>
        <w:t>. On the date set forth in the Award Agreement, all unearned or unvested Performance Awards will be forfeited to the Company, and again will be available for grant under the Plan.</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Outside Director Award Limitations</w:t>
      </w:r>
      <w:r>
        <w:rPr>
          <w:rFonts w:ascii="Times New Roman" w:cs="Times New Roman" w:eastAsia="Times New Roman" w:hAnsi="Times New Roman"/>
          <w:sz w:val="18"/>
          <w:szCs w:val="18"/>
          <w:color w:val="auto"/>
        </w:rPr>
        <w:t>. No Outside Director may be granted, in any Fiscal Year, Awards (the value of which will be based on their grant date fair value determined in accordance with U.S. generally accepted accounting principles) and be provided any cash retainers for service as an Outside Director in amounts that, in the aggregate, exceed $500,000, provided that such amount is increased to $1,000,000 in the Fiscal Year of his or her initial service as an Outside Director. Any Awards or other compensation provided to an individual for his or her services as an Employee, or for his or her services as a Consultant other than as an Outside Director, will be excluded for purposes of this Section 11.</w:t>
      </w:r>
    </w:p>
    <w:p>
      <w:pPr>
        <w:spacing w:after="0" w:line="17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Compliance With Section 409A and Exemption from Section 457A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and, if applicable, to be exempt from the application of Section 457A, in each case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 or Code Section 457A and the U.S. Treasury Regulations promulgated thereunder.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000"/>
          </w:cols>
          <w:pgMar w:left="440" w:top="293" w:right="459" w:bottom="1440" w:gutter="0" w:footer="0" w:header="0"/>
        </w:sectPr>
      </w:pPr>
    </w:p>
    <w:bookmarkStart w:id="95" w:name="page96"/>
    <w:bookmarkEnd w:id="95"/>
    <w:p>
      <w:pPr>
        <w:ind w:right="40" w:firstLine="440"/>
        <w:spacing w:after="0" w:line="24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13.  </w:t>
      </w:r>
      <w:r>
        <w:rPr>
          <w:rFonts w:ascii="Times New Roman" w:cs="Times New Roman" w:eastAsia="Times New Roman" w:hAnsi="Times New Roman"/>
          <w:sz w:val="18"/>
          <w:szCs w:val="18"/>
          <w:b w:val="1"/>
          <w:bCs w:val="1"/>
          <w:color w:val="auto"/>
        </w:rPr>
        <w:t>Leaves of Absence/Transfer Between Locations; Part-Time Service</w:t>
      </w:r>
      <w:r>
        <w:rPr>
          <w:rFonts w:ascii="Times New Roman" w:cs="Times New Roman" w:eastAsia="Times New Roman" w:hAnsi="Times New Roman"/>
          <w:sz w:val="18"/>
          <w:szCs w:val="18"/>
          <w:color w:val="auto"/>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the Parent or Subsidiary of the Company employing or engaging the Participant)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such leave, any Incentive Stock Option held by the Participant will cease to be treated as an Incentive Stock Option and will be treated for tax purposes as a Nonstatutory Stock Option. If the Administrator so provides, if as a condition to being permitted to work on a less than full-time basis, to the extent permitted by Applicable Laws, the Participant agrees that any service-based vesting of Awards granted hereunder shall be extended on a proportionate basis in connection with such transition to a less than a full-time basis, vesting shall be adjusted in accordance with such agreement. In such event, if the Administrator so provides, such vesting shall be proportionately readjusted prospectively in the event that the Participant subsequently becomes regularly scheduled to work additional hours of service.</w:t>
      </w:r>
    </w:p>
    <w:p>
      <w:pPr>
        <w:spacing w:after="0" w:line="200"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Limited Transferability of Awards</w:t>
      </w:r>
      <w:r>
        <w:rPr>
          <w:rFonts w:ascii="Times New Roman" w:cs="Times New Roman" w:eastAsia="Times New Roman" w:hAnsi="Times New Roman"/>
          <w:sz w:val="18"/>
          <w:szCs w:val="18"/>
          <w:color w:val="auto"/>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00" w:firstLine="991"/>
        <w:spacing w:after="0" w:line="275" w:lineRule="auto"/>
        <w:rPr>
          <w:sz w:val="20"/>
          <w:szCs w:val="20"/>
          <w:color w:val="auto"/>
        </w:rPr>
      </w:pPr>
      <w:r>
        <w:rPr>
          <w:rFonts w:ascii="Times New Roman" w:cs="Times New Roman" w:eastAsia="Times New Roman" w:hAnsi="Times New Roman"/>
          <w:sz w:val="17"/>
          <w:szCs w:val="17"/>
          <w:color w:val="auto"/>
        </w:rPr>
        <w:t xml:space="preserve">15.1  </w:t>
      </w:r>
      <w:r>
        <w:rPr>
          <w:rFonts w:ascii="Times New Roman" w:cs="Times New Roman" w:eastAsia="Times New Roman" w:hAnsi="Times New Roman"/>
          <w:sz w:val="17"/>
          <w:szCs w:val="17"/>
          <w:b w:val="1"/>
          <w:bCs w:val="1"/>
          <w:color w:val="auto"/>
        </w:rPr>
        <w:t>Adjustments</w:t>
      </w:r>
      <w:r>
        <w:rPr>
          <w:rFonts w:ascii="Times New Roman" w:cs="Times New Roman" w:eastAsia="Times New Roman" w:hAnsi="Times New Roman"/>
          <w:sz w:val="17"/>
          <w:szCs w:val="17"/>
          <w:color w:val="auto"/>
        </w:rPr>
        <w:t>. In the event that any dividend or other distribution (whether in the form of cash, Shares, other securities, or other property), recapitalization, share or stock split, reverse share or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numerical Share limits in Section 3.</w:t>
      </w:r>
    </w:p>
    <w:p>
      <w:pPr>
        <w:spacing w:after="0" w:line="168" w:lineRule="exact"/>
        <w:rPr>
          <w:sz w:val="20"/>
          <w:szCs w:val="20"/>
          <w:color w:val="auto"/>
        </w:rPr>
      </w:pPr>
    </w:p>
    <w:p>
      <w:pPr>
        <w:ind w:right="1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1"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00"/>
          </w:cols>
          <w:pgMar w:left="440" w:top="293" w:right="459" w:bottom="1440" w:gutter="0" w:footer="0" w:header="0"/>
        </w:sectPr>
      </w:pPr>
    </w:p>
    <w:bookmarkStart w:id="96" w:name="page97"/>
    <w:bookmarkEnd w:id="96"/>
    <w:p>
      <w:pPr>
        <w:ind w:right="40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Section 15.3, the Administrator will not be obligated to treat all Awards, all Awards held by a Participant, all Awards of the same type, or all portions of Awards, similarly.</w:t>
      </w:r>
    </w:p>
    <w:p>
      <w:pPr>
        <w:spacing w:after="0" w:line="18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the Award (or portion thereof) as described below, or substitute for the Award (or portion thereof) as described above,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and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shares, cash, or other securities or property) received in the merger or Change in Control by holders of Ordinary Shares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ordinary shares or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Award, for each Share subject to such Award, to be solely ordinary shares or common stock of the successor corporation or its Parent equal in fair market value to the per share consideration received by holders of Ordinary Shares in the merger or Change in Control.</w:t>
      </w:r>
    </w:p>
    <w:p>
      <w:pPr>
        <w:spacing w:after="0" w:line="188"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Notwithstanding anything in this Section 15.3 to the contrary, an Award that vests, is earned or paid 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87"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00"/>
          </w:cols>
          <w:pgMar w:left="440" w:top="297" w:right="459" w:bottom="1440" w:gutter="0" w:footer="0" w:header="0"/>
        </w:sectPr>
      </w:pPr>
    </w:p>
    <w:bookmarkStart w:id="97" w:name="page98"/>
    <w:bookmarkEnd w:id="97"/>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will be delayed until the earliest time that such payment would be permissible under Section 409A without triggering any penalties applicable under Section 409A.</w:t>
      </w:r>
    </w:p>
    <w:p>
      <w:pPr>
        <w:spacing w:after="0" w:line="158"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b w:val="1"/>
          <w:bCs w:val="1"/>
          <w:color w:val="auto"/>
        </w:rPr>
        <w:t>Outside Director Awards</w:t>
      </w:r>
      <w:r>
        <w:rPr>
          <w:rFonts w:ascii="Times New Roman" w:cs="Times New Roman" w:eastAsia="Times New Roman" w:hAnsi="Times New Roman"/>
          <w:sz w:val="18"/>
          <w:szCs w:val="18"/>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Tax Withholding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non-U.S., and other taxes (including the Participant’s FICA obligation) required to be withheld or paid with respect to such Award (or exercise thereof).</w:t>
      </w:r>
    </w:p>
    <w:p>
      <w:pPr>
        <w:spacing w:after="0" w:line="179"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b w:val="1"/>
          <w:bCs w:val="1"/>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9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20"/>
          </w:cols>
          <w:pgMar w:left="440" w:top="297" w:right="439" w:bottom="1440" w:gutter="0" w:footer="0" w:header="0"/>
        </w:sectPr>
      </w:pPr>
    </w:p>
    <w:bookmarkStart w:id="98" w:name="page99"/>
    <w:bookmarkEnd w:id="98"/>
    <w:p>
      <w:pPr>
        <w:ind w:left="4" w:right="3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18. 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1"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Subject to Section 23 of the Plan, the Plan will become effective upon the date on which the Company’s shareholders approve the Plan. The Plan will continue in effect for a term of ten (10) years from the date adopted by the Board, unless terminated earlier under Section 20 of the Plan.</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b w:val="1"/>
          <w:bCs w:val="1"/>
          <w:color w:val="auto"/>
        </w:rPr>
        <w:t>Amendment and Termination of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b w:val="1"/>
          <w:bCs w:val="1"/>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sz w:val="20"/>
          <w:szCs w:val="20"/>
          <w:color w:val="auto"/>
        </w:rPr>
      </w:pPr>
    </w:p>
    <w:p>
      <w:pPr>
        <w:ind w:left="4" w:right="580" w:firstLine="991"/>
        <w:spacing w:after="0" w:line="286"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The Company will obtain shareholder approval of any Plan amendment to the extent necessary and desirable to comply with Applicable Laws.</w:t>
      </w:r>
    </w:p>
    <w:p>
      <w:pPr>
        <w:spacing w:after="0" w:line="155" w:lineRule="exact"/>
        <w:rPr>
          <w:sz w:val="20"/>
          <w:szCs w:val="20"/>
          <w:color w:val="auto"/>
        </w:rPr>
      </w:pPr>
    </w:p>
    <w:p>
      <w:pPr>
        <w:ind w:left="4" w:right="40" w:firstLine="991"/>
        <w:spacing w:after="0" w:line="259"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b w:val="1"/>
          <w:bCs w:val="1"/>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(i) mutually agreed otherwise between the Participant and the Administrator, which agreement must be in writing and signed by the Participant and the Company, (ii) as the Administrator deems necessary or appropriate to clarify the manner of exemption from</w:t>
      </w:r>
    </w:p>
    <w:p>
      <w:pPr>
        <w:ind w:left="4"/>
        <w:spacing w:after="0"/>
        <w:rPr>
          <w:sz w:val="20"/>
          <w:szCs w:val="20"/>
          <w:color w:val="auto"/>
        </w:rPr>
      </w:pPr>
      <w:r>
        <w:rPr>
          <w:rFonts w:ascii="Times New Roman" w:cs="Times New Roman" w:eastAsia="Times New Roman" w:hAnsi="Times New Roman"/>
          <w:sz w:val="18"/>
          <w:szCs w:val="18"/>
          <w:color w:val="auto"/>
        </w:rPr>
        <w:t>Section 409A or compliance with any requirements necessary to avoid the imposition of additional tax or interest under Code Section 409A(a)(1)(B), or</w:t>
      </w:r>
    </w:p>
    <w:p>
      <w:pPr>
        <w:spacing w:after="0" w:line="9" w:lineRule="exact"/>
        <w:rPr>
          <w:sz w:val="20"/>
          <w:szCs w:val="20"/>
          <w:color w:val="auto"/>
        </w:rPr>
      </w:pPr>
    </w:p>
    <w:p>
      <w:pPr>
        <w:ind w:left="4" w:right="560" w:hanging="4"/>
        <w:spacing w:after="0" w:line="260" w:lineRule="auto"/>
        <w:tabs>
          <w:tab w:leader="none" w:pos="3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other Applicable Laws. Termination of the Plan will not affect the Administrator’s ability to exercise the powers granted to it hereunder with respect to Awards granted under the Plan prior to the date of such termination.</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Conditions Upon Issuance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The Company will make good faith efforts to comply with all Applicable Laws related to the issuance of Shares. Shares will not be issued pursuant to an Award, including without limitation upon exercise or vesting thereof, as applicable, unless the issuance and delivery of such Shares and exercise or vesting of the Award, as applicable, will comply with Applicable Laws. If required by the Administrator, issuance will be further subject to the approval of counsel for the Company with respect to such compliance. If the Company determines it to be impossible or impractical to obtain authority from any regulatory body having jurisdiction or to complete or comply with the requirements of any Applicable Laws, registration or other qualification of the Shares under any state, federal or foreign law or under the rules and regulations of the U.S. Securities and Exchange Commission, the stock or share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Administrator reserves the authority, without the consent of a Participant, to terminate or cancel Awards with or without consideration in such a situation.</w:t>
      </w:r>
    </w:p>
    <w:p>
      <w:pPr>
        <w:spacing w:after="0" w:line="182" w:lineRule="exact"/>
        <w:rPr>
          <w:sz w:val="20"/>
          <w:szCs w:val="20"/>
          <w:color w:val="auto"/>
        </w:rPr>
      </w:pPr>
    </w:p>
    <w:p>
      <w:pPr>
        <w:ind w:left="4" w:right="3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1" w:lineRule="exact"/>
        <w:rPr>
          <w:sz w:val="20"/>
          <w:szCs w:val="20"/>
          <w:color w:val="auto"/>
        </w:rPr>
      </w:pPr>
    </w:p>
    <w:p>
      <w:pPr>
        <w:jc w:val="both"/>
        <w:ind w:left="4" w:right="120" w:firstLine="991"/>
        <w:spacing w:after="0" w:line="291" w:lineRule="auto"/>
        <w:rPr>
          <w:sz w:val="20"/>
          <w:szCs w:val="20"/>
          <w:color w:val="auto"/>
        </w:rPr>
      </w:pPr>
      <w:r>
        <w:rPr>
          <w:rFonts w:ascii="Times New Roman" w:cs="Times New Roman" w:eastAsia="Times New Roman" w:hAnsi="Times New Roman"/>
          <w:sz w:val="17"/>
          <w:szCs w:val="17"/>
          <w:color w:val="auto"/>
        </w:rPr>
        <w:t xml:space="preserve">21.3  </w:t>
      </w:r>
      <w:r>
        <w:rPr>
          <w:rFonts w:ascii="Times New Roman" w:cs="Times New Roman" w:eastAsia="Times New Roman" w:hAnsi="Times New Roman"/>
          <w:sz w:val="17"/>
          <w:szCs w:val="17"/>
          <w:b w:val="1"/>
          <w:bCs w:val="1"/>
          <w:color w:val="auto"/>
        </w:rPr>
        <w:t>Failure to Accept Award</w:t>
      </w:r>
      <w:r>
        <w:rPr>
          <w:rFonts w:ascii="Times New Roman" w:cs="Times New Roman" w:eastAsia="Times New Roman" w:hAnsi="Times New Roman"/>
          <w:sz w:val="17"/>
          <w:szCs w:val="17"/>
          <w:color w:val="auto"/>
        </w:rPr>
        <w:t>. If a Participant has not accepted an Award to the extent such acceptance has been requested or required by the Company or has not taken all administrative and other steps (e.g., setting up an account with a broker designated by the Company) necessary for the Company to issue Shares upon the vesting, exercise, or settlement of the Award prior to the first date the Shares subject to such Award are</w:t>
      </w:r>
    </w:p>
    <w:p>
      <w:pPr>
        <w:spacing w:after="0" w:line="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004"/>
          </w:cols>
          <w:pgMar w:left="436" w:top="293" w:right="459" w:bottom="1440" w:gutter="0" w:footer="0" w:header="0"/>
        </w:sectPr>
      </w:pPr>
    </w:p>
    <w:bookmarkStart w:id="99" w:name="page100"/>
    <w:bookmarkEnd w:id="99"/>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scheduled to vest, then the portion of the Award scheduled to vest on such date will be cancelled on such date and such Shares subject to the Award immediately will revert to the Plan for no additional consideration unless otherwise provided by the Administrator.</w:t>
      </w:r>
    </w:p>
    <w:p>
      <w:pPr>
        <w:spacing w:after="0" w:line="15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or share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2"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The Plan will be subject to approval by the shareholders of the Company within twelve (12) months after the date the Plan is adopted by the Board. Such shareholder approval will be obtained in the manner and to the degree required under Applicable Laws.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Forfeiture Events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24.1  In the event that the Company is required to restate its audited financial statements due to material noncompliance with any financial reporting requirement under the securities laws, each current or former executive officer Participant shall be required to immediately repay the Company any compensation they received pursuant to Awards hereunder during the three-year period preceding the date upon which the Company is required to prepare the restatement that is in excess of what would have been paid to the executive officer Participant under the restated financial statement, in accordance with Section 10D of the Exchange Act and any rules promulgated thereunder. Any amount required to be repaid hereunder shall be determined by the Administrator in its sole discretion, unless otherwise required by Applicable Laws, and shall be binding on all current and former executive officer Participants.</w:t>
      </w:r>
    </w:p>
    <w:p>
      <w:pPr>
        <w:spacing w:after="0" w:line="81"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24.2 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w:t>
      </w:r>
    </w:p>
    <w:p>
      <w:pPr>
        <w:spacing w:after="0" w:line="79"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24.3 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0980"/>
          </w:cols>
          <w:pgMar w:left="440" w:top="297" w:right="479" w:bottom="1440"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920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7792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920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7792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1"/>
      <w:numFmt w:val="bullet"/>
      <w:start w:val="1"/>
    </w:lvl>
  </w:abstractNum>
  <w:abstractNum w:abstractNumId="16">
    <w:nsid w:val="6A2342EC"/>
    <w:multiLevelType w:val="hybridMultilevel"/>
    <w:lvl w:ilvl="0">
      <w:lvlJc w:val="left"/>
      <w:lvlText w:val="2"/>
      <w:numFmt w:val="bullet"/>
      <w:start w:val="1"/>
    </w:lvl>
  </w:abstractNum>
  <w:abstractNum w:abstractNumId="17">
    <w:nsid w:val="2A487CB0"/>
    <w:multiLevelType w:val="hybridMultilevel"/>
    <w:lvl w:ilvl="0">
      <w:lvlJc w:val="left"/>
      <w:lvlText w:val="3"/>
      <w:numFmt w:val="bullet"/>
      <w:start w:val="1"/>
    </w:lvl>
  </w:abstractNum>
  <w:abstractNum w:abstractNumId="18">
    <w:nsid w:val="1D4ED43B"/>
    <w:multiLevelType w:val="hybridMultilevel"/>
    <w:lvl w:ilvl="0">
      <w:lvlJc w:val="left"/>
      <w:lvlText w:val="4"/>
      <w:numFmt w:val="bullet"/>
      <w:start w:val="1"/>
    </w:lvl>
  </w:abstractNum>
  <w:abstractNum w:abstractNumId="19">
    <w:nsid w:val="725A06FB"/>
    <w:multiLevelType w:val="hybridMultilevel"/>
    <w:lvl w:ilvl="0">
      <w:lvlJc w:val="left"/>
      <w:lvlText w:val="5"/>
      <w:numFmt w:val="bullet"/>
      <w:start w:val="1"/>
    </w:lvl>
  </w:abstractNum>
  <w:abstractNum w:abstractNumId="20">
    <w:nsid w:val="2CD89A32"/>
    <w:multiLevelType w:val="hybridMultilevel"/>
    <w:lvl w:ilvl="0">
      <w:lvlJc w:val="left"/>
      <w:lvlText w:val="6"/>
      <w:numFmt w:val="bullet"/>
      <w:start w:val="1"/>
    </w:lvl>
  </w:abstractNum>
  <w:abstractNum w:abstractNumId="21">
    <w:nsid w:val="57E4CCAF"/>
    <w:multiLevelType w:val="hybridMultilevel"/>
    <w:lvl w:ilvl="0">
      <w:lvlJc w:val="left"/>
      <w:lvlText w:val="v"/>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4"/>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lvl w:ilvl="1">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lowerRoman"/>
      <w:start w:val="2"/>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2"/>
      <w:numFmt w:val="bullet"/>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2"/>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2"/>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decimal"/>
      <w:start w:val="2"/>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3"/>
    </w:lvl>
  </w:abstractNum>
  <w:abstractNum w:abstractNumId="53">
    <w:nsid w:val="10233C99"/>
    <w:multiLevelType w:val="hybridMultilevel"/>
    <w:lvl w:ilvl="0">
      <w:lvlJc w:val="left"/>
      <w:lvlText w:val="(%1)"/>
      <w:numFmt w:val="decimal"/>
      <w:start w:val="5"/>
    </w:lvl>
  </w:abstractNum>
  <w:abstractNum w:abstractNumId="54">
    <w:nsid w:val="3F6AB60F"/>
    <w:multiLevelType w:val="hybridMultilevel"/>
    <w:lvl w:ilvl="0">
      <w:lvlJc w:val="left"/>
      <w:lvlText w:val=" "/>
      <w:numFmt w:val="bullet"/>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6"/>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1)"/>
      <w:numFmt w:val="upperLetter"/>
      <w:start w:val="2"/>
    </w:lvl>
  </w:abstractNum>
  <w:abstractNum w:abstractNumId="66">
    <w:nsid w:val="1381823A"/>
    <w:multiLevelType w:val="hybridMultilevel"/>
    <w:lvl w:ilvl="0">
      <w:lvlJc w:val="left"/>
      <w:lvlText w:val="%1."/>
      <w:numFmt w:val="decimal"/>
      <w:start w:val="4"/>
    </w:lvl>
  </w:abstractNum>
  <w:abstractNum w:abstractNumId="67">
    <w:nsid w:val="5DB70AE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2026-05-15T16:21:21Z</dcterms:created>
  <dcterms:modified xsi:type="dcterms:W3CDTF">2026-05-15T16:21:21Z</dcterms:modified>
</cp:coreProperties>
</file>