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80" w:right="180" w:hanging="572"/>
        <w:spacing w:after="0" w:line="243"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31,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r>
      <w:tr>
        <w:trPr>
          <w:trHeight w:val="344"/>
        </w:trPr>
        <w:tc>
          <w:tcPr>
            <w:tcW w:w="3640" w:type="dxa"/>
            <w:vAlign w:val="bottom"/>
            <w:gridSpan w:val="4"/>
          </w:tcPr>
          <w:p>
            <w:pPr>
              <w:ind w:left="440"/>
              <w:spacing w:after="0"/>
              <w:rPr>
                <w:sz w:val="20"/>
                <w:szCs w:val="20"/>
                <w:color w:val="auto"/>
              </w:rPr>
            </w:pPr>
            <w:r>
              <w:rPr>
                <w:rFonts w:ascii="Arial" w:cs="Arial" w:eastAsia="Arial" w:hAnsi="Arial"/>
                <w:sz w:val="18"/>
                <w:szCs w:val="18"/>
                <w:b w:val="1"/>
                <w:bCs w:val="1"/>
                <w:color w:val="auto"/>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AMBARELLA,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500" w:type="dxa"/>
            <w:vAlign w:val="bottom"/>
            <w:gridSpan w:val="2"/>
          </w:tcPr>
          <w:p>
            <w:pPr>
              <w:jc w:val="center"/>
              <w:ind w:left="1096"/>
              <w:spacing w:after="0"/>
              <w:rPr>
                <w:sz w:val="20"/>
                <w:szCs w:val="20"/>
                <w:color w:val="auto"/>
              </w:rPr>
            </w:pPr>
            <w:r>
              <w:rPr>
                <w:rFonts w:ascii="Arial" w:cs="Arial" w:eastAsia="Arial" w:hAnsi="Arial"/>
                <w:sz w:val="18"/>
                <w:szCs w:val="18"/>
                <w:b w:val="1"/>
                <w:bCs w:val="1"/>
                <w:color w:val="auto"/>
                <w:w w:val="90"/>
              </w:rPr>
              <w:t>Cayman Islands</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198"/>
              <w:spacing w:after="0"/>
              <w:rPr>
                <w:sz w:val="20"/>
                <w:szCs w:val="20"/>
                <w:color w:val="auto"/>
              </w:rPr>
            </w:pPr>
            <w:r>
              <w:rPr>
                <w:rFonts w:ascii="Arial" w:cs="Arial" w:eastAsia="Arial" w:hAnsi="Arial"/>
                <w:sz w:val="18"/>
                <w:szCs w:val="18"/>
                <w:b w:val="1"/>
                <w:bCs w:val="1"/>
                <w:color w:val="auto"/>
              </w:rPr>
              <w:t>98-0459628</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1096"/>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jc w:val="center"/>
              <w:ind w:right="165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1096"/>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04"/>
        </w:trPr>
        <w:tc>
          <w:tcPr>
            <w:tcW w:w="4500" w:type="dxa"/>
            <w:vAlign w:val="bottom"/>
            <w:gridSpan w:val="2"/>
          </w:tcPr>
          <w:p>
            <w:pPr>
              <w:jc w:val="center"/>
              <w:ind w:left="1116"/>
              <w:spacing w:after="0"/>
              <w:rPr>
                <w:sz w:val="20"/>
                <w:szCs w:val="20"/>
                <w:color w:val="auto"/>
              </w:rPr>
            </w:pPr>
            <w:r>
              <w:rPr>
                <w:rFonts w:ascii="Arial" w:cs="Arial" w:eastAsia="Arial" w:hAnsi="Arial"/>
                <w:sz w:val="18"/>
                <w:szCs w:val="18"/>
                <w:b w:val="1"/>
                <w:bCs w:val="1"/>
                <w:color w:val="auto"/>
                <w:w w:val="89"/>
              </w:rPr>
              <w:t>3101 Jay Street</w:t>
            </w: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jc w:val="center"/>
              <w:ind w:left="1096"/>
              <w:spacing w:after="0"/>
              <w:rPr>
                <w:sz w:val="20"/>
                <w:szCs w:val="20"/>
                <w:color w:val="auto"/>
              </w:rPr>
            </w:pPr>
            <w:r>
              <w:rPr>
                <w:rFonts w:ascii="Arial" w:cs="Arial" w:eastAsia="Arial" w:hAnsi="Arial"/>
                <w:sz w:val="18"/>
                <w:szCs w:val="18"/>
                <w:b w:val="1"/>
                <w:bCs w:val="1"/>
                <w:color w:val="auto"/>
                <w:w w:val="93"/>
              </w:rPr>
              <w:t>Santa Clara, California</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398"/>
              <w:spacing w:after="0"/>
              <w:rPr>
                <w:sz w:val="20"/>
                <w:szCs w:val="20"/>
                <w:color w:val="auto"/>
              </w:rPr>
            </w:pPr>
            <w:r>
              <w:rPr>
                <w:rFonts w:ascii="Arial" w:cs="Arial" w:eastAsia="Arial" w:hAnsi="Arial"/>
                <w:sz w:val="18"/>
                <w:szCs w:val="18"/>
                <w:b w:val="1"/>
                <w:bCs w:val="1"/>
                <w:color w:val="auto"/>
              </w:rPr>
              <w:t>95054</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111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86"/>
        </w:trPr>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jc w:val="right"/>
              <w:ind w:right="470"/>
              <w:spacing w:after="0"/>
              <w:rPr>
                <w:sz w:val="20"/>
                <w:szCs w:val="20"/>
                <w:color w:val="auto"/>
              </w:rPr>
            </w:pPr>
            <w:r>
              <w:rPr>
                <w:rFonts w:ascii="Arial" w:cs="Arial" w:eastAsia="Arial" w:hAnsi="Arial"/>
                <w:sz w:val="18"/>
                <w:szCs w:val="18"/>
                <w:b w:val="1"/>
                <w:bCs w:val="1"/>
                <w:color w:val="auto"/>
              </w:rPr>
              <w:t>(408) 734-8888</w:t>
            </w: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38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gridSpan w:val="2"/>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66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91"/>
              </w:rPr>
              <w:t>Trading Symbol</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5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Ordinary Shares, $0.00045 Par Value Per Share</w:t>
            </w:r>
          </w:p>
        </w:tc>
        <w:tc>
          <w:tcPr>
            <w:tcW w:w="66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60"/>
              <w:spacing w:after="0"/>
              <w:rPr>
                <w:sz w:val="20"/>
                <w:szCs w:val="20"/>
                <w:color w:val="auto"/>
              </w:rPr>
            </w:pPr>
            <w:r>
              <w:rPr>
                <w:rFonts w:ascii="Arial" w:cs="Arial" w:eastAsia="Arial" w:hAnsi="Arial"/>
                <w:sz w:val="18"/>
                <w:szCs w:val="18"/>
                <w:color w:val="auto"/>
              </w:rPr>
              <w:t>AMBA</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360"/>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8"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7"/>
        </w:trPr>
        <w:tc>
          <w:tcPr>
            <w:tcW w:w="23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67" w:lineRule="exact"/>
        <w:rPr>
          <w:sz w:val="24"/>
          <w:szCs w:val="24"/>
          <w:color w:val="auto"/>
        </w:rPr>
      </w:pPr>
    </w:p>
    <w:p>
      <w:pPr>
        <w:ind w:right="16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560"/>
        <w:spacing w:after="0" w:line="28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r>
        <w:rPr>
          <w:rFonts w:ascii="Arial" w:cs="Arial" w:eastAsia="Arial" w:hAnsi="Arial"/>
          <w:sz w:val="18"/>
          <w:szCs w:val="18"/>
          <w:color w:val="auto"/>
        </w:rPr>
        <w:t xml:space="preserve"> The number of ordinary shares of the Registrant outstanding as of December 2, 2021 was 37,003,100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Page</w:t>
            </w:r>
          </w:p>
        </w:tc>
      </w:tr>
      <w:tr>
        <w:trPr>
          <w:trHeight w:val="412"/>
        </w:trPr>
        <w:tc>
          <w:tcPr>
            <w:tcW w:w="308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30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6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96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at October 31, 2021 and January 31, 2021</w:t>
              </w:r>
            </w:hyperlink>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90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Statements of Operations for the three and nine months ended October 31, 2021 and 2020</w:t>
              </w:r>
            </w:hyperlink>
          </w:p>
        </w:tc>
        <w:tc>
          <w:tcPr>
            <w:tcW w:w="560" w:type="dxa"/>
            <w:vAlign w:val="bottom"/>
            <w:gridSpan w:val="2"/>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760" w:type="dxa"/>
            <w:vAlign w:val="bottom"/>
          </w:tcPr>
          <w:p>
            <w:pPr>
              <w:spacing w:after="0"/>
              <w:rPr>
                <w:sz w:val="24"/>
                <w:szCs w:val="24"/>
                <w:color w:val="auto"/>
              </w:rPr>
            </w:pPr>
          </w:p>
        </w:tc>
        <w:tc>
          <w:tcPr>
            <w:tcW w:w="9620" w:type="dxa"/>
            <w:vAlign w:val="bottom"/>
            <w:gridSpan w:val="18"/>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Condensed Consolidated Statements of Comprehensive Income (Loss) for the three and nine months ended October 31,</w:t>
              </w:r>
            </w:hyperlink>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2021 and 2020</w:t>
              </w:r>
            </w:hyperlink>
          </w:p>
        </w:tc>
        <w:tc>
          <w:tcPr>
            <w:tcW w:w="8120" w:type="dxa"/>
            <w:vAlign w:val="bottom"/>
            <w:tcBorders>
              <w:top w:val="single" w:sz="8" w:color="0000EE"/>
            </w:tcBorders>
            <w:gridSpan w:val="12"/>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w:t>
            </w:r>
          </w:p>
        </w:tc>
      </w:tr>
      <w:tr>
        <w:trPr>
          <w:trHeight w:val="317"/>
        </w:trPr>
        <w:tc>
          <w:tcPr>
            <w:tcW w:w="760" w:type="dxa"/>
            <w:vAlign w:val="bottom"/>
          </w:tcPr>
          <w:p>
            <w:pPr>
              <w:spacing w:after="0"/>
              <w:rPr>
                <w:sz w:val="24"/>
                <w:szCs w:val="24"/>
                <w:color w:val="auto"/>
              </w:rPr>
            </w:pPr>
          </w:p>
        </w:tc>
        <w:tc>
          <w:tcPr>
            <w:tcW w:w="9620" w:type="dxa"/>
            <w:vAlign w:val="bottom"/>
            <w:gridSpan w:val="18"/>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Unaudited Condensed Consolidated Statements of Shareholders’ Equity for the three and nine months ended October 31, 2021 and</w:t>
              </w:r>
            </w:hyperlink>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4"/>
              </w:rPr>
            </w:pPr>
            <w:hyperlink w:anchor="page6">
              <w:r>
                <w:rPr>
                  <w:rFonts w:ascii="Arial" w:cs="Arial" w:eastAsia="Arial" w:hAnsi="Arial"/>
                  <w:sz w:val="18"/>
                  <w:szCs w:val="18"/>
                  <w:color w:val="0000EE"/>
                  <w:w w:val="74"/>
                </w:rPr>
                <w:t>2020</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w:t>
            </w:r>
          </w:p>
        </w:tc>
      </w:tr>
      <w:tr>
        <w:trPr>
          <w:trHeight w:val="318"/>
        </w:trPr>
        <w:tc>
          <w:tcPr>
            <w:tcW w:w="760" w:type="dxa"/>
            <w:vAlign w:val="bottom"/>
          </w:tcPr>
          <w:p>
            <w:pPr>
              <w:spacing w:after="0"/>
              <w:rPr>
                <w:sz w:val="24"/>
                <w:szCs w:val="24"/>
                <w:color w:val="auto"/>
              </w:rPr>
            </w:pPr>
          </w:p>
        </w:tc>
        <w:tc>
          <w:tcPr>
            <w:tcW w:w="962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Cash Flows for the nine months ended October 31, 2021 and 2020</w:t>
              </w:r>
            </w:hyperlink>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760" w:type="dxa"/>
            <w:vAlign w:val="bottom"/>
          </w:tcPr>
          <w:p>
            <w:pPr>
              <w:spacing w:after="0"/>
              <w:rPr>
                <w:sz w:val="24"/>
                <w:szCs w:val="24"/>
                <w:color w:val="auto"/>
              </w:rPr>
            </w:pPr>
          </w:p>
        </w:tc>
        <w:tc>
          <w:tcPr>
            <w:tcW w:w="47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Unaudited Condensed Consolidated Financial Statements</w:t>
              </w:r>
            </w:hyperlink>
          </w:p>
        </w:tc>
        <w:tc>
          <w:tcPr>
            <w:tcW w:w="3640" w:type="dxa"/>
            <w:vAlign w:val="bottom"/>
            <w:tcBorders>
              <w:top w:val="single" w:sz="8" w:color="0000EE"/>
            </w:tcBorders>
            <w:gridSpan w:val="3"/>
          </w:tcPr>
          <w:p>
            <w:pPr>
              <w:spacing w:after="0"/>
              <w:rPr>
                <w:sz w:val="24"/>
                <w:szCs w:val="24"/>
                <w:color w:val="auto"/>
              </w:rPr>
            </w:pPr>
          </w:p>
        </w:tc>
        <w:tc>
          <w:tcPr>
            <w:tcW w:w="1220" w:type="dxa"/>
            <w:vAlign w:val="bottom"/>
            <w:gridSpan w:val="3"/>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62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6420" w:type="dxa"/>
            <w:vAlign w:val="bottom"/>
            <w:tcBorders>
              <w:top w:val="single" w:sz="8" w:color="0000EE"/>
            </w:tcBorders>
            <w:gridSpan w:val="1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3200" w:type="dxa"/>
            <w:vAlign w:val="bottom"/>
            <w:gridSpan w:val="5"/>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4320" w:type="dxa"/>
            <w:vAlign w:val="bottom"/>
            <w:tcBorders>
              <w:top w:val="single" w:sz="8" w:color="0000EE"/>
            </w:tcBorders>
            <w:gridSpan w:val="1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5300" w:type="dxa"/>
            <w:vAlign w:val="bottom"/>
            <w:gridSpan w:val="7"/>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0" w:type="dxa"/>
            <w:vAlign w:val="bottom"/>
            <w:gridSpan w:val="9"/>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439"/>
        </w:trPr>
        <w:tc>
          <w:tcPr>
            <w:tcW w:w="27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7600" w:type="dxa"/>
            <w:vAlign w:val="bottom"/>
            <w:gridSpan w:val="9"/>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Legal Proceedings</w:t>
              </w:r>
            </w:hyperlink>
          </w:p>
        </w:tc>
        <w:tc>
          <w:tcPr>
            <w:tcW w:w="8320" w:type="dxa"/>
            <w:vAlign w:val="bottom"/>
            <w:gridSpan w:val="12"/>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962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860" w:type="dxa"/>
            <w:vAlign w:val="bottom"/>
            <w:tcBorders>
              <w:top w:val="single" w:sz="8" w:color="0000EE"/>
            </w:tcBorders>
            <w:gridSpan w:val="4"/>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8760" w:type="dxa"/>
            <w:vAlign w:val="bottom"/>
            <w:gridSpan w:val="14"/>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060" w:type="dxa"/>
            <w:vAlign w:val="bottom"/>
            <w:gridSpan w:val="15"/>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318"/>
        </w:trPr>
        <w:tc>
          <w:tcPr>
            <w:tcW w:w="1038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Signatures</w:t>
              </w:r>
            </w:hyperlink>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332"/>
              <w:spacing w:after="0"/>
              <w:rPr>
                <w:sz w:val="20"/>
                <w:szCs w:val="20"/>
                <w:color w:val="auto"/>
              </w:rPr>
            </w:pPr>
            <w:r>
              <w:rPr>
                <w:rFonts w:ascii="Arial" w:cs="Arial" w:eastAsia="Arial" w:hAnsi="Arial"/>
                <w:sz w:val="14"/>
                <w:szCs w:val="14"/>
                <w:b w:val="1"/>
                <w:bCs w:val="1"/>
                <w:color w:val="auto"/>
              </w:rPr>
              <w:t>October 31,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15"/>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457,760</w:t>
            </w:r>
          </w:p>
        </w:tc>
        <w:tc>
          <w:tcPr>
            <w:tcW w:w="5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241,274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debt securities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44,776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47,039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5,789</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555,374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497,304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Deferred tax assets, non-current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11,467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11,958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9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633,355</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573,280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27,071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48,909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Operating lease liabilities, current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 current</w:t>
            </w: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81,619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Operating lease liabilities, non-current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9,053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13,448</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104,120</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13)</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Shareholders' equity:</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Preference shares, $0.00045 par value per share, 20,000,000 shares</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and no shares issued and outstanding at October 31, 2021 and</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January 31, 2021, respectively</w:t>
            </w: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740" w:type="dxa"/>
            <w:vAlign w:val="bottom"/>
          </w:tcPr>
          <w:p>
            <w:pPr>
              <w:ind w:left="260"/>
              <w:spacing w:after="0"/>
              <w:rPr>
                <w:sz w:val="20"/>
                <w:szCs w:val="20"/>
                <w:color w:val="auto"/>
              </w:rPr>
            </w:pPr>
            <w:r>
              <w:rPr>
                <w:rFonts w:ascii="Arial" w:cs="Arial" w:eastAsia="Arial" w:hAnsi="Arial"/>
                <w:sz w:val="18"/>
                <w:szCs w:val="18"/>
                <w:color w:val="auto"/>
              </w:rPr>
              <w:t>Ordinary shares, $0.00045 par value per share, 200,000,000 shares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80"/>
              <w:spacing w:after="0"/>
              <w:rPr>
                <w:sz w:val="20"/>
                <w:szCs w:val="20"/>
                <w:color w:val="auto"/>
              </w:rPr>
            </w:pPr>
            <w:r>
              <w:rPr>
                <w:rFonts w:ascii="Arial" w:cs="Arial" w:eastAsia="Arial" w:hAnsi="Arial"/>
                <w:sz w:val="18"/>
                <w:szCs w:val="18"/>
                <w:color w:val="auto"/>
              </w:rPr>
              <w:t>authorized at October 31, 2021 and January 31, 2021, respectively;</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80"/>
              <w:spacing w:after="0"/>
              <w:rPr>
                <w:sz w:val="20"/>
                <w:szCs w:val="20"/>
                <w:color w:val="auto"/>
              </w:rPr>
            </w:pPr>
            <w:r>
              <w:rPr>
                <w:rFonts w:ascii="Arial" w:cs="Arial" w:eastAsia="Arial" w:hAnsi="Arial"/>
                <w:sz w:val="18"/>
                <w:szCs w:val="18"/>
                <w:color w:val="auto"/>
              </w:rPr>
              <w:t>36,925,142 shares issued and outstanding at October 31, 2021; 35,547,440</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shares issued and outstanding at January 31, 2021</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420,153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109,065</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shareholders’ equity</w:t>
            </w: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529,235</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9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633,355</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573,280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4"/>
              </w:rPr>
              <w:t>Three Months Ended October 31,</w:t>
            </w:r>
          </w:p>
        </w:tc>
        <w:tc>
          <w:tcPr>
            <w:tcW w:w="160" w:type="dxa"/>
            <w:vAlign w:val="bottom"/>
          </w:tcPr>
          <w:p>
            <w:pPr>
              <w:spacing w:after="0"/>
              <w:rPr>
                <w:sz w:val="14"/>
                <w:szCs w:val="14"/>
                <w:color w:val="auto"/>
              </w:rPr>
            </w:pPr>
          </w:p>
        </w:tc>
        <w:tc>
          <w:tcPr>
            <w:tcW w:w="23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Nine Months Ended October 31,</w:t>
            </w:r>
          </w:p>
        </w:tc>
        <w:tc>
          <w:tcPr>
            <w:tcW w:w="0" w:type="dxa"/>
            <w:vAlign w:val="bottom"/>
          </w:tcPr>
          <w:p>
            <w:pPr>
              <w:spacing w:after="0"/>
              <w:rPr>
                <w:sz w:val="1"/>
                <w:szCs w:val="1"/>
                <w:color w:val="auto"/>
              </w:rPr>
            </w:pPr>
          </w:p>
        </w:tc>
      </w:tr>
      <w:tr>
        <w:trPr>
          <w:trHeight w:val="155"/>
        </w:trPr>
        <w:tc>
          <w:tcPr>
            <w:tcW w:w="60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92,167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56,090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241,627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34,541</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21,298</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90,817</w:t>
            </w:r>
          </w:p>
        </w:tc>
        <w:tc>
          <w:tcPr>
            <w:tcW w:w="2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63,078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57,626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34,792</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150,810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41,362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118,794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17,475</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14,468</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49,323</w:t>
            </w:r>
          </w:p>
        </w:tc>
        <w:tc>
          <w:tcPr>
            <w:tcW w:w="2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58,837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51,041</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168,117</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(1,211)</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(16,249)</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(17,307)</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(47,153)</w:t>
            </w: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6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(804)</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(15,576)</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(16,089)</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(43,922)</w:t>
            </w: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(1,560)</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756</w:t>
            </w:r>
          </w:p>
        </w:tc>
        <w:tc>
          <w:tcPr>
            <w:tcW w:w="24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(17,078)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(17,218)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(47,297)</w:t>
            </w:r>
          </w:p>
        </w:tc>
        <w:tc>
          <w:tcPr>
            <w:tcW w:w="0" w:type="dxa"/>
            <w:vAlign w:val="bottom"/>
          </w:tcPr>
          <w:p>
            <w:pPr>
              <w:spacing w:after="0"/>
              <w:rPr>
                <w:sz w:val="1"/>
                <w:szCs w:val="1"/>
                <w:color w:val="auto"/>
              </w:rPr>
            </w:pPr>
          </w:p>
        </w:tc>
      </w:tr>
      <w:tr>
        <w:trPr>
          <w:trHeight w:val="210"/>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per share attributable to ordinary shareholders:</w:t>
            </w: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060" w:type="dxa"/>
            <w:vAlign w:val="bottom"/>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(0.49)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0"/>
        </w:trPr>
        <w:tc>
          <w:tcPr>
            <w:tcW w:w="60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w w:val="91"/>
              </w:rPr>
              <w:t>Weighted-average shares used to compute net income (loss) per share attributable</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to ordinary shareholders: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36,792,187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34,819,880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36,391,676</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34,460,172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39,046,274</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34,819,880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36,391,676</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34,460,172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7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 October 31,</w:t>
            </w:r>
          </w:p>
        </w:tc>
        <w:tc>
          <w:tcPr>
            <w:tcW w:w="180" w:type="dxa"/>
            <w:vAlign w:val="bottom"/>
          </w:tcPr>
          <w:p>
            <w:pPr>
              <w:spacing w:after="0"/>
              <w:rPr>
                <w:sz w:val="14"/>
                <w:szCs w:val="14"/>
                <w:color w:val="auto"/>
              </w:rPr>
            </w:pPr>
          </w:p>
        </w:tc>
        <w:tc>
          <w:tcPr>
            <w:tcW w:w="246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October 31,</w:t>
            </w:r>
          </w:p>
        </w:tc>
      </w:tr>
      <w:tr>
        <w:trPr>
          <w:trHeight w:val="155"/>
        </w:trPr>
        <w:tc>
          <w:tcPr>
            <w:tcW w:w="584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(47,297)</w:t>
            </w:r>
          </w:p>
        </w:tc>
        <w:tc>
          <w:tcPr>
            <w:tcW w:w="100" w:type="dxa"/>
            <w:vAlign w:val="bottom"/>
            <w:shd w:val="clear" w:color="auto" w:fill="CFF0FC"/>
          </w:tcPr>
          <w:p>
            <w:pPr>
              <w:spacing w:after="0"/>
              <w:rPr>
                <w:sz w:val="19"/>
                <w:szCs w:val="19"/>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Net change and reclassification of unrealized gains (losses) on investments</w:t>
            </w:r>
          </w:p>
        </w:tc>
        <w:tc>
          <w:tcPr>
            <w:tcW w:w="7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(608)</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(1,219)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74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(608)</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(1,219)</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0"/>
                <w:szCs w:val="20"/>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w:t>
            </w:r>
          </w:p>
        </w:tc>
        <w:tc>
          <w:tcPr>
            <w:tcW w:w="740" w:type="dxa"/>
            <w:vAlign w:val="bottom"/>
            <w:tcBorders>
              <w:top w:val="single" w:sz="8" w:color="auto"/>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780" w:type="dxa"/>
            <w:vAlign w:val="bottom"/>
            <w:gridSpan w:val="3"/>
          </w:tcPr>
          <w:p>
            <w:pPr>
              <w:jc w:val="center"/>
              <w:ind w:left="109"/>
              <w:spacing w:after="0"/>
              <w:rPr>
                <w:sz w:val="20"/>
                <w:szCs w:val="20"/>
                <w:color w:val="auto"/>
              </w:rPr>
            </w:pPr>
            <w:r>
              <w:rPr>
                <w:rFonts w:ascii="Arial" w:cs="Arial" w:eastAsia="Arial" w:hAnsi="Arial"/>
                <w:sz w:val="13"/>
                <w:szCs w:val="13"/>
                <w:b w:val="1"/>
                <w:bCs w:val="1"/>
                <w:color w:val="auto"/>
                <w:w w:val="88"/>
              </w:rPr>
              <w:t>Outstanding</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20" w:type="dxa"/>
            <w:vAlign w:val="bottom"/>
          </w:tcPr>
          <w:p>
            <w:pPr>
              <w:spacing w:after="0"/>
              <w:rPr>
                <w:sz w:val="13"/>
                <w:szCs w:val="13"/>
                <w:color w:val="auto"/>
              </w:rPr>
            </w:pPr>
          </w:p>
        </w:tc>
        <w:tc>
          <w:tcPr>
            <w:tcW w:w="1780" w:type="dxa"/>
            <w:vAlign w:val="bottom"/>
            <w:tcBorders>
              <w:bottom w:val="single" w:sz="8" w:color="auto"/>
            </w:tcBorders>
            <w:gridSpan w:val="3"/>
          </w:tcPr>
          <w:p>
            <w:pPr>
              <w:jc w:val="center"/>
              <w:ind w:left="109"/>
              <w:spacing w:after="0"/>
              <w:rPr>
                <w:sz w:val="20"/>
                <w:szCs w:val="20"/>
                <w:color w:val="auto"/>
              </w:rPr>
            </w:pPr>
            <w:r>
              <w:rPr>
                <w:rFonts w:ascii="Arial" w:cs="Arial" w:eastAsia="Arial" w:hAnsi="Arial"/>
                <w:sz w:val="13"/>
                <w:szCs w:val="13"/>
                <w:b w:val="1"/>
                <w:bCs w:val="1"/>
                <w:color w:val="auto"/>
                <w:w w:val="90"/>
              </w:rPr>
              <w:t>Ordinary Shares</w:t>
            </w:r>
          </w:p>
        </w:tc>
        <w:tc>
          <w:tcPr>
            <w:tcW w:w="2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4"/>
              </w:rPr>
              <w:t>Retained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Shares</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3"/>
              </w:rPr>
              <w:t>Earnings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4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Balance--January 31, 2021</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35,547,440</w:t>
            </w:r>
          </w:p>
        </w:tc>
        <w:tc>
          <w:tcPr>
            <w:tcW w:w="2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6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347,458</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1,219</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126,283</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474,976</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Arial" w:cs="Arial" w:eastAsia="Arial" w:hAnsi="Arial"/>
                <w:sz w:val="14"/>
                <w:szCs w:val="14"/>
                <w:color w:val="auto"/>
              </w:rPr>
              <w:t>Issuance of shares through employee equity incentive plan</w:t>
            </w:r>
          </w:p>
        </w:tc>
        <w:tc>
          <w:tcPr>
            <w:tcW w:w="880" w:type="dxa"/>
            <w:vAlign w:val="bottom"/>
          </w:tcPr>
          <w:p>
            <w:pPr>
              <w:jc w:val="right"/>
              <w:spacing w:after="0"/>
              <w:rPr>
                <w:sz w:val="20"/>
                <w:szCs w:val="20"/>
                <w:color w:val="auto"/>
              </w:rPr>
            </w:pPr>
            <w:r>
              <w:rPr>
                <w:rFonts w:ascii="Arial" w:cs="Arial" w:eastAsia="Arial" w:hAnsi="Arial"/>
                <w:sz w:val="14"/>
                <w:szCs w:val="14"/>
                <w:color w:val="auto"/>
              </w:rPr>
              <w:t>643,120</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shares through employee stock purchase plan</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82,783</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720" w:type="dxa"/>
            <w:vAlign w:val="bottom"/>
          </w:tcPr>
          <w:p>
            <w:pPr>
              <w:ind w:left="260"/>
              <w:spacing w:after="0" w:line="143" w:lineRule="exact"/>
              <w:rPr>
                <w:sz w:val="20"/>
                <w:szCs w:val="20"/>
                <w:color w:val="auto"/>
              </w:rPr>
            </w:pPr>
            <w:r>
              <w:rPr>
                <w:rFonts w:ascii="Arial" w:cs="Arial" w:eastAsia="Arial" w:hAnsi="Arial"/>
                <w:sz w:val="14"/>
                <w:szCs w:val="14"/>
                <w:color w:val="auto"/>
              </w:rPr>
              <w:t>Stock-based compensation expense related to stock awards granted to</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20" w:type="dxa"/>
            <w:vAlign w:val="bottom"/>
          </w:tcPr>
          <w:p>
            <w:pPr>
              <w:ind w:left="260"/>
              <w:spacing w:after="0"/>
              <w:rPr>
                <w:sz w:val="20"/>
                <w:szCs w:val="20"/>
                <w:color w:val="auto"/>
              </w:rPr>
            </w:pPr>
            <w:r>
              <w:rPr>
                <w:rFonts w:ascii="Arial" w:cs="Arial" w:eastAsia="Arial" w:hAnsi="Arial"/>
                <w:sz w:val="14"/>
                <w:szCs w:val="14"/>
                <w:color w:val="auto"/>
              </w:rPr>
              <w:t>employees and consultants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17,128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17,128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income (loss) - net of tax</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(427)</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(10,818)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(10,818)</w:t>
            </w:r>
          </w:p>
        </w:tc>
        <w:tc>
          <w:tcPr>
            <w:tcW w:w="0" w:type="dxa"/>
            <w:vAlign w:val="bottom"/>
          </w:tcPr>
          <w:p>
            <w:pPr>
              <w:spacing w:after="0"/>
              <w:rPr>
                <w:sz w:val="1"/>
                <w:szCs w:val="1"/>
                <w:color w:val="auto"/>
              </w:rPr>
            </w:pPr>
          </w:p>
        </w:tc>
      </w:tr>
      <w:tr>
        <w:trPr>
          <w:trHeight w:val="156"/>
        </w:trPr>
        <w:tc>
          <w:tcPr>
            <w:tcW w:w="47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Balance--April 30, 2021</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36,273,343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375,021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792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115,465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491,294</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260"/>
              <w:spacing w:after="0"/>
              <w:rPr>
                <w:sz w:val="20"/>
                <w:szCs w:val="20"/>
                <w:color w:val="auto"/>
              </w:rPr>
            </w:pPr>
            <w:r>
              <w:rPr>
                <w:rFonts w:ascii="Arial" w:cs="Arial" w:eastAsia="Arial" w:hAnsi="Arial"/>
                <w:sz w:val="14"/>
                <w:szCs w:val="14"/>
                <w:color w:val="auto"/>
              </w:rPr>
              <w:t>Issuance of shares through employee equity incentive plan</w:t>
            </w: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20" w:type="dxa"/>
            <w:vAlign w:val="bottom"/>
            <w:vMerge w:val="continue"/>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371,293</w:t>
            </w: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1,461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1,461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7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 expense related to stock awards granted to</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employees and consultants</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17,639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Arial" w:cs="Arial" w:eastAsia="Arial" w:hAnsi="Arial"/>
                <w:sz w:val="14"/>
                <w:szCs w:val="14"/>
                <w:color w:val="auto"/>
              </w:rPr>
              <w:t>Other comprehensive income (loss) - net of tax</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(184)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(7,156)</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(7,156)</w:t>
            </w:r>
          </w:p>
        </w:tc>
        <w:tc>
          <w:tcPr>
            <w:tcW w:w="0" w:type="dxa"/>
            <w:vAlign w:val="bottom"/>
          </w:tcPr>
          <w:p>
            <w:pPr>
              <w:spacing w:after="0"/>
              <w:rPr>
                <w:sz w:val="1"/>
                <w:szCs w:val="1"/>
                <w:color w:val="auto"/>
              </w:rPr>
            </w:pPr>
          </w:p>
        </w:tc>
      </w:tr>
      <w:tr>
        <w:trPr>
          <w:trHeight w:val="195"/>
        </w:trPr>
        <w:tc>
          <w:tcPr>
            <w:tcW w:w="4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Balance--July 31, 2021</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36,644,636</w:t>
            </w:r>
          </w:p>
        </w:tc>
        <w:tc>
          <w:tcPr>
            <w:tcW w:w="220" w:type="dxa"/>
            <w:vAlign w:val="bottom"/>
            <w:tcBorders>
              <w:bottom w:val="single" w:sz="8" w:color="CFF0FC"/>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2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394,121</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608</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108,309</w:t>
            </w:r>
          </w:p>
        </w:tc>
        <w:tc>
          <w:tcPr>
            <w:tcW w:w="2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503,054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shares through employee equity incentive plan</w:t>
            </w:r>
          </w:p>
        </w:tc>
        <w:tc>
          <w:tcPr>
            <w:tcW w:w="8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244,507</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2,200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2,201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Arial" w:cs="Arial" w:eastAsia="Arial" w:hAnsi="Arial"/>
                <w:sz w:val="14"/>
                <w:szCs w:val="14"/>
                <w:color w:val="auto"/>
              </w:rPr>
              <w:t>Issuance of shares through employee stock purchase plan</w:t>
            </w:r>
          </w:p>
        </w:tc>
        <w:tc>
          <w:tcPr>
            <w:tcW w:w="880" w:type="dxa"/>
            <w:vAlign w:val="bottom"/>
          </w:tcPr>
          <w:p>
            <w:pPr>
              <w:jc w:val="right"/>
              <w:spacing w:after="0"/>
              <w:rPr>
                <w:sz w:val="20"/>
                <w:szCs w:val="20"/>
                <w:color w:val="auto"/>
              </w:rPr>
            </w:pPr>
            <w:r>
              <w:rPr>
                <w:rFonts w:ascii="Arial" w:cs="Arial" w:eastAsia="Arial" w:hAnsi="Arial"/>
                <w:sz w:val="14"/>
                <w:szCs w:val="14"/>
                <w:color w:val="auto"/>
              </w:rPr>
              <w:t>35,999</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7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 expense related to stock awards granted to</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employees and consultants</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20,319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Arial" w:cs="Arial" w:eastAsia="Arial" w:hAnsi="Arial"/>
                <w:sz w:val="14"/>
                <w:szCs w:val="14"/>
                <w:color w:val="auto"/>
              </w:rPr>
              <w:t>Other comprehensive income (loss) - net of tax</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(608)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756</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line="155" w:lineRule="exact"/>
              <w:rPr>
                <w:sz w:val="20"/>
                <w:szCs w:val="20"/>
                <w:color w:val="auto"/>
              </w:rPr>
            </w:pPr>
            <w:r>
              <w:rPr>
                <w:rFonts w:ascii="Arial" w:cs="Arial" w:eastAsia="Arial" w:hAnsi="Arial"/>
                <w:sz w:val="14"/>
                <w:szCs w:val="14"/>
                <w:b w:val="1"/>
                <w:bCs w:val="1"/>
                <w:color w:val="auto"/>
              </w:rPr>
              <w:t>Balance--October 31, 2021</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36,925,142</w:t>
            </w:r>
          </w:p>
        </w:tc>
        <w:tc>
          <w:tcPr>
            <w:tcW w:w="2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420,153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109,065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529,235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780" w:type="dxa"/>
            <w:vAlign w:val="bottom"/>
            <w:gridSpan w:val="3"/>
          </w:tcPr>
          <w:p>
            <w:pPr>
              <w:jc w:val="center"/>
              <w:ind w:left="109"/>
              <w:spacing w:after="0"/>
              <w:rPr>
                <w:sz w:val="20"/>
                <w:szCs w:val="20"/>
                <w:color w:val="auto"/>
              </w:rPr>
            </w:pPr>
            <w:r>
              <w:rPr>
                <w:rFonts w:ascii="Arial" w:cs="Arial" w:eastAsia="Arial" w:hAnsi="Arial"/>
                <w:sz w:val="13"/>
                <w:szCs w:val="13"/>
                <w:b w:val="1"/>
                <w:bCs w:val="1"/>
                <w:color w:val="auto"/>
                <w:w w:val="88"/>
              </w:rPr>
              <w:t>Outstanding</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20" w:type="dxa"/>
            <w:vAlign w:val="bottom"/>
          </w:tcPr>
          <w:p>
            <w:pPr>
              <w:spacing w:after="0"/>
              <w:rPr>
                <w:sz w:val="13"/>
                <w:szCs w:val="13"/>
                <w:color w:val="auto"/>
              </w:rPr>
            </w:pPr>
          </w:p>
        </w:tc>
        <w:tc>
          <w:tcPr>
            <w:tcW w:w="1780" w:type="dxa"/>
            <w:vAlign w:val="bottom"/>
            <w:tcBorders>
              <w:bottom w:val="single" w:sz="8" w:color="auto"/>
            </w:tcBorders>
            <w:gridSpan w:val="3"/>
          </w:tcPr>
          <w:p>
            <w:pPr>
              <w:jc w:val="center"/>
              <w:ind w:left="109"/>
              <w:spacing w:after="0"/>
              <w:rPr>
                <w:sz w:val="20"/>
                <w:szCs w:val="20"/>
                <w:color w:val="auto"/>
              </w:rPr>
            </w:pPr>
            <w:r>
              <w:rPr>
                <w:rFonts w:ascii="Arial" w:cs="Arial" w:eastAsia="Arial" w:hAnsi="Arial"/>
                <w:sz w:val="13"/>
                <w:szCs w:val="13"/>
                <w:b w:val="1"/>
                <w:bCs w:val="1"/>
                <w:color w:val="auto"/>
                <w:w w:val="90"/>
              </w:rPr>
              <w:t>Ordinary Shares</w:t>
            </w:r>
          </w:p>
        </w:tc>
        <w:tc>
          <w:tcPr>
            <w:tcW w:w="2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4"/>
              </w:rPr>
              <w:t>Retained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Balance--January 31, 2020</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Shares</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3"/>
              </w:rPr>
              <w:t>Earnings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4720" w:type="dxa"/>
            <w:vAlign w:val="bottom"/>
            <w:vMerge w:val="continue"/>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33,805,609</w:t>
            </w:r>
          </w:p>
        </w:tc>
        <w:tc>
          <w:tcPr>
            <w:tcW w:w="220" w:type="dxa"/>
            <w:vAlign w:val="bottom"/>
          </w:tcPr>
          <w:p>
            <w:pPr>
              <w:spacing w:after="0"/>
              <w:rPr>
                <w:sz w:val="13"/>
                <w:szCs w:val="13"/>
                <w:color w:val="auto"/>
              </w:rPr>
            </w:pPr>
          </w:p>
        </w:tc>
        <w:tc>
          <w:tcPr>
            <w:tcW w:w="680" w:type="dxa"/>
            <w:vAlign w:val="bottom"/>
            <w:tcBorders>
              <w:top w:val="single" w:sz="8" w:color="auto"/>
            </w:tcBorders>
          </w:tcPr>
          <w:p>
            <w:pPr>
              <w:jc w:val="right"/>
              <w:ind w:right="56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w:t>
            </w:r>
          </w:p>
        </w:tc>
        <w:tc>
          <w:tcPr>
            <w:tcW w:w="20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261,220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768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186,069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448,072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shares through employee equity incentive plan</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478,643</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6,463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Arial" w:cs="Arial" w:eastAsia="Arial" w:hAnsi="Arial"/>
                <w:sz w:val="14"/>
                <w:szCs w:val="14"/>
                <w:color w:val="auto"/>
              </w:rPr>
              <w:t>Issuance of shares through employee stock purchase plan</w:t>
            </w:r>
          </w:p>
        </w:tc>
        <w:tc>
          <w:tcPr>
            <w:tcW w:w="880" w:type="dxa"/>
            <w:vAlign w:val="bottom"/>
          </w:tcPr>
          <w:p>
            <w:pPr>
              <w:jc w:val="right"/>
              <w:spacing w:after="0"/>
              <w:rPr>
                <w:sz w:val="20"/>
                <w:szCs w:val="20"/>
                <w:color w:val="auto"/>
              </w:rPr>
            </w:pPr>
            <w:r>
              <w:rPr>
                <w:rFonts w:ascii="Arial" w:cs="Arial" w:eastAsia="Arial" w:hAnsi="Arial"/>
                <w:sz w:val="14"/>
                <w:szCs w:val="14"/>
                <w:color w:val="auto"/>
              </w:rPr>
              <w:t>83,564</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 repurchase</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(25,719)</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3"/>
        </w:trPr>
        <w:tc>
          <w:tcPr>
            <w:tcW w:w="4720" w:type="dxa"/>
            <w:vAlign w:val="bottom"/>
          </w:tcPr>
          <w:p>
            <w:pPr>
              <w:ind w:left="260"/>
              <w:spacing w:after="0" w:line="143" w:lineRule="exact"/>
              <w:rPr>
                <w:sz w:val="20"/>
                <w:szCs w:val="20"/>
                <w:color w:val="auto"/>
              </w:rPr>
            </w:pPr>
            <w:r>
              <w:rPr>
                <w:rFonts w:ascii="Arial" w:cs="Arial" w:eastAsia="Arial" w:hAnsi="Arial"/>
                <w:sz w:val="14"/>
                <w:szCs w:val="14"/>
                <w:color w:val="auto"/>
              </w:rPr>
              <w:t>Stock-based compensation expense related to stock awards granted to</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20" w:type="dxa"/>
            <w:vAlign w:val="bottom"/>
          </w:tcPr>
          <w:p>
            <w:pPr>
              <w:ind w:left="260"/>
              <w:spacing w:after="0"/>
              <w:rPr>
                <w:sz w:val="20"/>
                <w:szCs w:val="20"/>
                <w:color w:val="auto"/>
              </w:rPr>
            </w:pPr>
            <w:r>
              <w:rPr>
                <w:rFonts w:ascii="Arial" w:cs="Arial" w:eastAsia="Arial" w:hAnsi="Arial"/>
                <w:sz w:val="14"/>
                <w:szCs w:val="14"/>
                <w:color w:val="auto"/>
              </w:rPr>
              <w:t>employees and consultants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15,214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income (loss) - net of tax</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(363)</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(15,463)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(15,463)</w:t>
            </w:r>
          </w:p>
        </w:tc>
        <w:tc>
          <w:tcPr>
            <w:tcW w:w="0" w:type="dxa"/>
            <w:vAlign w:val="bottom"/>
          </w:tcPr>
          <w:p>
            <w:pPr>
              <w:spacing w:after="0"/>
              <w:rPr>
                <w:sz w:val="1"/>
                <w:szCs w:val="1"/>
                <w:color w:val="auto"/>
              </w:rPr>
            </w:pPr>
          </w:p>
        </w:tc>
      </w:tr>
      <w:tr>
        <w:trPr>
          <w:trHeight w:val="155"/>
        </w:trPr>
        <w:tc>
          <w:tcPr>
            <w:tcW w:w="47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Balance--April 30, 2020</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34,342,097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284,557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170,606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455,583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260"/>
              <w:spacing w:after="0"/>
              <w:rPr>
                <w:sz w:val="20"/>
                <w:szCs w:val="20"/>
                <w:color w:val="auto"/>
              </w:rPr>
            </w:pPr>
            <w:r>
              <w:rPr>
                <w:rFonts w:ascii="Arial" w:cs="Arial" w:eastAsia="Arial" w:hAnsi="Arial"/>
                <w:sz w:val="14"/>
                <w:szCs w:val="14"/>
                <w:color w:val="auto"/>
              </w:rPr>
              <w:t>Issuance of shares through employee equity incentive plan</w:t>
            </w: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20" w:type="dxa"/>
            <w:vAlign w:val="bottom"/>
            <w:vMerge w:val="continue"/>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268,739</w:t>
            </w: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344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7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 expense related to stock awards granted to</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employees and consultants</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16,294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Arial" w:cs="Arial" w:eastAsia="Arial" w:hAnsi="Arial"/>
                <w:sz w:val="14"/>
                <w:szCs w:val="14"/>
                <w:color w:val="auto"/>
              </w:rPr>
              <w:t>Other comprehensive income (loss) - net of tax</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1,182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(14,756)</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(14,756)</w:t>
            </w:r>
          </w:p>
        </w:tc>
        <w:tc>
          <w:tcPr>
            <w:tcW w:w="0" w:type="dxa"/>
            <w:vAlign w:val="bottom"/>
          </w:tcPr>
          <w:p>
            <w:pPr>
              <w:spacing w:after="0"/>
              <w:rPr>
                <w:sz w:val="1"/>
                <w:szCs w:val="1"/>
                <w:color w:val="auto"/>
              </w:rPr>
            </w:pPr>
          </w:p>
        </w:tc>
      </w:tr>
      <w:tr>
        <w:trPr>
          <w:trHeight w:val="195"/>
        </w:trPr>
        <w:tc>
          <w:tcPr>
            <w:tcW w:w="4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Balance--July 31, 2020</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34,610,836</w:t>
            </w:r>
          </w:p>
        </w:tc>
        <w:tc>
          <w:tcPr>
            <w:tcW w:w="220" w:type="dxa"/>
            <w:vAlign w:val="bottom"/>
            <w:tcBorders>
              <w:bottom w:val="single" w:sz="8" w:color="CFF0FC"/>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w:t>
            </w:r>
          </w:p>
        </w:tc>
        <w:tc>
          <w:tcPr>
            <w:tcW w:w="2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301,195</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1,587</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155,850</w:t>
            </w:r>
          </w:p>
        </w:tc>
        <w:tc>
          <w:tcPr>
            <w:tcW w:w="2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458,647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shares through employee equity incentive plan</w:t>
            </w:r>
          </w:p>
        </w:tc>
        <w:tc>
          <w:tcPr>
            <w:tcW w:w="8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361,886</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1,102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1,103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Arial" w:cs="Arial" w:eastAsia="Arial" w:hAnsi="Arial"/>
                <w:sz w:val="14"/>
                <w:szCs w:val="14"/>
                <w:color w:val="auto"/>
              </w:rPr>
              <w:t>Issuance of shares through employee stock purchase plan</w:t>
            </w:r>
          </w:p>
        </w:tc>
        <w:tc>
          <w:tcPr>
            <w:tcW w:w="880" w:type="dxa"/>
            <w:vAlign w:val="bottom"/>
          </w:tcPr>
          <w:p>
            <w:pPr>
              <w:jc w:val="right"/>
              <w:spacing w:after="0"/>
              <w:rPr>
                <w:sz w:val="20"/>
                <w:szCs w:val="20"/>
                <w:color w:val="auto"/>
              </w:rPr>
            </w:pPr>
            <w:r>
              <w:rPr>
                <w:rFonts w:ascii="Arial" w:cs="Arial" w:eastAsia="Arial" w:hAnsi="Arial"/>
                <w:sz w:val="14"/>
                <w:szCs w:val="14"/>
                <w:color w:val="auto"/>
              </w:rPr>
              <w:t>99,367</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7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 expense related to stock awards granted to</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employees and consultants</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17,041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Arial" w:cs="Arial" w:eastAsia="Arial" w:hAnsi="Arial"/>
                <w:sz w:val="14"/>
                <w:szCs w:val="14"/>
                <w:color w:val="auto"/>
              </w:rPr>
              <w:t>Other comprehensive income (loss) - net of tax</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(17,078)</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(17,078)</w:t>
            </w:r>
          </w:p>
        </w:tc>
        <w:tc>
          <w:tcPr>
            <w:tcW w:w="0" w:type="dxa"/>
            <w:vAlign w:val="bottom"/>
          </w:tcPr>
          <w:p>
            <w:pPr>
              <w:spacing w:after="0"/>
              <w:rPr>
                <w:sz w:val="1"/>
                <w:szCs w:val="1"/>
                <w:color w:val="auto"/>
              </w:rPr>
            </w:pPr>
          </w:p>
        </w:tc>
      </w:tr>
      <w:tr>
        <w:trPr>
          <w:trHeight w:val="156"/>
        </w:trPr>
        <w:tc>
          <w:tcPr>
            <w:tcW w:w="4720" w:type="dxa"/>
            <w:vAlign w:val="bottom"/>
          </w:tcPr>
          <w:p>
            <w:pPr>
              <w:spacing w:after="0" w:line="155" w:lineRule="exact"/>
              <w:rPr>
                <w:sz w:val="20"/>
                <w:szCs w:val="20"/>
                <w:color w:val="auto"/>
              </w:rPr>
            </w:pPr>
            <w:r>
              <w:rPr>
                <w:rFonts w:ascii="Arial" w:cs="Arial" w:eastAsia="Arial" w:hAnsi="Arial"/>
                <w:sz w:val="14"/>
                <w:szCs w:val="14"/>
                <w:b w:val="1"/>
                <w:bCs w:val="1"/>
                <w:color w:val="auto"/>
              </w:rPr>
              <w:t>Balance--October 31, 2020</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35,072,089</w:t>
            </w:r>
          </w:p>
        </w:tc>
        <w:tc>
          <w:tcPr>
            <w:tcW w:w="2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322,502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138,772</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462,653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October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0"/>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8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Arial" w:cs="Arial" w:eastAsia="Arial" w:hAnsi="Arial"/>
                <w:sz w:val="17"/>
                <w:szCs w:val="17"/>
                <w:color w:val="auto"/>
              </w:rPr>
              <w:t>Net loss</w:t>
            </w:r>
          </w:p>
        </w:tc>
        <w:tc>
          <w:tcPr>
            <w:tcW w:w="1740" w:type="dxa"/>
            <w:vAlign w:val="bottom"/>
            <w:gridSpan w:val="2"/>
          </w:tcPr>
          <w:p>
            <w:pPr>
              <w:jc w:val="right"/>
              <w:ind w:right="747"/>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(17,218)</w:t>
            </w:r>
          </w:p>
        </w:tc>
        <w:tc>
          <w:tcPr>
            <w:tcW w:w="900" w:type="dxa"/>
            <w:vAlign w:val="bottom"/>
            <w:gridSpan w:val="2"/>
          </w:tcPr>
          <w:p>
            <w:pPr>
              <w:jc w:val="right"/>
              <w:ind w:right="772"/>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(47,297)</w:t>
            </w:r>
          </w:p>
        </w:tc>
      </w:tr>
      <w:tr>
        <w:trPr>
          <w:trHeight w:val="216"/>
        </w:trPr>
        <w:tc>
          <w:tcPr>
            <w:tcW w:w="6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Arial" w:cs="Arial" w:eastAsia="Arial" w:hAnsi="Arial"/>
                <w:sz w:val="17"/>
                <w:szCs w:val="17"/>
                <w:color w:val="auto"/>
              </w:rPr>
              <w:t>Depreciation and amortization</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9,139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8,868</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Amortization (accretion) of premium (discount) on marketable debt securities, net</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Arial" w:cs="Arial" w:eastAsia="Arial" w:hAnsi="Arial"/>
                <w:sz w:val="17"/>
                <w:szCs w:val="17"/>
                <w:color w:val="auto"/>
              </w:rPr>
              <w:t>Stock-based compensation</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60,267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51,407</w:t>
            </w:r>
          </w:p>
        </w:tc>
        <w:tc>
          <w:tcPr>
            <w:tcW w:w="120" w:type="dxa"/>
            <w:vAlign w:val="bottom"/>
          </w:tcPr>
          <w:p>
            <w:pPr>
              <w:spacing w:after="0"/>
              <w:rPr>
                <w:sz w:val="18"/>
                <w:szCs w:val="18"/>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income taxes</w:t>
            </w:r>
          </w:p>
        </w:tc>
        <w:tc>
          <w:tcPr>
            <w:tcW w:w="8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(553)</w:t>
            </w: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w:t>
            </w:r>
          </w:p>
        </w:tc>
      </w:tr>
      <w:tr>
        <w:trPr>
          <w:trHeight w:val="216"/>
        </w:trPr>
        <w:tc>
          <w:tcPr>
            <w:tcW w:w="6940" w:type="dxa"/>
            <w:vAlign w:val="bottom"/>
          </w:tcPr>
          <w:p>
            <w:pPr>
              <w:ind w:left="500"/>
              <w:spacing w:after="0"/>
              <w:rPr>
                <w:sz w:val="20"/>
                <w:szCs w:val="20"/>
                <w:color w:val="auto"/>
              </w:rPr>
            </w:pPr>
            <w:r>
              <w:rPr>
                <w:rFonts w:ascii="Arial" w:cs="Arial" w:eastAsia="Arial" w:hAnsi="Arial"/>
                <w:sz w:val="17"/>
                <w:szCs w:val="17"/>
                <w:color w:val="auto"/>
              </w:rPr>
              <w:t>Other non-cash items, net</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(517)</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(94)</w:t>
            </w:r>
          </w:p>
        </w:tc>
      </w:tr>
      <w:tr>
        <w:trPr>
          <w:trHeight w:val="216"/>
        </w:trPr>
        <w:tc>
          <w:tcPr>
            <w:tcW w:w="6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Arial" w:cs="Arial" w:eastAsia="Arial" w:hAnsi="Arial"/>
                <w:sz w:val="17"/>
                <w:szCs w:val="17"/>
                <w:color w:val="auto"/>
              </w:rPr>
              <w:t>Accounts receivable</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(19,802)</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(5,624)</w:t>
            </w:r>
          </w:p>
        </w:tc>
      </w:tr>
      <w:tr>
        <w:trPr>
          <w:trHeight w:val="216"/>
        </w:trPr>
        <w:tc>
          <w:tcPr>
            <w:tcW w:w="6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Inventories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(20,958)</w:t>
            </w: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(741)</w:t>
            </w:r>
          </w:p>
        </w:tc>
      </w:tr>
      <w:tr>
        <w:trPr>
          <w:trHeight w:val="216"/>
        </w:trPr>
        <w:tc>
          <w:tcPr>
            <w:tcW w:w="6940" w:type="dxa"/>
            <w:vAlign w:val="bottom"/>
          </w:tcPr>
          <w:p>
            <w:pPr>
              <w:ind w:left="500"/>
              <w:spacing w:after="0"/>
              <w:rPr>
                <w:sz w:val="20"/>
                <w:szCs w:val="20"/>
                <w:color w:val="auto"/>
              </w:rPr>
            </w:pPr>
            <w:r>
              <w:rPr>
                <w:rFonts w:ascii="Arial" w:cs="Arial" w:eastAsia="Arial" w:hAnsi="Arial"/>
                <w:sz w:val="17"/>
                <w:szCs w:val="17"/>
                <w:color w:val="auto"/>
              </w:rPr>
              <w:t>Prepaid expenses and other current assets</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(275)</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238</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non-current assets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878</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683</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5,947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(297)</w:t>
            </w:r>
          </w:p>
        </w:tc>
      </w:tr>
      <w:tr>
        <w:trPr>
          <w:trHeight w:val="216"/>
        </w:trPr>
        <w:tc>
          <w:tcPr>
            <w:tcW w:w="6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Accrued and other current liabilities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2,359</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9,887</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Arial" w:cs="Arial" w:eastAsia="Arial" w:hAnsi="Arial"/>
                <w:sz w:val="17"/>
                <w:szCs w:val="17"/>
                <w:color w:val="auto"/>
              </w:rPr>
              <w:t>Income taxes payable</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1,020</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revenue</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(57)</w:t>
            </w: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477</w:t>
            </w:r>
          </w:p>
        </w:tc>
        <w:tc>
          <w:tcPr>
            <w:tcW w:w="120" w:type="dxa"/>
            <w:vAlign w:val="bottom"/>
            <w:shd w:val="clear" w:color="auto" w:fill="CFF0FC"/>
          </w:tcPr>
          <w:p>
            <w:pPr>
              <w:spacing w:after="0"/>
              <w:rPr>
                <w:sz w:val="18"/>
                <w:szCs w:val="18"/>
                <w:color w:val="auto"/>
              </w:rPr>
            </w:pPr>
          </w:p>
        </w:tc>
      </w:tr>
      <w:tr>
        <w:trPr>
          <w:trHeight w:val="229"/>
        </w:trPr>
        <w:tc>
          <w:tcPr>
            <w:tcW w:w="6940" w:type="dxa"/>
            <w:vAlign w:val="bottom"/>
          </w:tcPr>
          <w:p>
            <w:pPr>
              <w:ind w:left="500"/>
              <w:spacing w:after="0"/>
              <w:rPr>
                <w:sz w:val="20"/>
                <w:szCs w:val="20"/>
                <w:color w:val="auto"/>
              </w:rPr>
            </w:pPr>
            <w:r>
              <w:rPr>
                <w:rFonts w:ascii="Arial" w:cs="Arial" w:eastAsia="Arial" w:hAnsi="Arial"/>
                <w:sz w:val="17"/>
                <w:szCs w:val="17"/>
                <w:color w:val="auto"/>
              </w:rPr>
              <w:t>Operating lease liabilities</w:t>
            </w: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(2,681)</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(1,656)</w:t>
            </w:r>
          </w:p>
        </w:tc>
      </w:tr>
      <w:tr>
        <w:trPr>
          <w:trHeight w:val="216"/>
        </w:trPr>
        <w:tc>
          <w:tcPr>
            <w:tcW w:w="6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long-term liabilities</w:t>
            </w:r>
          </w:p>
        </w:tc>
        <w:tc>
          <w:tcPr>
            <w:tcW w:w="84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1,160</w:t>
            </w:r>
          </w:p>
        </w:tc>
        <w:tc>
          <w:tcPr>
            <w:tcW w:w="120" w:type="dxa"/>
            <w:vAlign w:val="bottom"/>
            <w:shd w:val="clear" w:color="auto" w:fill="CFF0FC"/>
          </w:tcPr>
          <w:p>
            <w:pPr>
              <w:spacing w:after="0"/>
              <w:rPr>
                <w:sz w:val="18"/>
                <w:szCs w:val="18"/>
                <w:color w:val="auto"/>
              </w:rPr>
            </w:pPr>
          </w:p>
        </w:tc>
      </w:tr>
      <w:tr>
        <w:trPr>
          <w:trHeight w:val="210"/>
        </w:trPr>
        <w:tc>
          <w:tcPr>
            <w:tcW w:w="694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operating activities</w:t>
            </w:r>
          </w:p>
        </w:tc>
        <w:tc>
          <w:tcPr>
            <w:tcW w:w="84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18,224</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18,316</w:t>
            </w:r>
          </w:p>
        </w:tc>
        <w:tc>
          <w:tcPr>
            <w:tcW w:w="120" w:type="dxa"/>
            <w:vAlign w:val="bottom"/>
            <w:tcBorders>
              <w:bottom w:val="single" w:sz="8" w:color="CFF0FC"/>
            </w:tcBorders>
          </w:tcPr>
          <w:p>
            <w:pPr>
              <w:spacing w:after="0"/>
              <w:rPr>
                <w:sz w:val="18"/>
                <w:szCs w:val="18"/>
                <w:color w:val="auto"/>
              </w:rPr>
            </w:pPr>
          </w:p>
        </w:tc>
      </w:tr>
      <w:tr>
        <w:trPr>
          <w:trHeight w:val="209"/>
        </w:trPr>
        <w:tc>
          <w:tcPr>
            <w:tcW w:w="69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Arial" w:cs="Arial" w:eastAsia="Arial" w:hAnsi="Arial"/>
                <w:sz w:val="17"/>
                <w:szCs w:val="17"/>
                <w:color w:val="auto"/>
              </w:rPr>
              <w:t>Purchase of investments</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w w:val="90"/>
              </w:rPr>
              <w:t>(118,726)</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w w:val="93"/>
              </w:rPr>
              <w:t>(175,265)</w:t>
            </w:r>
          </w:p>
        </w:tc>
      </w:tr>
      <w:tr>
        <w:trPr>
          <w:trHeight w:val="216"/>
        </w:trPr>
        <w:tc>
          <w:tcPr>
            <w:tcW w:w="6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Sales of investments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208,132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57,936</w:t>
            </w:r>
          </w:p>
        </w:tc>
        <w:tc>
          <w:tcPr>
            <w:tcW w:w="120" w:type="dxa"/>
            <w:vAlign w:val="bottom"/>
            <w:shd w:val="clear" w:color="auto" w:fill="CFF0FC"/>
          </w:tcPr>
          <w:p>
            <w:pPr>
              <w:spacing w:after="0"/>
              <w:rPr>
                <w:sz w:val="18"/>
                <w:szCs w:val="18"/>
                <w:color w:val="auto"/>
              </w:rPr>
            </w:pPr>
          </w:p>
        </w:tc>
      </w:tr>
      <w:tr>
        <w:trPr>
          <w:trHeight w:val="241"/>
        </w:trPr>
        <w:tc>
          <w:tcPr>
            <w:tcW w:w="6940" w:type="dxa"/>
            <w:vAlign w:val="bottom"/>
          </w:tcPr>
          <w:p>
            <w:pPr>
              <w:ind w:left="260"/>
              <w:spacing w:after="0"/>
              <w:rPr>
                <w:sz w:val="20"/>
                <w:szCs w:val="20"/>
                <w:color w:val="auto"/>
              </w:rPr>
            </w:pPr>
            <w:r>
              <w:rPr>
                <w:rFonts w:ascii="Arial" w:cs="Arial" w:eastAsia="Arial" w:hAnsi="Arial"/>
                <w:sz w:val="17"/>
                <w:szCs w:val="17"/>
                <w:color w:val="auto"/>
              </w:rPr>
              <w:t>Maturities of investments</w:t>
            </w: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4"/>
              </w:rPr>
              <w:t>107,760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92,897</w:t>
            </w:r>
          </w:p>
        </w:tc>
        <w:tc>
          <w:tcPr>
            <w:tcW w:w="120" w:type="dxa"/>
            <w:vAlign w:val="bottom"/>
          </w:tcPr>
          <w:p>
            <w:pPr>
              <w:spacing w:after="0"/>
              <w:rPr>
                <w:sz w:val="20"/>
                <w:szCs w:val="20"/>
                <w:color w:val="auto"/>
              </w:rPr>
            </w:pPr>
          </w:p>
        </w:tc>
      </w:tr>
      <w:tr>
        <w:trPr>
          <w:trHeight w:val="218"/>
        </w:trPr>
        <w:tc>
          <w:tcPr>
            <w:tcW w:w="6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 of tangible and intangible assets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(6,235)</w:t>
            </w: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(1,529)</w:t>
            </w:r>
          </w:p>
        </w:tc>
      </w:tr>
      <w:tr>
        <w:trPr>
          <w:trHeight w:val="210"/>
        </w:trPr>
        <w:tc>
          <w:tcPr>
            <w:tcW w:w="694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(used in) investing activities</w:t>
            </w:r>
          </w:p>
        </w:tc>
        <w:tc>
          <w:tcPr>
            <w:tcW w:w="840" w:type="dxa"/>
            <w:vAlign w:val="bottom"/>
            <w:tcBorders>
              <w:bottom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190,931</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(25,961)</w:t>
            </w:r>
          </w:p>
        </w:tc>
        <w:tc>
          <w:tcPr>
            <w:tcW w:w="120" w:type="dxa"/>
            <w:vAlign w:val="bottom"/>
            <w:tcBorders>
              <w:bottom w:val="single" w:sz="8" w:color="CFF0FC"/>
            </w:tcBorders>
          </w:tcPr>
          <w:p>
            <w:pPr>
              <w:spacing w:after="0"/>
              <w:rPr>
                <w:sz w:val="18"/>
                <w:szCs w:val="18"/>
                <w:color w:val="auto"/>
              </w:rPr>
            </w:pPr>
          </w:p>
        </w:tc>
      </w:tr>
      <w:tr>
        <w:trPr>
          <w:trHeight w:val="210"/>
        </w:trPr>
        <w:tc>
          <w:tcPr>
            <w:tcW w:w="69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940" w:type="dxa"/>
            <w:vAlign w:val="bottom"/>
          </w:tcPr>
          <w:p>
            <w:pPr>
              <w:ind w:left="260"/>
              <w:spacing w:after="0"/>
              <w:rPr>
                <w:sz w:val="20"/>
                <w:szCs w:val="20"/>
                <w:color w:val="auto"/>
              </w:rPr>
            </w:pPr>
            <w:r>
              <w:rPr>
                <w:rFonts w:ascii="Arial" w:cs="Arial" w:eastAsia="Arial" w:hAnsi="Arial"/>
                <w:sz w:val="17"/>
                <w:szCs w:val="17"/>
                <w:color w:val="auto"/>
              </w:rPr>
              <w:t>Stock repurchase</w:t>
            </w: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6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exercise of stock options and employee stock purchase plan</w:t>
            </w:r>
          </w:p>
        </w:tc>
        <w:tc>
          <w:tcPr>
            <w:tcW w:w="8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11,127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6,504</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Arial" w:cs="Arial" w:eastAsia="Arial" w:hAnsi="Arial"/>
                <w:sz w:val="17"/>
                <w:szCs w:val="17"/>
                <w:color w:val="auto"/>
              </w:rPr>
              <w:t>Payment for intangible assets</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(3,796)</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(3,753)</w:t>
            </w:r>
          </w:p>
        </w:tc>
      </w:tr>
      <w:tr>
        <w:trPr>
          <w:trHeight w:val="210"/>
        </w:trPr>
        <w:tc>
          <w:tcPr>
            <w:tcW w:w="69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provided by financing activities</w:t>
            </w:r>
          </w:p>
        </w:tc>
        <w:tc>
          <w:tcPr>
            <w:tcW w:w="8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7,331</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1,751</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4"/>
              </w:rPr>
              <w:t>216,486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(5,894)</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84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4"/>
              </w:rPr>
              <w:t>241,284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231,412</w:t>
            </w:r>
          </w:p>
        </w:tc>
        <w:tc>
          <w:tcPr>
            <w:tcW w:w="120" w:type="dxa"/>
            <w:vAlign w:val="bottom"/>
            <w:shd w:val="clear" w:color="auto" w:fill="CFF0FC"/>
          </w:tcPr>
          <w:p>
            <w:pPr>
              <w:spacing w:after="0"/>
              <w:rPr>
                <w:sz w:val="18"/>
                <w:szCs w:val="18"/>
                <w:color w:val="auto"/>
              </w:rPr>
            </w:pPr>
          </w:p>
        </w:tc>
      </w:tr>
      <w:tr>
        <w:trPr>
          <w:trHeight w:val="250"/>
        </w:trPr>
        <w:tc>
          <w:tcPr>
            <w:tcW w:w="69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cash equivalents and restricted cash at end of period</w:t>
            </w:r>
          </w:p>
        </w:tc>
        <w:tc>
          <w:tcPr>
            <w:tcW w:w="840" w:type="dxa"/>
            <w:vAlign w:val="bottom"/>
            <w:tcBorders>
              <w:bottom w:val="single" w:sz="8" w:color="CFF0FC"/>
            </w:tcBorders>
          </w:tcPr>
          <w:p>
            <w:pPr>
              <w:spacing w:after="0"/>
              <w:rPr>
                <w:sz w:val="21"/>
                <w:szCs w:val="21"/>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457,770</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jc w:val="right"/>
              <w:ind w:right="77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225,518</w:t>
            </w:r>
          </w:p>
        </w:tc>
        <w:tc>
          <w:tcPr>
            <w:tcW w:w="120" w:type="dxa"/>
            <w:vAlign w:val="bottom"/>
            <w:tcBorders>
              <w:bottom w:val="single" w:sz="8" w:color="CFF0FC"/>
            </w:tcBorders>
          </w:tcPr>
          <w:p>
            <w:pPr>
              <w:spacing w:after="0"/>
              <w:rPr>
                <w:sz w:val="21"/>
                <w:szCs w:val="21"/>
                <w:color w:val="auto"/>
              </w:rPr>
            </w:pPr>
          </w:p>
        </w:tc>
      </w:tr>
      <w:tr>
        <w:trPr>
          <w:trHeight w:val="196"/>
        </w:trPr>
        <w:tc>
          <w:tcPr>
            <w:tcW w:w="6940" w:type="dxa"/>
            <w:vAlign w:val="bottom"/>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8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56"/>
        </w:trPr>
        <w:tc>
          <w:tcPr>
            <w:tcW w:w="6940" w:type="dxa"/>
            <w:vAlign w:val="bottom"/>
          </w:tcPr>
          <w:p>
            <w:pPr>
              <w:ind w:left="260"/>
              <w:spacing w:after="0"/>
              <w:rPr>
                <w:sz w:val="20"/>
                <w:szCs w:val="20"/>
                <w:color w:val="auto"/>
              </w:rPr>
            </w:pPr>
            <w:r>
              <w:rPr>
                <w:rFonts w:ascii="Arial" w:cs="Arial" w:eastAsia="Arial" w:hAnsi="Arial"/>
                <w:sz w:val="17"/>
                <w:szCs w:val="17"/>
                <w:color w:val="auto"/>
              </w:rPr>
              <w:t>Cash paid for income taxes</w:t>
            </w:r>
          </w:p>
        </w:tc>
        <w:tc>
          <w:tcPr>
            <w:tcW w:w="1740" w:type="dxa"/>
            <w:vAlign w:val="bottom"/>
            <w:gridSpan w:val="2"/>
          </w:tcPr>
          <w:p>
            <w:pPr>
              <w:jc w:val="right"/>
              <w:ind w:right="747"/>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1,294</w:t>
            </w:r>
          </w:p>
        </w:tc>
        <w:tc>
          <w:tcPr>
            <w:tcW w:w="280" w:type="dxa"/>
            <w:vAlign w:val="bottom"/>
          </w:tcPr>
          <w:p>
            <w:pPr>
              <w:spacing w:after="0"/>
              <w:rPr>
                <w:sz w:val="22"/>
                <w:szCs w:val="22"/>
                <w:color w:val="auto"/>
              </w:rPr>
            </w:pPr>
          </w:p>
        </w:tc>
        <w:tc>
          <w:tcPr>
            <w:tcW w:w="900" w:type="dxa"/>
            <w:vAlign w:val="bottom"/>
            <w:gridSpan w:val="2"/>
          </w:tcPr>
          <w:p>
            <w:pPr>
              <w:jc w:val="right"/>
              <w:ind w:right="772"/>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937</w:t>
            </w:r>
          </w:p>
        </w:tc>
        <w:tc>
          <w:tcPr>
            <w:tcW w:w="120" w:type="dxa"/>
            <w:vAlign w:val="bottom"/>
          </w:tcPr>
          <w:p>
            <w:pPr>
              <w:spacing w:after="0"/>
              <w:rPr>
                <w:sz w:val="22"/>
                <w:szCs w:val="22"/>
                <w:color w:val="auto"/>
              </w:rPr>
            </w:pPr>
          </w:p>
        </w:tc>
      </w:tr>
      <w:tr>
        <w:trPr>
          <w:trHeight w:val="196"/>
        </w:trPr>
        <w:tc>
          <w:tcPr>
            <w:tcW w:w="694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84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6940" w:type="dxa"/>
            <w:vAlign w:val="bottom"/>
          </w:tcPr>
          <w:p>
            <w:pPr>
              <w:ind w:left="260"/>
              <w:spacing w:after="0"/>
              <w:rPr>
                <w:sz w:val="20"/>
                <w:szCs w:val="20"/>
                <w:color w:val="auto"/>
              </w:rPr>
            </w:pPr>
            <w:r>
              <w:rPr>
                <w:rFonts w:ascii="Arial" w:cs="Arial" w:eastAsia="Arial" w:hAnsi="Arial"/>
                <w:sz w:val="17"/>
                <w:szCs w:val="17"/>
                <w:color w:val="auto"/>
              </w:rPr>
              <w:t>Unpaid liabilities related to tangible and intangible assets additions</w:t>
            </w:r>
          </w:p>
        </w:tc>
        <w:tc>
          <w:tcPr>
            <w:tcW w:w="1740" w:type="dxa"/>
            <w:vAlign w:val="bottom"/>
            <w:gridSpan w:val="2"/>
          </w:tcPr>
          <w:p>
            <w:pPr>
              <w:jc w:val="right"/>
              <w:ind w:right="747"/>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1,346</w:t>
            </w:r>
          </w:p>
        </w:tc>
        <w:tc>
          <w:tcPr>
            <w:tcW w:w="280" w:type="dxa"/>
            <w:vAlign w:val="bottom"/>
          </w:tcPr>
          <w:p>
            <w:pPr>
              <w:spacing w:after="0"/>
              <w:rPr>
                <w:sz w:val="18"/>
                <w:szCs w:val="18"/>
                <w:color w:val="auto"/>
              </w:rPr>
            </w:pPr>
          </w:p>
        </w:tc>
        <w:tc>
          <w:tcPr>
            <w:tcW w:w="900" w:type="dxa"/>
            <w:vAlign w:val="bottom"/>
            <w:gridSpan w:val="2"/>
          </w:tcPr>
          <w:p>
            <w:pPr>
              <w:jc w:val="right"/>
              <w:ind w:right="772"/>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3,656</w:t>
            </w:r>
          </w:p>
        </w:tc>
        <w:tc>
          <w:tcPr>
            <w:tcW w:w="12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800"/>
        <w:spacing w:after="0"/>
        <w:rPr>
          <w:sz w:val="20"/>
          <w:szCs w:val="20"/>
          <w:color w:val="auto"/>
        </w:rPr>
      </w:pPr>
      <w:r>
        <w:rPr>
          <w:rFonts w:ascii="Arial" w:cs="Arial" w:eastAsia="Arial" w:hAnsi="Arial"/>
          <w:sz w:val="18"/>
          <w:szCs w:val="18"/>
          <w:b w:val="1"/>
          <w:bCs w:val="1"/>
          <w:color w:val="auto"/>
        </w:rPr>
        <w:t>AMBARELLA, INC.</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Ambarella, Inc. (the “Company”) was incorporated in the Cayman Islands on January 15, 2004. The Company is a leading developer of low-power semiconductor solutions offering high-definition (HD) and Ultra HD compression, image processing, and deep neural network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artificial intelligence (AI) computer vision algorithms, audio processing and system functions onto a single chip, delivering exceptional video and image quality, differentiated functionality and low power consumption. The Company is currently addressing a broad range of human and computer vision applications, including professional and consumer security cameras, automotive cameras such as advanced driver assistance systems (ADAS), electronic mirrors, drive recorders, driver/cabin monitoring systems, autonomous driving, and industrial and robotic applications.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sells its solutions to leading original design manufacturers, or ODMs, and original equipment manufacturers, or OEMs, globally.</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2021 fiscal year filed with the SEC on March 31, 2021 (the “Form 10-K”) and updated, as necessary, in this Form 10-Q. The year-end condensed consolidated balance sheet data presented for comparative purposes was derived from audited financial statements, but does not include all disclosures required by generally accepted accounting principles in the United States (“U.S. GAAP”).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340" w:firstLine="510"/>
        <w:spacing w:after="0" w:line="308" w:lineRule="auto"/>
        <w:rPr>
          <w:sz w:val="20"/>
          <w:szCs w:val="20"/>
          <w:color w:val="auto"/>
        </w:rPr>
      </w:pPr>
      <w:r>
        <w:rPr>
          <w:rFonts w:ascii="Arial" w:cs="Arial" w:eastAsia="Arial" w:hAnsi="Arial"/>
          <w:sz w:val="17"/>
          <w:szCs w:val="17"/>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reported periods. Actual results could differ from those estimates.</w:t>
      </w:r>
    </w:p>
    <w:p>
      <w:pPr>
        <w:spacing w:after="0" w:line="5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On an ongoing basis, management evaluates its estimates and assumptions, including those related to (i) write down of excess and obsolete inventories; (ii) the estimated useful lives of long-lived assets; (iii) the valuation of stock-based compensation awards and financial instruments; (iv) the probability of performance objectives achievement; and (v) the realization of tax assets and estimates of tax liabilities, including reserves for uncertain tax positions. These estimates and assumptions are based on historical experience and on various other factors which the Company believes to be reasonable under the circumstances. The Company may engage third-party valuation specialists to assist with estimates related to the valuation of financial instruments,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jc w:val="both"/>
        <w:ind w:right="40" w:firstLine="510"/>
        <w:spacing w:after="0" w:line="311" w:lineRule="auto"/>
        <w:rPr>
          <w:sz w:val="20"/>
          <w:szCs w:val="20"/>
          <w:color w:val="auto"/>
        </w:rPr>
      </w:pPr>
      <w:r>
        <w:rPr>
          <w:rFonts w:ascii="Arial" w:cs="Arial" w:eastAsia="Arial" w:hAnsi="Arial"/>
          <w:sz w:val="16"/>
          <w:szCs w:val="16"/>
          <w:color w:val="auto"/>
        </w:rPr>
        <w:t>The Company also assessed the impacts of COVID-19 on the above accounting matters as of October 31, 2021 and through the date of issuing this report. While it is difficult to quantify the impact of COVID-19, the future magnitude and duration of COVID-19, as well as other associated factors, could result in material negative impacts to the Company’s condensed consolidated financial statements in future reporting periods.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7" w:lineRule="exact"/>
        <w:rPr>
          <w:sz w:val="20"/>
          <w:szCs w:val="20"/>
          <w:color w:val="auto"/>
        </w:rPr>
      </w:pPr>
    </w:p>
    <w:p>
      <w:pPr>
        <w:jc w:val="both"/>
        <w:ind w:right="100" w:firstLine="510"/>
        <w:spacing w:after="0" w:line="286" w:lineRule="auto"/>
        <w:rPr>
          <w:sz w:val="20"/>
          <w:szCs w:val="20"/>
          <w:color w:val="auto"/>
        </w:rPr>
      </w:pPr>
      <w:r>
        <w:rPr>
          <w:rFonts w:ascii="Arial" w:cs="Arial" w:eastAsia="Arial" w:hAnsi="Arial"/>
          <w:sz w:val="17"/>
          <w:szCs w:val="17"/>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6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 substantial portion of the Company’s revenue is derived from sales through one of its distributors, WT Microelectronics Co., Ltd., formerly Wintech Microelectronics Co., Ltd., or Wintech, which serves as its non-exclusive sales representative in Asia other than Japan, and directly to one ODM customer, Chicony Electronics Co., Ltd., or Chicony. Termination of the relationships with these customers could result in a temporary or permanent loss of revenue. Furthermore, any credit issues from these customers could impair their abilities to make timely payment to the Company. See Note 14 for additional information regarding revenue and credit concentration with these customers.</w:t>
      </w:r>
    </w:p>
    <w:p>
      <w:pPr>
        <w:spacing w:after="0" w:line="188"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asset-backed securities, commercial paper, U.S. government securities and debt securities of corporations which management assesses to be highly liquid. The Company does not hold or issue financial instruments for trading purposes.</w:t>
      </w:r>
    </w:p>
    <w:p>
      <w:pPr>
        <w:spacing w:after="0" w:line="178"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Company adopted Accounting Standards Update (ASU) No. 2016-13, Financial Instruments-Credit Losses (Topic 326): Measurement of Credit Losses on Financial Instruments in fiscal year 2021. As a result, the Company recognizes credit losses based on a forward-looking current expected credit losses (CECL) model, including accounts receivable. The Company’s accounts receivable are recorded at invoiced amount less an allowance for any potentially uncollectible amounts. Accordingly, the Company makes estimates of expected credit losses for the allowance for doubtful accounts based upon its assessment of various factors, including historical collection experience, the age of the accounts receivable balances, credit quality of its customers, current economic conditions, reasonable and supportable forecasts of future economic conditions, and other factors that may affect its ability to collect from customers.</w:t>
      </w:r>
    </w:p>
    <w:p>
      <w:pPr>
        <w:spacing w:after="0" w:line="195"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The Company considers all highly liquid debt security investments with original maturities of less than three months at the time of purchase to be cash equivalents. Debt security investments that are highly liquid with original maturities at the time of purchase greater than three months are considered marketable debt securities. The Company classifies these investments as “available-for-sale” (AFS) securities. The Company estimates the expected losses whenever a security’s fair value is below its amortized cost basis. The expected loss is computed at an individual security level using the discounted cash flow method with the effective interest rate on the purchase date. In the determination of credit-related losses, the Company excludes securities with zero loss expectation such as assets backed by government agencies. There are various factors considered in its assessment of credit-related losses, including the extent to which the fair value is less than the amortized cost basis, adverse conditions related to an industry or an underlying loan obligator, the payment structure of the security, changes to the rating of the security and other factors that may affect the security credit.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income in the condensed consolidated balance sheets. As of October 31, 2021, the Company fully liquidated all of the investments in debt securities and realized all of the gains and losses in the condensed consolidated statements of operations.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44"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Amounts included in restricted cash represent those required to be set aside to secure certain transactions in a foreign entity. The following table presents cash, cash equivalents and restricted cash reported on the condensed consolidated balance sheets, and the sums are presented on the condensed consolidated statements of cash flows: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3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w w:val="98"/>
              </w:rPr>
              <w:t>October 31,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60"/>
              <w:spacing w:after="0" w:line="133" w:lineRule="exact"/>
              <w:rPr>
                <w:sz w:val="20"/>
                <w:szCs w:val="20"/>
                <w:color w:val="auto"/>
              </w:rPr>
            </w:pPr>
            <w:r>
              <w:rPr>
                <w:rFonts w:ascii="Arial" w:cs="Arial" w:eastAsia="Arial" w:hAnsi="Arial"/>
                <w:sz w:val="14"/>
                <w:szCs w:val="14"/>
                <w:b w:val="1"/>
                <w:bCs w:val="1"/>
                <w:color w:val="auto"/>
                <w:w w:val="98"/>
              </w:rPr>
              <w:t>January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57"/>
              <w:spacing w:after="0" w:line="133" w:lineRule="exact"/>
              <w:rPr>
                <w:sz w:val="20"/>
                <w:szCs w:val="20"/>
                <w:color w:val="auto"/>
              </w:rPr>
            </w:pPr>
            <w:r>
              <w:rPr>
                <w:rFonts w:ascii="Arial" w:cs="Arial" w:eastAsia="Arial" w:hAnsi="Arial"/>
                <w:sz w:val="14"/>
                <w:szCs w:val="14"/>
                <w:b w:val="1"/>
                <w:bCs w:val="1"/>
                <w:color w:val="auto"/>
                <w:w w:val="98"/>
              </w:rPr>
              <w:t>October 31,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w w:val="98"/>
              </w:rPr>
              <w:t>January 31,</w:t>
            </w:r>
          </w:p>
        </w:tc>
        <w:tc>
          <w:tcPr>
            <w:tcW w:w="80" w:type="dxa"/>
            <w:vAlign w:val="bottom"/>
          </w:tcPr>
          <w:p>
            <w:pPr>
              <w:spacing w:after="0"/>
              <w:rPr>
                <w:sz w:val="11"/>
                <w:szCs w:val="11"/>
                <w:color w:val="auto"/>
              </w:rPr>
            </w:pPr>
          </w:p>
        </w:tc>
      </w:tr>
      <w:tr>
        <w:trPr>
          <w:trHeight w:val="171"/>
        </w:trPr>
        <w:tc>
          <w:tcPr>
            <w:tcW w:w="3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55"/>
        </w:trPr>
        <w:tc>
          <w:tcPr>
            <w:tcW w:w="3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gridSpan w:val="4"/>
          </w:tcPr>
          <w:p>
            <w:pPr>
              <w:jc w:val="right"/>
              <w:ind w:right="737"/>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43"/>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457,760</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241,274</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225,508</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231,403</w:t>
            </w:r>
          </w:p>
        </w:tc>
        <w:tc>
          <w:tcPr>
            <w:tcW w:w="80" w:type="dxa"/>
            <w:vAlign w:val="bottom"/>
            <w:shd w:val="clear" w:color="auto" w:fill="CFF0FC"/>
          </w:tcPr>
          <w:p>
            <w:pPr>
              <w:spacing w:after="0"/>
              <w:rPr>
                <w:sz w:val="21"/>
                <w:szCs w:val="21"/>
                <w:color w:val="auto"/>
              </w:rPr>
            </w:pPr>
          </w:p>
        </w:tc>
      </w:tr>
      <w:tr>
        <w:trPr>
          <w:trHeight w:val="243"/>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4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FF0FC"/>
            </w:tcBorders>
          </w:tcPr>
          <w:p>
            <w:pPr>
              <w:spacing w:after="0"/>
              <w:rPr>
                <w:sz w:val="21"/>
                <w:szCs w:val="21"/>
                <w:color w:val="auto"/>
              </w:rPr>
            </w:pPr>
          </w:p>
        </w:tc>
      </w:tr>
      <w:tr>
        <w:trPr>
          <w:trHeight w:val="209"/>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 presented in the condensed</w:t>
            </w: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consolidated statements of cash flows</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457,770</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241,284</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225,518</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231,412</w:t>
            </w:r>
          </w:p>
        </w:tc>
        <w:tc>
          <w:tcPr>
            <w:tcW w:w="80" w:type="dxa"/>
            <w:vAlign w:val="bottom"/>
            <w:shd w:val="clear" w:color="auto" w:fill="CFF0FC"/>
          </w:tcPr>
          <w:p>
            <w:pPr>
              <w:spacing w:after="0"/>
              <w:rPr>
                <w:sz w:val="20"/>
                <w:szCs w:val="20"/>
                <w:color w:val="auto"/>
              </w:rPr>
            </w:pPr>
          </w:p>
        </w:tc>
      </w:tr>
      <w:tr>
        <w:trPr>
          <w:trHeight w:val="20"/>
        </w:trPr>
        <w:tc>
          <w:tcPr>
            <w:tcW w:w="33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Company records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 There were no material inventory losses recognized for the three and nine months ended October 31, 2021 and 2020, respectively.</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Software Licenses</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 xml:space="preserve">The Company accounts for a noncancelable on 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w:t>
      </w:r>
      <w:r>
        <w:rPr>
          <w:rFonts w:ascii="Arial" w:cs="Arial" w:eastAsia="Arial" w:hAnsi="Arial"/>
          <w:sz w:val="21"/>
          <w:szCs w:val="21"/>
          <w:color w:val="auto"/>
        </w:rPr>
        <w:t>present</w:t>
      </w:r>
      <w:r>
        <w:rPr>
          <w:rFonts w:ascii="Arial" w:cs="Arial" w:eastAsia="Arial" w:hAnsi="Arial"/>
          <w:sz w:val="18"/>
          <w:szCs w:val="18"/>
          <w:color w:val="auto"/>
        </w:rPr>
        <w:t xml:space="preserve"> value and interest expense is recorded over the payment term.</w:t>
      </w:r>
    </w:p>
    <w:p>
      <w:pPr>
        <w:spacing w:after="0" w:line="6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Company expenses the cost of purchased software that is to be sold, leased or otherwise marketed as part of a product until the technological feasibility of the product has been established or where the software has an alternative future use. Once the technological feasibility of the product, to be externally marketed, has been established or where the software has an alternative future use, the Company capitalizes the cost of purchased software until the associated product is available for general release to customers, at which point the capitalized cost is amortized on a product by product basis over the remaining estimated economic life of the product.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18" w:lineRule="exact"/>
        <w:rPr>
          <w:sz w:val="20"/>
          <w:szCs w:val="20"/>
          <w:color w:val="auto"/>
        </w:rPr>
      </w:pPr>
    </w:p>
    <w:p>
      <w:pPr>
        <w:ind w:right="60" w:firstLine="510"/>
        <w:spacing w:after="0" w:line="272" w:lineRule="auto"/>
        <w:rPr>
          <w:sz w:val="20"/>
          <w:szCs w:val="20"/>
          <w:color w:val="auto"/>
        </w:rPr>
      </w:pPr>
      <w:r>
        <w:rPr>
          <w:rFonts w:ascii="Arial" w:cs="Arial" w:eastAsia="Arial" w:hAnsi="Arial"/>
          <w:sz w:val="19"/>
          <w:szCs w:val="19"/>
          <w:color w:val="auto"/>
        </w:rPr>
        <w:t>The Company adopted Accounting Standards Codification (“ASC”) Topic 842, Leases in fiscal year 2020</w:t>
      </w:r>
      <w:r>
        <w:rPr>
          <w:rFonts w:ascii="Arial" w:cs="Arial" w:eastAsia="Arial" w:hAnsi="Arial"/>
          <w:sz w:val="15"/>
          <w:szCs w:val="15"/>
          <w:color w:val="auto"/>
        </w:rPr>
        <w:t>. As a result, t</w:t>
      </w:r>
      <w:r>
        <w:rPr>
          <w:rFonts w:ascii="Arial" w:cs="Arial" w:eastAsia="Arial" w:hAnsi="Arial"/>
          <w:sz w:val="19"/>
          <w:szCs w:val="19"/>
          <w:color w:val="auto"/>
        </w:rPr>
        <w:t>he Company recognizes leases as operating lease right-of-use (“ROU”) assets and corresponding lease liabilities at the lease commencement date based on the present value of future lease payments, while recognizing lease expenses under straight-line method through the lease term. The Company also elected the practical expedient that does not recognize ROU assets and lease liabilities that arise from short-term (12 months or less) leases. The Company does not combine lease components with non-lease components, and as a result, the non-lease components are accounted for separately. In determining the present value of lease payments, the Company uses the implicit interest rate if readily determinable. When the implicit rate is not readily determinable, the Company uses its incremental borrowing rate based on the information available at the lease commencement date. The Company's leases mainly include its worldwide office facilities which are all classified as operating leases. Certain leases include renewal options that are under the Company's discretion. The renewal options are included in the ROU and liability calculation if it is reasonably certain that the Company will exercise the option. The Company's finance leases were immaterial as of October 31, 2021 and January 31, 2021, respectively</w:t>
      </w:r>
      <w:r>
        <w:rPr>
          <w:rFonts w:ascii="Arial" w:cs="Arial" w:eastAsia="Arial" w:hAnsi="Arial"/>
          <w:sz w:val="15"/>
          <w:szCs w:val="15"/>
          <w:color w:val="auto"/>
        </w:rPr>
        <w:t>.</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In accordance with ASC 606, Revenue from Contracts with Customers, the Company recognizes revenue when control of its goods and services is transferred to its customers.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 w:name="page11"/>
    <w:bookmarkEnd w:id="10"/>
    <w:p>
      <w:pPr>
        <w:ind w:firstLine="510"/>
        <w:spacing w:after="0" w:line="286" w:lineRule="auto"/>
        <w:rPr>
          <w:sz w:val="20"/>
          <w:szCs w:val="20"/>
          <w:color w:val="auto"/>
        </w:rPr>
      </w:pPr>
      <w:r>
        <w:rPr>
          <w:rFonts w:ascii="Arial" w:cs="Arial" w:eastAsia="Arial" w:hAnsi="Arial"/>
          <w:sz w:val="16"/>
          <w:szCs w:val="16"/>
          <w:color w:val="auto"/>
        </w:rPr>
        <w:t>The sale of semiconductor products accounts for the substantial majority of the Company’s consolidated revenue. Sales agreements with customers are renewable periodically and contain terms and conditions with respect to payment, delivery, warranty, supply and other rights. The Company considers an accepted customer purchase order, governed by sales agreement, to be the contract with the customer. For each contract, the Company considers the promise to transfer tangible products to be the identified performance obligation. Product sales contracts may include volume-based tiered pricing or rebates that are fulfilled in cash or product. In determining the transaction price, the Company accounts for the right of returns, cash rebates, commissions and other pricing adjustments as variable consideration, estimates these amounts based on the expected amount to be provided to customers and reduces the revenue recognized. The Company estimates sales returns and rebates based on the Company’s historical patterns of return and pricing credits. As the Company’s standard payment terms are 30 days to 60 days, the contracts have no financing component. Under ASC 606, the Company estimates the total consideration to be received by using the expected value method for each contract, computes weighted average selling price for each unit shipped in cases where there is a material right due to the presence of volume-based tiered pricing, allocates the total consideration between the identified performance obligations, and recognizes revenue when control of its goods and services is transferred to its customers. The Company considers product control to be transferred at a point in time upon shipment or delivery because the Company has a present right to payment at that time, the customer has legal title to the asset, the Company has transferred physical possession of the asset, and the customer has significant risk and rewards of ownership of the asset.</w:t>
      </w:r>
    </w:p>
    <w:p>
      <w:pPr>
        <w:spacing w:after="0" w:line="174"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 Company also enters into fixed-price engineering service agreements with certain customers.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the Company’s SoC into the customer’s product. Accordingly, the Company determines that they are not separately identifiable and shall be treated as a single performance obligation. Customers usually pay based on milestones achieved. Because payments received do not correspond directly with the value of the Company’s performance to date, for fixed-price engineering services arrangements, revenue is recognized using the time-based straight line method, which best depicts the Company’s performance toward complete satisfaction of the performance obligation based on the nature of such professional services. Revenues from engineering service agreements were not material for the three and nine months ended October 31, 2021 and 2020, respectively.</w:t>
      </w:r>
    </w:p>
    <w:p>
      <w:pPr>
        <w:spacing w:after="0" w:line="181"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Timing of revenue recognition may differ from the timing of invoicing to the Company’s customers. The Company records contract assets when revenue is recognized prior to invoicing. The Company’s contract assets are primarily related to satisfied but unbilled performance obligations associated with its engineering service agreements at the reporting date. As of October 31, 2021 and January 31, 2021, the contract assets for these unbilled receivables were not material. The Company’s contract liabilities consist of deferred revenue. The deferred revenue is primarily related to the portion of a transaction price that exceeds the weighted average selling price for products sold to date under tiered-pricing contracts which contain material rights. This deferred revenue is expected to be recognized over the course of the contract when products are delivered for future pricing below the weighted average selling price of the contract. For the three and nine months ended October 31, 2021 and 2020, the Company did not recognize any material revenue adjustment, respectively, related to performance obligations satisfied in prior periods released from this deferred revenue. As of October 31, 2021 and January 31, 2021, the respective deferred revenues were not material. Additionally, the transaction price allocated to unsatisfied, or partially unsatisfied, purchase orders for contracts that are greater than a year was not material as of October 31, 2021 and January 31, 2021, respectively. The Company also elects not to disclose the value of unsatisfied or partially unsatisfied performance obligations due to an original expected contract duration of one year or less and elects to exclude amounts collected from customers for all sales taxes from the transaction price.</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Cost of revenue includes cost of materials, cost associated with packaging and assembly, testing and shipping, cost of personnel, stock-based compensation, logistics and quality assurance, warranty cost, royalty expense, write-downs of inventories and allocation of overhead.</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Research and development costs are expensed as incurred and consist primarily of personnel costs, product development costs, which include engineering services, development software and hardware tools, license fees, costs of fabrication of masks for prototype products, other development materials costs, depreciation of equipment and tools and allocation of facility costs, net of any research and development grants. As of October 31, 2021, there was approximately $1.4 million of grants recorded in prepaid expenses and other current assets and approximately $0.9 million of grants recorded in other non-current assets in the condensed consolidated balance sheets.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Company records income taxes using the asset and liability method, which requires the recognition of deferred tax assets and liabilities for the expected future tax consequences of events that have been recognized in its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7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Company applies authoritative guidance for the accounting for uncertainty in income taxes. The guidance requires that tax effects of a position be recognized only if it is “more likely than not” to be sustained based solely on its technical merits as of the reporting date. Upon estimating its tax positions and tax benefits, the Company considers and evaluates numerous factors, which may require periodic adjustments and which may not reflect the final tax liabilities. The Company adjusts its financial statements to reflect only those tax positions that are more likely than not to be sustained under examination.</w:t>
      </w:r>
    </w:p>
    <w:p>
      <w:pPr>
        <w:spacing w:after="0" w:line="80"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As part of the process of preparing condensed consolidated financial statements, the Company is required to estimate its taxes in each of the jurisdictions in which it operates. The Company estimates actual current tax exposure together with assessing temporary differences resulting from differing treatment of items, such as accruals and allowances not currently deductible for tax purposes. These differences result in deferred tax assets, which are included in the condensed consolidated balance sheets. In general, deferred tax assets represent future tax benefits to be received when certain expenses previously recognized in the condensed consolidated statements of operations become deductible expenses under applicable income tax laws, or loss or credit carryforwards are utilized.</w:t>
      </w:r>
    </w:p>
    <w:p>
      <w:pPr>
        <w:spacing w:after="0" w:line="84" w:lineRule="exact"/>
        <w:rPr>
          <w:sz w:val="20"/>
          <w:szCs w:val="20"/>
          <w:color w:val="auto"/>
        </w:rPr>
      </w:pPr>
    </w:p>
    <w:p>
      <w:pPr>
        <w:ind w:right="460" w:firstLine="510"/>
        <w:spacing w:after="0" w:line="342" w:lineRule="auto"/>
        <w:rPr>
          <w:sz w:val="20"/>
          <w:szCs w:val="20"/>
          <w:color w:val="auto"/>
        </w:rPr>
      </w:pPr>
      <w:r>
        <w:rPr>
          <w:rFonts w:ascii="Arial" w:cs="Arial" w:eastAsia="Arial" w:hAnsi="Arial"/>
          <w:sz w:val="16"/>
          <w:szCs w:val="16"/>
          <w:color w:val="auto"/>
        </w:rPr>
        <w:t>In assessing whether deferred tax assets may be realized, the Company considers whether it is more likely than not that some portion or all of deferred tax assets will be realized. The ultimate realization of deferred tax assets is dependent upon the generation of future taxable income.</w:t>
      </w:r>
    </w:p>
    <w:p>
      <w:pPr>
        <w:spacing w:after="0" w:line="12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Company makes estimates and judgments about its future taxable income based on assumptions that are consistent with its plans and estimates. Should the actual amounts differ from estimates, the amount of valuation allowance could be materially impacted. Any adjustment to the deferred tax asset valuation allowance would be recorded in the condensed consolidated statements of operations for the periods in which the adjustment is determined to be required.</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1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Basic earnings (losses) per share is computed by dividing net income (loss) available to ordinary shareholders by the weighted-average number of ordinary shares outstanding during the period. Diluted earnings (losses) per share is computed by dividing net income (loss) available to ordinary shareholders by the weighted-average number of ordinary shares outstanding during the period increased to include the number of additional ordinary shares that would have been outstanding if the potentially dilutive securities had been issued. Potentially dilutive securities include outstanding stock options, shares to be purchased under the Company’s employee stock purchase plan and unvested restricted stock units. The dilutive effect of potentially dilutive securities is reflected in diluted earnings (losses) per share by application of the treasury stock method.</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Comprehensive income (loss) includes unrealized gains or losses, net from available-for-sale securities that are excluded from net income (loss).</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12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Company invests a portion of its cash in debt securities that are denominated in United States dollars. The investment portfolio consists of money market funds, asset-backed securities, commercial paper, U.S. government securities, and debt securities of corporations. All of the investments are classified as available-for-sale securities and reported at fair value in the condensed consolidated balance sheets. As of October 31, 2021, the Company fully liquidated all of the investments and reported the remaining cash equivalents in the condensed consolidated balance sheets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left="95"/>
              <w:spacing w:after="0"/>
              <w:rPr>
                <w:sz w:val="20"/>
                <w:szCs w:val="20"/>
                <w:color w:val="auto"/>
              </w:rPr>
            </w:pPr>
            <w:r>
              <w:rPr>
                <w:rFonts w:ascii="Arial" w:cs="Arial" w:eastAsia="Arial" w:hAnsi="Arial"/>
                <w:sz w:val="14"/>
                <w:szCs w:val="14"/>
                <w:b w:val="1"/>
                <w:bCs w:val="1"/>
                <w:color w:val="auto"/>
                <w:w w:val="91"/>
              </w:rPr>
              <w:t>As of October 31, 2021</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1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2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1"/>
              </w:rPr>
              <w:t>Unrealized Gains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Unrealized 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11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4"/>
          </w:tcPr>
          <w:p>
            <w:pPr>
              <w:jc w:val="center"/>
              <w:ind w:left="95"/>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8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5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58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gridSpan w:val="2"/>
          </w:tcPr>
          <w:p>
            <w:pPr>
              <w:jc w:val="center"/>
              <w:ind w:right="190"/>
              <w:spacing w:after="0"/>
              <w:rPr>
                <w:sz w:val="20"/>
                <w:szCs w:val="20"/>
                <w:color w:val="auto"/>
              </w:rPr>
            </w:pPr>
            <w:r>
              <w:rPr>
                <w:rFonts w:ascii="Arial" w:cs="Arial" w:eastAsia="Arial" w:hAnsi="Arial"/>
                <w:sz w:val="18"/>
                <w:szCs w:val="18"/>
                <w:color w:val="auto"/>
                <w:w w:val="88"/>
              </w:rPr>
              <w:t>Total cash equivalents and marketable debt securities</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1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left="75"/>
              <w:spacing w:after="0"/>
              <w:rPr>
                <w:sz w:val="20"/>
                <w:szCs w:val="20"/>
                <w:color w:val="auto"/>
              </w:rPr>
            </w:pPr>
            <w:r>
              <w:rPr>
                <w:rFonts w:ascii="Arial" w:cs="Arial" w:eastAsia="Arial" w:hAnsi="Arial"/>
                <w:sz w:val="14"/>
                <w:szCs w:val="14"/>
                <w:b w:val="1"/>
                <w:bCs w:val="1"/>
                <w:color w:val="auto"/>
                <w:w w:val="92"/>
              </w:rPr>
              <w:t>As of January 31, 2021</w:t>
            </w: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2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1"/>
              </w:rPr>
              <w:t>Unrealized Gains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Unrealized 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5"/>
        </w:trPr>
        <w:tc>
          <w:tcPr>
            <w:tcW w:w="11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4"/>
          </w:tcPr>
          <w:p>
            <w:pPr>
              <w:jc w:val="center"/>
              <w:ind w:left="95"/>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8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r>
      <w:tr>
        <w:trPr>
          <w:trHeight w:val="229"/>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66,181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66,181</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102,108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103,081</w:t>
            </w:r>
          </w:p>
        </w:tc>
        <w:tc>
          <w:tcPr>
            <w:tcW w:w="100" w:type="dxa"/>
            <w:vAlign w:val="bottom"/>
          </w:tcPr>
          <w:p>
            <w:pPr>
              <w:spacing w:after="0"/>
              <w:rPr>
                <w:sz w:val="19"/>
                <w:szCs w:val="19"/>
                <w:color w:val="auto"/>
              </w:rPr>
            </w:pPr>
          </w:p>
        </w:tc>
      </w:tr>
      <w:tr>
        <w:trPr>
          <w:trHeight w:val="229"/>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15,740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U.S. government securities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29,383</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29,465</w:t>
            </w:r>
          </w:p>
        </w:tc>
        <w:tc>
          <w:tcPr>
            <w:tcW w:w="100" w:type="dxa"/>
            <w:vAlign w:val="bottom"/>
            <w:tcBorders>
              <w:bottom w:val="single" w:sz="8" w:color="CFF0FC"/>
            </w:tcBorders>
          </w:tcPr>
          <w:p>
            <w:pPr>
              <w:spacing w:after="0"/>
              <w:rPr>
                <w:sz w:val="19"/>
                <w:szCs w:val="19"/>
                <w:color w:val="auto"/>
              </w:rPr>
            </w:pPr>
          </w:p>
        </w:tc>
      </w:tr>
      <w:tr>
        <w:trPr>
          <w:trHeight w:val="223"/>
        </w:trPr>
        <w:tc>
          <w:tcPr>
            <w:tcW w:w="4580" w:type="dxa"/>
            <w:vAlign w:val="bottom"/>
            <w:gridSpan w:val="2"/>
            <w:shd w:val="clear" w:color="auto" w:fill="CFF0FC"/>
          </w:tcPr>
          <w:p>
            <w:pPr>
              <w:jc w:val="center"/>
              <w:ind w:right="190"/>
              <w:spacing w:after="0"/>
              <w:rPr>
                <w:sz w:val="20"/>
                <w:szCs w:val="20"/>
                <w:color w:val="auto"/>
              </w:rPr>
            </w:pPr>
            <w:r>
              <w:rPr>
                <w:rFonts w:ascii="Arial" w:cs="Arial" w:eastAsia="Arial" w:hAnsi="Arial"/>
                <w:sz w:val="18"/>
                <w:szCs w:val="18"/>
                <w:color w:val="auto"/>
                <w:w w:val="88"/>
              </w:rPr>
              <w:t>Total cash equivalents and marketable debt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213,583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214,802</w:t>
            </w:r>
          </w:p>
        </w:tc>
        <w:tc>
          <w:tcPr>
            <w:tcW w:w="100" w:type="dxa"/>
            <w:vAlign w:val="bottom"/>
            <w:shd w:val="clear" w:color="auto" w:fill="CFF0FC"/>
          </w:tcPr>
          <w:p>
            <w:pPr>
              <w:spacing w:after="0"/>
              <w:rPr>
                <w:sz w:val="19"/>
                <w:szCs w:val="19"/>
                <w:color w:val="auto"/>
              </w:rPr>
            </w:pPr>
          </w:p>
        </w:tc>
      </w:tr>
      <w:tr>
        <w:trPr>
          <w:trHeight w:val="20"/>
        </w:trPr>
        <w:tc>
          <w:tcPr>
            <w:tcW w:w="1120" w:type="dxa"/>
            <w:vAlign w:val="bottom"/>
            <w:tcBorders>
              <w:top w:val="single" w:sz="8" w:color="CFF0FC"/>
            </w:tcBorders>
          </w:tcPr>
          <w:p>
            <w:pPr>
              <w:spacing w:after="0" w:line="20" w:lineRule="exact"/>
              <w:rPr>
                <w:sz w:val="1"/>
                <w:szCs w:val="1"/>
                <w:color w:val="auto"/>
              </w:rPr>
            </w:pPr>
          </w:p>
        </w:tc>
        <w:tc>
          <w:tcPr>
            <w:tcW w:w="34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642"/>
        </w:trPr>
        <w:tc>
          <w:tcPr>
            <w:tcW w:w="1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b w:val="1"/>
                <w:bCs w:val="1"/>
                <w:color w:val="auto"/>
                <w:w w:val="91"/>
              </w:rPr>
              <w:t>As of</w:t>
            </w: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4"/>
                <w:szCs w:val="14"/>
                <w:b w:val="1"/>
                <w:bCs w:val="1"/>
                <w:color w:val="auto"/>
                <w:w w:val="94"/>
              </w:rPr>
              <w:t>October 31, 2021</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January 31, 2021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5"/>
        </w:trPr>
        <w:tc>
          <w:tcPr>
            <w:tcW w:w="11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43"/>
        </w:trPr>
        <w:tc>
          <w:tcPr>
            <w:tcW w:w="1120" w:type="dxa"/>
            <w:vAlign w:val="bottom"/>
          </w:tcPr>
          <w:p>
            <w:pPr>
              <w:spacing w:after="0"/>
              <w:rPr>
                <w:sz w:val="21"/>
                <w:szCs w:val="21"/>
                <w:color w:val="auto"/>
              </w:rPr>
            </w:pPr>
          </w:p>
        </w:tc>
        <w:tc>
          <w:tcPr>
            <w:tcW w:w="3460" w:type="dxa"/>
            <w:vAlign w:val="bottom"/>
            <w:shd w:val="clear" w:color="auto" w:fill="CFF0FC"/>
          </w:tcPr>
          <w:p>
            <w:pPr>
              <w:jc w:val="center"/>
              <w:ind w:right="1330"/>
              <w:spacing w:after="0"/>
              <w:rPr>
                <w:sz w:val="20"/>
                <w:szCs w:val="20"/>
                <w:color w:val="auto"/>
              </w:rPr>
            </w:pPr>
            <w:r>
              <w:rPr>
                <w:rFonts w:ascii="Arial" w:cs="Arial" w:eastAsia="Arial" w:hAnsi="Arial"/>
                <w:sz w:val="18"/>
                <w:szCs w:val="18"/>
                <w:color w:val="auto"/>
                <w:w w:val="90"/>
              </w:rPr>
              <w:t>Included in cash equivalents</w:t>
            </w:r>
          </w:p>
        </w:tc>
        <w:tc>
          <w:tcPr>
            <w:tcW w:w="5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15,368</w:t>
            </w:r>
          </w:p>
        </w:tc>
        <w:tc>
          <w:tcPr>
            <w:tcW w:w="8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580" w:type="dxa"/>
            <w:vAlign w:val="bottom"/>
            <w:gridSpan w:val="2"/>
          </w:tcPr>
          <w:p>
            <w:pPr>
              <w:ind w:left="1120"/>
              <w:spacing w:after="0"/>
              <w:rPr>
                <w:sz w:val="20"/>
                <w:szCs w:val="20"/>
                <w:color w:val="auto"/>
              </w:rPr>
            </w:pPr>
            <w:r>
              <w:rPr>
                <w:rFonts w:ascii="Arial" w:cs="Arial" w:eastAsia="Arial" w:hAnsi="Arial"/>
                <w:sz w:val="18"/>
                <w:szCs w:val="18"/>
                <w:color w:val="auto"/>
              </w:rPr>
              <w:t>Included in marketable debt securities</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199,434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120" w:type="dxa"/>
            <w:vAlign w:val="bottom"/>
          </w:tcPr>
          <w:p>
            <w:pPr>
              <w:spacing w:after="0" w:line="20" w:lineRule="exact"/>
              <w:rPr>
                <w:sz w:val="1"/>
                <w:szCs w:val="1"/>
                <w:color w:val="auto"/>
              </w:rPr>
            </w:pPr>
          </w:p>
        </w:tc>
        <w:tc>
          <w:tcPr>
            <w:tcW w:w="4260" w:type="dxa"/>
            <w:vAlign w:val="bottom"/>
            <w:gridSpan w:val="3"/>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120" w:type="dxa"/>
            <w:vAlign w:val="bottom"/>
          </w:tcPr>
          <w:p>
            <w:pPr>
              <w:spacing w:after="0"/>
              <w:rPr>
                <w:sz w:val="20"/>
                <w:szCs w:val="20"/>
                <w:color w:val="auto"/>
              </w:rPr>
            </w:pPr>
          </w:p>
        </w:tc>
        <w:tc>
          <w:tcPr>
            <w:tcW w:w="4260" w:type="dxa"/>
            <w:vAlign w:val="bottom"/>
            <w:gridSpan w:val="3"/>
            <w:shd w:val="clear" w:color="auto" w:fill="CFF0FC"/>
          </w:tcPr>
          <w:p>
            <w:pPr>
              <w:jc w:val="right"/>
              <w:ind w:right="127"/>
              <w:spacing w:after="0"/>
              <w:rPr>
                <w:sz w:val="20"/>
                <w:szCs w:val="20"/>
                <w:color w:val="auto"/>
              </w:rPr>
            </w:pPr>
            <w:r>
              <w:rPr>
                <w:rFonts w:ascii="Arial" w:cs="Arial" w:eastAsia="Arial" w:hAnsi="Arial"/>
                <w:sz w:val="18"/>
                <w:szCs w:val="18"/>
                <w:color w:val="auto"/>
                <w:w w:val="94"/>
              </w:rPr>
              <w:t>Total cash equivalents and marketable debt securities</w:t>
            </w: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214,802</w:t>
            </w:r>
          </w:p>
        </w:tc>
        <w:tc>
          <w:tcPr>
            <w:tcW w:w="8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34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contractual maturities of the investments at October 31, 2021 and January 31, 2021 were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4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2021</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8"/>
              </w:rPr>
              <w:t>January 31, 2021</w:t>
            </w:r>
          </w:p>
        </w:tc>
        <w:tc>
          <w:tcPr>
            <w:tcW w:w="100" w:type="dxa"/>
            <w:vAlign w:val="bottom"/>
          </w:tcPr>
          <w:p>
            <w:pPr>
              <w:spacing w:after="0"/>
              <w:rPr>
                <w:sz w:val="19"/>
                <w:szCs w:val="19"/>
                <w:color w:val="auto"/>
              </w:rPr>
            </w:pPr>
          </w:p>
        </w:tc>
      </w:tr>
      <w:tr>
        <w:trPr>
          <w:trHeight w:val="223"/>
        </w:trPr>
        <w:tc>
          <w:tcPr>
            <w:tcW w:w="4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360" w:type="dxa"/>
            <w:vAlign w:val="bottom"/>
            <w:gridSpan w:val="6"/>
          </w:tcPr>
          <w:p>
            <w:pPr>
              <w:ind w:left="118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2080" w:type="dxa"/>
            <w:vAlign w:val="bottom"/>
            <w:gridSpan w:val="2"/>
            <w:shd w:val="clear" w:color="auto" w:fill="CFF0FC"/>
          </w:tcPr>
          <w:p>
            <w:pPr>
              <w:jc w:val="right"/>
              <w:ind w:right="114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135,899</w:t>
            </w:r>
          </w:p>
        </w:tc>
        <w:tc>
          <w:tcPr>
            <w:tcW w:w="100" w:type="dxa"/>
            <w:vAlign w:val="bottom"/>
            <w:shd w:val="clear" w:color="auto" w:fill="CFF0FC"/>
          </w:tcPr>
          <w:p>
            <w:pPr>
              <w:spacing w:after="0"/>
              <w:rPr>
                <w:sz w:val="21"/>
                <w:szCs w:val="21"/>
                <w:color w:val="auto"/>
              </w:rPr>
            </w:pPr>
          </w:p>
        </w:tc>
      </w:tr>
      <w:tr>
        <w:trPr>
          <w:trHeight w:val="243"/>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within one to three years</w:t>
            </w:r>
          </w:p>
        </w:tc>
        <w:tc>
          <w:tcPr>
            <w:tcW w:w="780" w:type="dxa"/>
            <w:vAlign w:val="bottom"/>
            <w:tcBorders>
              <w:bottom w:val="single" w:sz="8" w:color="CFF0FC"/>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78,903</w:t>
            </w:r>
          </w:p>
        </w:tc>
        <w:tc>
          <w:tcPr>
            <w:tcW w:w="100" w:type="dxa"/>
            <w:vAlign w:val="bottom"/>
            <w:tcBorders>
              <w:bottom w:val="single" w:sz="8" w:color="CFF0FC"/>
            </w:tcBorders>
          </w:tcPr>
          <w:p>
            <w:pPr>
              <w:spacing w:after="0"/>
              <w:rPr>
                <w:sz w:val="21"/>
                <w:szCs w:val="21"/>
                <w:color w:val="auto"/>
              </w:rPr>
            </w:pPr>
          </w:p>
        </w:tc>
      </w:tr>
      <w:tr>
        <w:trPr>
          <w:trHeight w:val="237"/>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2080" w:type="dxa"/>
            <w:vAlign w:val="bottom"/>
            <w:gridSpan w:val="2"/>
            <w:shd w:val="clear" w:color="auto" w:fill="CFF0FC"/>
          </w:tcPr>
          <w:p>
            <w:pPr>
              <w:jc w:val="right"/>
              <w:ind w:right="114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214,802</w:t>
            </w:r>
          </w:p>
        </w:tc>
        <w:tc>
          <w:tcPr>
            <w:tcW w:w="100" w:type="dxa"/>
            <w:vAlign w:val="bottom"/>
            <w:shd w:val="clear" w:color="auto" w:fill="CFF0FC"/>
          </w:tcPr>
          <w:p>
            <w:pPr>
              <w:spacing w:after="0"/>
              <w:rPr>
                <w:sz w:val="20"/>
                <w:szCs w:val="20"/>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unrealized gains and losses on the available-for-sale securities were primarily caused by fluctuations in market value and interest rates as a result of the economic environment. In accordance with ASU No. 2016-13, Financial Instruments-Credit Losses (Topic 326): Measurement of Credit Losses on Financial Instruments, the Company estimates the expected losses at an individual security level whenever a security’s fair value is below its amortized cost basis using the discounted cash flow method.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income in the condensed consolidated balance sheets. The credit-related losses were not material for the three and nine months ended October 31, 2020, respectively. As of October 31, 2021, the Company fully liquidated all of the investment in debt securities and realized all of the gains and losses in the condensed consolidated statement of operations.</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3" w:name="page14"/>
    <w:bookmarkEnd w:id="13"/>
    <w:p>
      <w:pPr>
        <w:jc w:val="both"/>
        <w:ind w:right="60" w:firstLine="510"/>
        <w:spacing w:after="0" w:line="277" w:lineRule="auto"/>
        <w:rPr>
          <w:sz w:val="20"/>
          <w:szCs w:val="20"/>
          <w:color w:val="auto"/>
        </w:rPr>
      </w:pPr>
      <w:r>
        <w:rPr>
          <w:rFonts w:ascii="Arial" w:cs="Arial" w:eastAsia="Arial" w:hAnsi="Arial"/>
          <w:sz w:val="18"/>
          <w:szCs w:val="18"/>
          <w:color w:val="auto"/>
        </w:rPr>
        <w:t>The following fair value hierarchy is applied for disclosure of the inputs used to measure fair value. This hierarchy prioritizes the inputs into three broad levels as follows: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117" w:lineRule="exact"/>
        <w:rPr>
          <w:sz w:val="20"/>
          <w:szCs w:val="20"/>
          <w:color w:val="auto"/>
        </w:rPr>
      </w:pPr>
    </w:p>
    <w:p>
      <w:pPr>
        <w:jc w:val="both"/>
        <w:ind w:right="100" w:firstLine="510"/>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62"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Level 3—Unobservable inputs based on the Company’s own assumptions used to measure assets and liabilities at fair value. The inputs require significant management judgment or estimation.</w:t>
      </w:r>
    </w:p>
    <w:p>
      <w:pPr>
        <w:spacing w:after="0" w:line="170"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8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tables present the fair value of the financial instruments measured on a recurring basis as of October 31, 2021 and January 31, 2021, respectively:</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2"/>
              </w:rPr>
              <w:t>As of October 31, 2021</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3"/>
                <w:szCs w:val="13"/>
                <w:color w:val="auto"/>
              </w:rPr>
            </w:pPr>
          </w:p>
        </w:tc>
      </w:tr>
      <w:tr>
        <w:trPr>
          <w:trHeight w:val="156"/>
        </w:trPr>
        <w:tc>
          <w:tcPr>
            <w:tcW w:w="4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4"/>
          </w:tcPr>
          <w:p>
            <w:pPr>
              <w:jc w:val="center"/>
              <w:ind w:right="93"/>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4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r>
      <w:tr>
        <w:trPr>
          <w:trHeight w:val="223"/>
        </w:trPr>
        <w:tc>
          <w:tcPr>
            <w:tcW w:w="4340" w:type="dxa"/>
            <w:vAlign w:val="bottom"/>
          </w:tcPr>
          <w:p>
            <w:pPr>
              <w:ind w:left="240"/>
              <w:spacing w:after="0"/>
              <w:rPr>
                <w:sz w:val="20"/>
                <w:szCs w:val="20"/>
                <w:color w:val="auto"/>
              </w:rPr>
            </w:pPr>
            <w:r>
              <w:rPr>
                <w:rFonts w:ascii="Arial" w:cs="Arial" w:eastAsia="Arial" w:hAnsi="Arial"/>
                <w:sz w:val="18"/>
                <w:szCs w:val="18"/>
                <w:color w:val="auto"/>
                <w:w w:val="95"/>
              </w:rPr>
              <w:t>Total cash equivalents and marketable debt securities</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4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2"/>
              </w:rPr>
              <w:t>As of January 31, 2021</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5"/>
        </w:trPr>
        <w:tc>
          <w:tcPr>
            <w:tcW w:w="4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3"/>
                <w:szCs w:val="13"/>
                <w:color w:val="auto"/>
              </w:rPr>
            </w:pPr>
          </w:p>
        </w:tc>
      </w:tr>
      <w:tr>
        <w:trPr>
          <w:trHeight w:val="155"/>
        </w:trPr>
        <w:tc>
          <w:tcPr>
            <w:tcW w:w="4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4"/>
          </w:tcPr>
          <w:p>
            <w:pPr>
              <w:jc w:val="center"/>
              <w:ind w:right="93"/>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Money market funds</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171</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66,181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66,181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103,081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103,081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29,465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29,465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23"/>
        </w:trPr>
        <w:tc>
          <w:tcPr>
            <w:tcW w:w="43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5"/>
              </w:rPr>
              <w:t>Total cash equivalents and marketable debt securities</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214,802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214,631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at October 31, 2021 and January 31, 2021 consisted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2021</w:t>
            </w: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2021</w:t>
            </w:r>
          </w:p>
        </w:tc>
      </w:tr>
      <w:tr>
        <w:trPr>
          <w:trHeight w:val="155"/>
        </w:trPr>
        <w:tc>
          <w:tcPr>
            <w:tcW w:w="4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960" w:type="dxa"/>
            <w:vAlign w:val="bottom"/>
            <w:tcBorders>
              <w:top w:val="single" w:sz="8" w:color="auto"/>
            </w:tcBorders>
            <w:gridSpan w:val="4"/>
          </w:tcPr>
          <w:p>
            <w:pPr>
              <w:jc w:val="right"/>
              <w:ind w:right="1035"/>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Work-in-progress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18,219</w:t>
            </w:r>
          </w:p>
        </w:tc>
        <w:tc>
          <w:tcPr>
            <w:tcW w:w="80" w:type="dxa"/>
            <w:vAlign w:val="bottom"/>
            <w:shd w:val="clear" w:color="auto" w:fill="CFF0FC"/>
          </w:tcPr>
          <w:p>
            <w:pPr>
              <w:spacing w:after="0"/>
              <w:rPr>
                <w:sz w:val="19"/>
                <w:szCs w:val="19"/>
                <w:color w:val="auto"/>
              </w:rPr>
            </w:pPr>
          </w:p>
        </w:tc>
      </w:tr>
      <w:tr>
        <w:trPr>
          <w:trHeight w:val="230"/>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16,799</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7,862</w:t>
            </w:r>
          </w:p>
        </w:tc>
        <w:tc>
          <w:tcPr>
            <w:tcW w:w="80" w:type="dxa"/>
            <w:vAlign w:val="bottom"/>
            <w:tcBorders>
              <w:bottom w:val="single" w:sz="8" w:color="CFF0FC"/>
            </w:tcBorders>
          </w:tcPr>
          <w:p>
            <w:pPr>
              <w:spacing w:after="0"/>
              <w:rPr>
                <w:sz w:val="19"/>
                <w:szCs w:val="19"/>
                <w:color w:val="auto"/>
              </w:rPr>
            </w:pPr>
          </w:p>
        </w:tc>
      </w:tr>
      <w:tr>
        <w:trPr>
          <w:trHeight w:val="223"/>
        </w:trPr>
        <w:tc>
          <w:tcPr>
            <w:tcW w:w="46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47,039</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26,081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Depreciation expense was approximately $0.7 million and $0.6 million for the three months ended October 31, 2021 and 2020, respectively, and was approximately $1.9 million and $1.9 million for the nine months ended October 31, 2021 and 2020, respectively. Property and equipment at October 31, 2021 and January 31, 2021 consisted of the following:</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October 31, 2021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January 31, 2021</w:t>
            </w:r>
          </w:p>
        </w:tc>
      </w:tr>
      <w:tr>
        <w:trPr>
          <w:trHeight w:val="156"/>
        </w:trPr>
        <w:tc>
          <w:tcPr>
            <w:tcW w:w="4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gridSpan w:val="5"/>
          </w:tcPr>
          <w:p>
            <w:pPr>
              <w:jc w:val="right"/>
              <w:ind w:right="932"/>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14,316</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11,525</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7,368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6,946</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2,237</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FF0FC"/>
          </w:tcPr>
          <w:p>
            <w:pPr>
              <w:spacing w:after="0"/>
              <w:rPr>
                <w:sz w:val="19"/>
                <w:szCs w:val="19"/>
                <w:color w:val="auto"/>
              </w:rPr>
            </w:pPr>
          </w:p>
        </w:tc>
      </w:tr>
      <w:tr>
        <w:trPr>
          <w:trHeight w:val="223"/>
        </w:trPr>
        <w:tc>
          <w:tcPr>
            <w:tcW w:w="4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26,882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22,008</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(18,384)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(16,478)</w:t>
            </w:r>
          </w:p>
        </w:tc>
      </w:tr>
      <w:tr>
        <w:trPr>
          <w:trHeight w:val="223"/>
        </w:trPr>
        <w:tc>
          <w:tcPr>
            <w:tcW w:w="4200" w:type="dxa"/>
            <w:vAlign w:val="bottom"/>
          </w:tcPr>
          <w:p>
            <w:pPr>
              <w:ind w:left="240"/>
              <w:spacing w:after="0"/>
              <w:rPr>
                <w:sz w:val="20"/>
                <w:szCs w:val="20"/>
                <w:color w:val="auto"/>
              </w:rPr>
            </w:pPr>
            <w:r>
              <w:rPr>
                <w:rFonts w:ascii="Arial" w:cs="Arial" w:eastAsia="Arial" w:hAnsi="Arial"/>
                <w:sz w:val="18"/>
                <w:szCs w:val="18"/>
                <w:color w:val="auto"/>
              </w:rPr>
              <w:t>Total property and equipment, net</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5,530</w:t>
            </w:r>
          </w:p>
        </w:tc>
        <w:tc>
          <w:tcPr>
            <w:tcW w:w="8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Net</w:t>
      </w:r>
    </w:p>
    <w:p>
      <w:pPr>
        <w:spacing w:after="0" w:line="12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intangible assets primarily consist of $4.0 million of developed technology and $11.3 million of software licenses, net of amortization expense. In the third quarter of fiscal year 2022, the Company determined that the underlying project incorporating the in-process research and development (“IPR&amp;D”) from the acquisition of VisLab S.r.l., or VisLab, was completed. As a result, the acquired $4.1 million of IPR&amp;D was reclassified as definite-lived developed technology and will amortize over its estimated economic life of 7 years.</w:t>
      </w:r>
    </w:p>
    <w:p>
      <w:pPr>
        <w:spacing w:after="0" w:line="79"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The Company enters into certain software license agreements with third parties from time-to-time. The software licenses consist of noncancelable on premise internal-use software and software with alternative use that is to be sold, leased or otherwise marketed as part of a product. The licenses have been capitalized as intangible assets, and the corresponding future payments have been recorded as liabilities at net present value. As of October 31, 2021, $5.7 million was recorded in accrued and other current liabilities and $2.6 million was recorded in other long-term liabilities in the condensed consolidated balance sheets. The carrying amounts of intangible assets as of October 31, 2021 and January 31, 2021 were as follows:</w:t>
      </w:r>
    </w:p>
    <w:p>
      <w:pPr>
        <w:spacing w:after="0" w:line="3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gridSpan w:val="8"/>
          </w:tcPr>
          <w:p>
            <w:pPr>
              <w:jc w:val="right"/>
              <w:ind w:right="538"/>
              <w:spacing w:after="0"/>
              <w:rPr>
                <w:sz w:val="20"/>
                <w:szCs w:val="20"/>
                <w:color w:val="auto"/>
              </w:rPr>
            </w:pPr>
            <w:r>
              <w:rPr>
                <w:rFonts w:ascii="Arial" w:cs="Arial" w:eastAsia="Arial" w:hAnsi="Arial"/>
                <w:sz w:val="14"/>
                <w:szCs w:val="14"/>
                <w:b w:val="1"/>
                <w:bCs w:val="1"/>
                <w:color w:val="auto"/>
              </w:rPr>
              <w:t>As of October 31, 2021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9"/>
          </w:tcPr>
          <w:p>
            <w:pPr>
              <w:ind w:left="500"/>
              <w:spacing w:after="0"/>
              <w:rPr>
                <w:sz w:val="20"/>
                <w:szCs w:val="20"/>
                <w:color w:val="auto"/>
              </w:rPr>
            </w:pPr>
            <w:r>
              <w:rPr>
                <w:rFonts w:ascii="Arial" w:cs="Arial" w:eastAsia="Arial" w:hAnsi="Arial"/>
                <w:sz w:val="14"/>
                <w:szCs w:val="14"/>
                <w:b w:val="1"/>
                <w:bCs w:val="1"/>
                <w:color w:val="auto"/>
              </w:rPr>
              <w:t>As of January 31, 2021</w:t>
            </w: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18"/>
              <w:spacing w:after="0" w:line="133" w:lineRule="exact"/>
              <w:rPr>
                <w:sz w:val="20"/>
                <w:szCs w:val="20"/>
                <w:color w:val="auto"/>
              </w:rPr>
            </w:pPr>
            <w:r>
              <w:rPr>
                <w:rFonts w:ascii="Arial" w:cs="Arial" w:eastAsia="Arial" w:hAnsi="Arial"/>
                <w:sz w:val="14"/>
                <w:szCs w:val="14"/>
                <w:b w:val="1"/>
                <w:bCs w:val="1"/>
                <w:color w:val="auto"/>
                <w:w w:val="83"/>
              </w:rPr>
              <w:t>Gross</w:t>
            </w:r>
          </w:p>
        </w:tc>
        <w:tc>
          <w:tcPr>
            <w:tcW w:w="1120" w:type="dxa"/>
            <w:vAlign w:val="bottom"/>
            <w:tcBorders>
              <w:top w:val="single" w:sz="8" w:color="auto"/>
            </w:tcBorders>
            <w:gridSpan w:val="4"/>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38"/>
              <w:spacing w:after="0" w:line="133"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38"/>
              <w:spacing w:after="0" w:line="133" w:lineRule="exact"/>
              <w:rPr>
                <w:sz w:val="20"/>
                <w:szCs w:val="20"/>
                <w:color w:val="auto"/>
              </w:rPr>
            </w:pPr>
            <w:r>
              <w:rPr>
                <w:rFonts w:ascii="Arial" w:cs="Arial" w:eastAsia="Arial" w:hAnsi="Arial"/>
                <w:sz w:val="14"/>
                <w:szCs w:val="14"/>
                <w:b w:val="1"/>
                <w:bCs w:val="1"/>
                <w:color w:val="auto"/>
                <w:w w:val="83"/>
              </w:rPr>
              <w:t>Gross</w:t>
            </w:r>
          </w:p>
        </w:tc>
        <w:tc>
          <w:tcPr>
            <w:tcW w:w="1160" w:type="dxa"/>
            <w:vAlign w:val="bottom"/>
            <w:tcBorders>
              <w:top w:val="single" w:sz="8" w:color="auto"/>
            </w:tcBorders>
            <w:gridSpan w:val="4"/>
            <w:vMerge w:val="restart"/>
          </w:tcPr>
          <w:p>
            <w:pPr>
              <w:jc w:val="right"/>
              <w:ind w:right="101"/>
              <w:spacing w:after="0"/>
              <w:rPr>
                <w:sz w:val="20"/>
                <w:szCs w:val="20"/>
                <w:color w:val="auto"/>
              </w:rPr>
            </w:pPr>
            <w:r>
              <w:rPr>
                <w:rFonts w:ascii="Arial" w:cs="Arial" w:eastAsia="Arial" w:hAnsi="Arial"/>
                <w:sz w:val="14"/>
                <w:szCs w:val="14"/>
                <w:b w:val="1"/>
                <w:bCs w:val="1"/>
                <w:color w:val="auto"/>
              </w:rPr>
              <w:t>Accumulated</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36"/>
              <w:spacing w:after="0" w:line="133"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1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1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38"/>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Amount</w:t>
            </w:r>
          </w:p>
        </w:tc>
        <w:tc>
          <w:tcPr>
            <w:tcW w:w="1160" w:type="dxa"/>
            <w:vAlign w:val="bottom"/>
            <w:gridSpan w:val="4"/>
          </w:tcPr>
          <w:p>
            <w:pPr>
              <w:jc w:val="right"/>
              <w:ind w:right="101"/>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jc w:val="right"/>
              <w:ind w:right="298"/>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3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Developed technology</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Software licenses</w:t>
            </w: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(10,394)</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(6,440)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40"/>
              <w:spacing w:after="0"/>
              <w:rPr>
                <w:sz w:val="20"/>
                <w:szCs w:val="20"/>
                <w:color w:val="auto"/>
              </w:rPr>
            </w:pPr>
            <w:r>
              <w:rPr>
                <w:rFonts w:ascii="Arial" w:cs="Arial" w:eastAsia="Arial" w:hAnsi="Arial"/>
                <w:sz w:val="18"/>
                <w:szCs w:val="18"/>
                <w:color w:val="auto"/>
              </w:rPr>
              <w:t>Total intangible assets, net</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25,808</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15,267</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25,143</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(6,440</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amortization expense related to the intangible assets was approximately $1.7 million and $1.7 million for the three months ended October 31, 2021 and 2020, respectively, and was approximately $4.7 million and $4.8 million for the nine months ended October 31, 2021 and 2020, respectively. The expected future amortization expense related to these intangible assets as of October 31, 2021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gridSpan w:val="3"/>
            <w:vMerge w:val="restart"/>
          </w:tcPr>
          <w:p>
            <w:pPr>
              <w:ind w:left="1140"/>
              <w:spacing w:after="0"/>
              <w:rPr>
                <w:sz w:val="20"/>
                <w:szCs w:val="20"/>
                <w:color w:val="auto"/>
              </w:rPr>
            </w:pPr>
            <w:r>
              <w:rPr>
                <w:rFonts w:ascii="Arial" w:cs="Arial" w:eastAsia="Arial" w:hAnsi="Arial"/>
                <w:sz w:val="14"/>
                <w:szCs w:val="14"/>
                <w:b w:val="1"/>
                <w:bCs w:val="1"/>
                <w:color w:val="auto"/>
              </w:rPr>
              <w:t>Fiscal Year</w:t>
            </w:r>
          </w:p>
        </w:tc>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October 31, 2021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gridSpan w:val="3"/>
            <w:vMerge w:val="continue"/>
          </w:tcPr>
          <w:p>
            <w:pPr>
              <w:spacing w:after="0"/>
              <w:rPr>
                <w:sz w:val="12"/>
                <w:szCs w:val="12"/>
                <w:color w:val="auto"/>
              </w:rPr>
            </w:pPr>
          </w:p>
        </w:tc>
        <w:tc>
          <w:tcPr>
            <w:tcW w:w="3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2022 (3 months remaining)</w:t>
            </w:r>
          </w:p>
        </w:tc>
        <w:tc>
          <w:tcPr>
            <w:tcW w:w="3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2023</w:t>
            </w:r>
          </w:p>
        </w:tc>
        <w:tc>
          <w:tcPr>
            <w:tcW w:w="30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7,292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3040" w:type="dxa"/>
            <w:vAlign w:val="bottom"/>
            <w:shd w:val="clear" w:color="auto" w:fill="CFF0FC"/>
          </w:tcPr>
          <w:p>
            <w:pPr>
              <w:spacing w:after="0"/>
              <w:rPr>
                <w:sz w:val="19"/>
                <w:szCs w:val="19"/>
                <w:color w:val="auto"/>
              </w:rPr>
            </w:pPr>
          </w:p>
        </w:tc>
        <w:tc>
          <w:tcPr>
            <w:tcW w:w="3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2025</w:t>
            </w:r>
          </w:p>
        </w:tc>
        <w:tc>
          <w:tcPr>
            <w:tcW w:w="30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2026</w:t>
            </w:r>
          </w:p>
        </w:tc>
        <w:tc>
          <w:tcPr>
            <w:tcW w:w="3040" w:type="dxa"/>
            <w:vAlign w:val="bottom"/>
            <w:shd w:val="clear" w:color="auto" w:fill="CFF0FC"/>
          </w:tcPr>
          <w:p>
            <w:pPr>
              <w:spacing w:after="0"/>
              <w:rPr>
                <w:sz w:val="19"/>
                <w:szCs w:val="19"/>
                <w:color w:val="auto"/>
              </w:rPr>
            </w:pPr>
          </w:p>
        </w:tc>
        <w:tc>
          <w:tcPr>
            <w:tcW w:w="3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Thereafter</w:t>
            </w:r>
          </w:p>
        </w:tc>
        <w:tc>
          <w:tcPr>
            <w:tcW w:w="36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tcBorders>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future amortization expenses:</w:t>
            </w:r>
          </w:p>
        </w:tc>
        <w:tc>
          <w:tcPr>
            <w:tcW w:w="3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15,267</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60" w:type="dxa"/>
            <w:vAlign w:val="bottom"/>
            <w:vMerge w:val="restart"/>
          </w:tcPr>
          <w:p>
            <w:pPr>
              <w:jc w:val="right"/>
              <w:ind w:right="271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ind w:right="280" w:firstLine="510"/>
        <w:spacing w:after="0" w:line="277" w:lineRule="auto"/>
        <w:rPr>
          <w:sz w:val="20"/>
          <w:szCs w:val="20"/>
          <w:color w:val="auto"/>
        </w:rPr>
      </w:pPr>
      <w:r>
        <w:rPr>
          <w:rFonts w:ascii="Arial" w:cs="Arial" w:eastAsia="Arial" w:hAnsi="Arial"/>
          <w:sz w:val="18"/>
          <w:szCs w:val="18"/>
          <w:color w:val="auto"/>
        </w:rPr>
        <w:t>The Company is required to test the impairment prior to changing the IPR&amp;D from an indefinite-lived asset to a finite-lived asset. There were no intangible asset impairments for the three and nine months ended October 31, 2021 and 2020, respectively.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at October 31, 2021 and January 31, 2021 consisted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31, 2021</w:t>
            </w:r>
          </w:p>
        </w:tc>
        <w:tc>
          <w:tcPr>
            <w:tcW w:w="12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 2021</w:t>
            </w:r>
          </w:p>
        </w:tc>
      </w:tr>
      <w:tr>
        <w:trPr>
          <w:trHeight w:val="156"/>
        </w:trPr>
        <w:tc>
          <w:tcPr>
            <w:tcW w:w="4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gridSpan w:val="4"/>
          </w:tcPr>
          <w:p>
            <w:pPr>
              <w:jc w:val="right"/>
              <w:ind w:right="91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compensation</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18,105</w:t>
            </w:r>
          </w:p>
        </w:tc>
        <w:tc>
          <w:tcPr>
            <w:tcW w:w="80" w:type="dxa"/>
            <w:vAlign w:val="bottom"/>
            <w:shd w:val="clear" w:color="auto" w:fill="CFF0FC"/>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Accrued rebates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9"/>
                <w:szCs w:val="19"/>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Accrued product development costs</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21,157</w:t>
            </w:r>
          </w:p>
        </w:tc>
        <w:tc>
          <w:tcPr>
            <w:tcW w:w="80" w:type="dxa"/>
            <w:vAlign w:val="bottom"/>
            <w:shd w:val="clear" w:color="auto" w:fill="CFF0FC"/>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Software license liabilities, current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5,582</w:t>
            </w:r>
          </w:p>
        </w:tc>
        <w:tc>
          <w:tcPr>
            <w:tcW w:w="80" w:type="dxa"/>
            <w:vAlign w:val="bottom"/>
          </w:tcPr>
          <w:p>
            <w:pPr>
              <w:spacing w:after="0"/>
              <w:rPr>
                <w:sz w:val="19"/>
                <w:szCs w:val="19"/>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8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6,215</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2,891</w:t>
            </w:r>
          </w:p>
        </w:tc>
        <w:tc>
          <w:tcPr>
            <w:tcW w:w="80" w:type="dxa"/>
            <w:vAlign w:val="bottom"/>
            <w:shd w:val="clear" w:color="auto" w:fill="CFF0FC"/>
          </w:tcPr>
          <w:p>
            <w:pPr>
              <w:spacing w:after="0"/>
              <w:rPr>
                <w:sz w:val="19"/>
                <w:szCs w:val="19"/>
                <w:color w:val="auto"/>
              </w:rPr>
            </w:pPr>
          </w:p>
        </w:tc>
      </w:tr>
      <w:tr>
        <w:trPr>
          <w:trHeight w:val="223"/>
        </w:trPr>
        <w:tc>
          <w:tcPr>
            <w:tcW w:w="4060" w:type="dxa"/>
            <w:vAlign w:val="bottom"/>
          </w:tcPr>
          <w:p>
            <w:pPr>
              <w:ind w:left="240"/>
              <w:spacing w:after="0"/>
              <w:rPr>
                <w:sz w:val="20"/>
                <w:szCs w:val="20"/>
                <w:color w:val="auto"/>
              </w:rPr>
            </w:pPr>
            <w:r>
              <w:rPr>
                <w:rFonts w:ascii="Arial" w:cs="Arial" w:eastAsia="Arial" w:hAnsi="Arial"/>
                <w:sz w:val="18"/>
                <w:szCs w:val="18"/>
                <w:color w:val="auto"/>
              </w:rPr>
              <w:t>Total accrued and other current liabilities</w:t>
            </w:r>
          </w:p>
        </w:tc>
        <w:tc>
          <w:tcPr>
            <w:tcW w:w="8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48,909</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48,126</w:t>
            </w:r>
          </w:p>
        </w:tc>
        <w:tc>
          <w:tcPr>
            <w:tcW w:w="8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right="60" w:firstLine="468"/>
        <w:spacing w:after="0" w:line="273" w:lineRule="auto"/>
        <w:rPr>
          <w:sz w:val="20"/>
          <w:szCs w:val="20"/>
          <w:color w:val="auto"/>
        </w:rPr>
      </w:pPr>
      <w:r>
        <w:rPr>
          <w:rFonts w:ascii="Arial" w:cs="Arial" w:eastAsia="Arial" w:hAnsi="Arial"/>
          <w:sz w:val="17"/>
          <w:szCs w:val="17"/>
          <w:color w:val="auto"/>
        </w:rPr>
        <w:t>The Company has entered into various operating leases for its worldwide office facilities. During the nine months ended October 31, 2021, the Company extended its existing Shanghai office lease for an additional three years beginning December 1, 2021 to November 30, 2024 and extended its existing Hong Kong office lease for an additional five years beginning December 1, 2021 to November 30, 2026. The Company also leased an additional space for its Shanghai office for a period of 40 months starting from August 1, 2021 through November 30, 2024. The Company recorded an aggregate increase of approximately $4.4 million to the operating lease right-of-use assets and corresponding operating lease liabilities in the condensed consolidated balance sheets as a result of these lease extensions and additional leased space.</w:t>
      </w:r>
    </w:p>
    <w:p>
      <w:pPr>
        <w:spacing w:after="0" w:line="178" w:lineRule="exact"/>
        <w:rPr>
          <w:sz w:val="20"/>
          <w:szCs w:val="20"/>
          <w:color w:val="auto"/>
        </w:rPr>
      </w:pPr>
    </w:p>
    <w:p>
      <w:pPr>
        <w:ind w:right="200" w:firstLine="468"/>
        <w:spacing w:after="0" w:line="286" w:lineRule="auto"/>
        <w:rPr>
          <w:sz w:val="20"/>
          <w:szCs w:val="20"/>
          <w:color w:val="auto"/>
        </w:rPr>
      </w:pPr>
      <w:r>
        <w:rPr>
          <w:rFonts w:ascii="Arial" w:cs="Arial" w:eastAsia="Arial" w:hAnsi="Arial"/>
          <w:sz w:val="17"/>
          <w:szCs w:val="17"/>
          <w:color w:val="auto"/>
        </w:rPr>
        <w:t>The operating lease expense was approximately $0.9 million and $0.8 million for the three months ended October 31, 2021 and 2020, respectively. The operating lease expense was approximately $2.5 million and $2.2 million for the nine months ended October 31, 2021 and 2020, respectively. The Company's short-term leases and finance leases were not material as of October 31, 2021 and January 31, 2021, respectively.</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179"/>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6"/>
                <w:szCs w:val="16"/>
                <w:color w:val="auto"/>
              </w:rPr>
            </w:pPr>
          </w:p>
        </w:tc>
        <w:tc>
          <w:tcPr>
            <w:tcW w:w="1580" w:type="dxa"/>
            <w:vAlign w:val="bottom"/>
          </w:tcPr>
          <w:p>
            <w:pPr>
              <w:jc w:val="right"/>
              <w:ind w:right="217"/>
              <w:spacing w:after="0"/>
              <w:rPr>
                <w:sz w:val="20"/>
                <w:szCs w:val="20"/>
                <w:color w:val="auto"/>
              </w:rPr>
            </w:pPr>
            <w:r>
              <w:rPr>
                <w:rFonts w:ascii="Arial" w:cs="Arial" w:eastAsia="Arial" w:hAnsi="Arial"/>
                <w:sz w:val="14"/>
                <w:szCs w:val="14"/>
                <w:b w:val="1"/>
                <w:bCs w:val="1"/>
                <w:color w:val="auto"/>
                <w:w w:val="96"/>
              </w:rPr>
              <w:t>Nine Months Ended</w:t>
            </w:r>
          </w:p>
        </w:tc>
        <w:tc>
          <w:tcPr>
            <w:tcW w:w="1120" w:type="dxa"/>
            <w:vAlign w:val="bottom"/>
          </w:tcPr>
          <w:p>
            <w:pPr>
              <w:spacing w:after="0"/>
              <w:rPr>
                <w:sz w:val="16"/>
                <w:szCs w:val="16"/>
                <w:color w:val="auto"/>
              </w:rPr>
            </w:pPr>
          </w:p>
        </w:tc>
      </w:tr>
      <w:tr>
        <w:trPr>
          <w:trHeight w:val="309"/>
        </w:trPr>
        <w:tc>
          <w:tcPr>
            <w:tcW w:w="11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October 31, 2021</w:t>
            </w: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October 31, 2021</w:t>
            </w:r>
          </w:p>
        </w:tc>
        <w:tc>
          <w:tcPr>
            <w:tcW w:w="1120" w:type="dxa"/>
            <w:vAlign w:val="bottom"/>
          </w:tcPr>
          <w:p>
            <w:pPr>
              <w:spacing w:after="0"/>
              <w:rPr>
                <w:sz w:val="24"/>
                <w:szCs w:val="24"/>
                <w:color w:val="auto"/>
              </w:rPr>
            </w:pPr>
          </w:p>
        </w:tc>
      </w:tr>
      <w:tr>
        <w:trPr>
          <w:trHeight w:val="155"/>
        </w:trPr>
        <w:tc>
          <w:tcPr>
            <w:tcW w:w="114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3"/>
          </w:tcPr>
          <w:p>
            <w:pPr>
              <w:jc w:val="right"/>
              <w:ind w:right="1297"/>
              <w:spacing w:after="0" w:line="155" w:lineRule="exact"/>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3"/>
                <w:szCs w:val="13"/>
                <w:color w:val="auto"/>
              </w:rPr>
            </w:pPr>
          </w:p>
        </w:tc>
      </w:tr>
      <w:tr>
        <w:trPr>
          <w:trHeight w:val="230"/>
        </w:trPr>
        <w:tc>
          <w:tcPr>
            <w:tcW w:w="114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leases included in operating cash flows</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918</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2,681</w:t>
            </w: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w w:val="97"/>
              </w:rPr>
              <w:t>Supplemental non-cash information related to lease liabilities arising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460" w:type="dxa"/>
            <w:vAlign w:val="bottom"/>
            <w:gridSpan w:val="2"/>
          </w:tcPr>
          <w:p>
            <w:pPr>
              <w:ind w:left="1140"/>
              <w:spacing w:after="0"/>
              <w:rPr>
                <w:sz w:val="20"/>
                <w:szCs w:val="20"/>
                <w:color w:val="auto"/>
              </w:rPr>
            </w:pPr>
            <w:r>
              <w:rPr>
                <w:rFonts w:ascii="Arial" w:cs="Arial" w:eastAsia="Arial" w:hAnsi="Arial"/>
                <w:sz w:val="18"/>
                <w:szCs w:val="18"/>
                <w:color w:val="auto"/>
              </w:rPr>
              <w:t>from obtaining right-of-use assets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272</w:t>
            </w:r>
          </w:p>
        </w:tc>
        <w:tc>
          <w:tcPr>
            <w:tcW w:w="1120" w:type="dxa"/>
            <w:vAlign w:val="bottom"/>
          </w:tcPr>
          <w:p>
            <w:pPr>
              <w:spacing w:after="0"/>
              <w:rPr>
                <w:sz w:val="20"/>
                <w:szCs w:val="20"/>
                <w:color w:val="auto"/>
              </w:rPr>
            </w:pPr>
          </w:p>
        </w:tc>
      </w:tr>
      <w:tr>
        <w:trPr>
          <w:trHeight w:val="215"/>
        </w:trPr>
        <w:tc>
          <w:tcPr>
            <w:tcW w:w="114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w w:val="91"/>
              </w:rPr>
              <w:t>Leased assets obtained in exchange for operating lease liabilities arising</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37"/>
        </w:trPr>
        <w:tc>
          <w:tcPr>
            <w:tcW w:w="1140" w:type="dxa"/>
            <w:vAlign w:val="bottom"/>
          </w:tcPr>
          <w:p>
            <w:pPr>
              <w:spacing w:after="0"/>
              <w:rPr>
                <w:sz w:val="20"/>
                <w:szCs w:val="20"/>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from lease modifications</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1,112</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2,799</w:t>
            </w:r>
          </w:p>
        </w:tc>
        <w:tc>
          <w:tcPr>
            <w:tcW w:w="1120" w:type="dxa"/>
            <w:vAlign w:val="bottom"/>
          </w:tcPr>
          <w:p>
            <w:pPr>
              <w:spacing w:after="0"/>
              <w:rPr>
                <w:sz w:val="20"/>
                <w:szCs w:val="20"/>
                <w:color w:val="auto"/>
              </w:rPr>
            </w:pPr>
          </w:p>
        </w:tc>
      </w:tr>
      <w:tr>
        <w:trPr>
          <w:trHeight w:val="648"/>
        </w:trPr>
        <w:tc>
          <w:tcPr>
            <w:tcW w:w="6460" w:type="dxa"/>
            <w:vAlign w:val="bottom"/>
            <w:gridSpan w:val="2"/>
          </w:tcPr>
          <w:p>
            <w:pPr>
              <w:jc w:val="right"/>
              <w:ind w:right="65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right="360" w:firstLine="510"/>
        <w:spacing w:after="0" w:line="277" w:lineRule="auto"/>
        <w:rPr>
          <w:sz w:val="20"/>
          <w:szCs w:val="20"/>
          <w:color w:val="auto"/>
        </w:rPr>
      </w:pPr>
      <w:r>
        <w:rPr>
          <w:rFonts w:ascii="Arial" w:cs="Arial" w:eastAsia="Arial" w:hAnsi="Arial"/>
          <w:sz w:val="18"/>
          <w:szCs w:val="18"/>
          <w:color w:val="auto"/>
        </w:rPr>
        <w:t>As of October 31, 2021, the weighted average remaining lease term is 3.81 years, and the weighted average discount rate is 3.55 percent. Future minimum lease payments for the lease liabilities are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9"/>
              </w:rPr>
              <w:t>Fiscal Year</w:t>
            </w:r>
          </w:p>
        </w:tc>
        <w:tc>
          <w:tcPr>
            <w:tcW w:w="426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October 31, 2021</w:t>
            </w:r>
          </w:p>
        </w:tc>
        <w:tc>
          <w:tcPr>
            <w:tcW w:w="0" w:type="dxa"/>
            <w:vAlign w:val="bottom"/>
          </w:tcPr>
          <w:p>
            <w:pPr>
              <w:spacing w:after="0"/>
              <w:rPr>
                <w:sz w:val="1"/>
                <w:szCs w:val="1"/>
                <w:color w:val="auto"/>
              </w:rPr>
            </w:pPr>
          </w:p>
        </w:tc>
      </w:tr>
      <w:tr>
        <w:trPr>
          <w:trHeight w:val="147"/>
        </w:trPr>
        <w:tc>
          <w:tcPr>
            <w:tcW w:w="680" w:type="dxa"/>
            <w:vAlign w:val="bottom"/>
            <w:tcBorders>
              <w:bottom w:val="single" w:sz="8" w:color="auto"/>
            </w:tcBorders>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tcPr>
          <w:p>
            <w:pPr>
              <w:jc w:val="center"/>
              <w:ind w:right="395"/>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2022 (3 months remaining)</w:t>
            </w:r>
          </w:p>
        </w:tc>
        <w:tc>
          <w:tcPr>
            <w:tcW w:w="168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ind w:left="240"/>
              <w:spacing w:after="0"/>
              <w:rPr>
                <w:sz w:val="20"/>
                <w:szCs w:val="20"/>
                <w:color w:val="auto"/>
              </w:rPr>
            </w:pPr>
            <w:r>
              <w:rPr>
                <w:rFonts w:ascii="Arial" w:cs="Arial" w:eastAsia="Arial" w:hAnsi="Arial"/>
                <w:sz w:val="18"/>
                <w:szCs w:val="18"/>
                <w:color w:val="auto"/>
              </w:rPr>
              <w:t>2023</w:t>
            </w:r>
          </w:p>
        </w:tc>
        <w:tc>
          <w:tcPr>
            <w:tcW w:w="4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4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ind w:left="240"/>
              <w:spacing w:after="0"/>
              <w:rPr>
                <w:sz w:val="20"/>
                <w:szCs w:val="20"/>
                <w:color w:val="auto"/>
              </w:rPr>
            </w:pPr>
            <w:r>
              <w:rPr>
                <w:rFonts w:ascii="Arial" w:cs="Arial" w:eastAsia="Arial" w:hAnsi="Arial"/>
                <w:sz w:val="18"/>
                <w:szCs w:val="18"/>
                <w:color w:val="auto"/>
              </w:rPr>
              <w:t>2025</w:t>
            </w:r>
          </w:p>
        </w:tc>
        <w:tc>
          <w:tcPr>
            <w:tcW w:w="4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2026</w:t>
            </w:r>
          </w:p>
        </w:tc>
        <w:tc>
          <w:tcPr>
            <w:tcW w:w="4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Thereafter</w:t>
            </w:r>
          </w:p>
        </w:tc>
        <w:tc>
          <w:tcPr>
            <w:tcW w:w="12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 future annual minimum lease payments</w:t>
            </w:r>
          </w:p>
        </w:tc>
        <w:tc>
          <w:tcPr>
            <w:tcW w:w="1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Less: interest</w:t>
            </w: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60" w:type="dxa"/>
            <w:vAlign w:val="bottom"/>
            <w:gridSpan w:val="2"/>
          </w:tcPr>
          <w:p>
            <w:pPr>
              <w:jc w:val="right"/>
              <w:ind w:right="4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lease liabilities</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2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Long-Term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long-term liabilities at October 31, 2021 and January 31, 2021 consisted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31, 2021</w:t>
            </w:r>
          </w:p>
        </w:tc>
        <w:tc>
          <w:tcPr>
            <w:tcW w:w="12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 2021</w:t>
            </w:r>
          </w:p>
        </w:tc>
      </w:tr>
      <w:tr>
        <w:trPr>
          <w:trHeight w:val="155"/>
        </w:trPr>
        <w:tc>
          <w:tcPr>
            <w:tcW w:w="4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gridSpan w:val="4"/>
          </w:tcPr>
          <w:p>
            <w:pPr>
              <w:jc w:val="right"/>
              <w:ind w:right="91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including interest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8,966</w:t>
            </w:r>
          </w:p>
        </w:tc>
        <w:tc>
          <w:tcPr>
            <w:tcW w:w="80" w:type="dxa"/>
            <w:vAlign w:val="bottom"/>
            <w:shd w:val="clear" w:color="auto" w:fill="CFF0FC"/>
          </w:tcPr>
          <w:p>
            <w:pPr>
              <w:spacing w:after="0"/>
              <w:rPr>
                <w:sz w:val="19"/>
                <w:szCs w:val="19"/>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Deferred tax liabilities, non-current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1,288</w:t>
            </w:r>
          </w:p>
        </w:tc>
        <w:tc>
          <w:tcPr>
            <w:tcW w:w="8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Software license liabilities, non-current</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6,259</w:t>
            </w:r>
          </w:p>
        </w:tc>
        <w:tc>
          <w:tcPr>
            <w:tcW w:w="80" w:type="dxa"/>
            <w:vAlign w:val="bottom"/>
            <w:shd w:val="clear" w:color="auto" w:fill="CFF0FC"/>
          </w:tcPr>
          <w:p>
            <w:pPr>
              <w:spacing w:after="0"/>
              <w:rPr>
                <w:sz w:val="19"/>
                <w:szCs w:val="19"/>
                <w:color w:val="auto"/>
              </w:rPr>
            </w:pPr>
          </w:p>
        </w:tc>
      </w:tr>
      <w:tr>
        <w:trPr>
          <w:trHeight w:val="229"/>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8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80" w:type="dxa"/>
            <w:vAlign w:val="bottom"/>
            <w:tcBorders>
              <w:bottom w:val="single" w:sz="8" w:color="CFF0FC"/>
            </w:tcBorders>
          </w:tcPr>
          <w:p>
            <w:pPr>
              <w:spacing w:after="0"/>
              <w:rPr>
                <w:sz w:val="19"/>
                <w:szCs w:val="19"/>
                <w:color w:val="auto"/>
              </w:rPr>
            </w:pPr>
          </w:p>
        </w:tc>
      </w:tr>
      <w:tr>
        <w:trPr>
          <w:trHeight w:val="223"/>
        </w:trPr>
        <w:tc>
          <w:tcPr>
            <w:tcW w:w="40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other long-term liabilities</w:t>
            </w:r>
          </w:p>
        </w:tc>
        <w:tc>
          <w:tcPr>
            <w:tcW w:w="8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Preference shares</w:t>
      </w:r>
    </w:p>
    <w:p>
      <w:pPr>
        <w:spacing w:after="0" w:line="117"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After completion of the Company’s initial public offering in 2012, a total of 20,000,000 preference shares, with a $0.00045 par value per share, were authorized. There were no preference shares issued and outstanding as of October 31, 2021 and January 31, 2021, respectively.</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October 31, 2021 and January 31, 2021, a total of 200,000,000 ordinary shares were authorized.</w:t>
      </w:r>
    </w:p>
    <w:p>
      <w:pPr>
        <w:spacing w:after="0" w:line="225"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June 2021, the Company’s shareholders approved the 2021 Equity Incentive Plan, or 2021 EIP. The 2021 EIP permits the grant of incentive stock options, or ISOs, within the meaning of Section 422 of the Code, to employees of the Company and any of the Company’s subsidiary or parent corporations, and the grant of nonstatutory stock options, or NSOs, stock appreciation rights, restricted stock, restricted stock units, and performance awards to employees, directors and consultants of the Company and any of the Company’s subsidiary or parent corporations’ employees and consultants. Upon adoption of the 2021 EIP, the total number of ordinary shares of the Company reserved for issuance under the 2021 Plan was equal to, subject to adjustments upon changes in capitalization as provided under the 2021 EIP, 1,350,000 ordinary shares, plus (i) any ordinary shares subject to outstanding awards granted under the 2012 Equity Incentive Plan, or 2012 EIP, that, after the date the 2012 EIP is terminated, are cancelled, expire or otherwise terminate without having been exercised in full or are forfeited to or repurchased by the Company due to failure to vest, and (ii) any ordinary shares that, as of immediately prior to the termination of the 2012 EIP, were available for grant under the 2012 EIP, up to a maximum of 6,834,208 ordinary shares pursuant to clauses (i) and (ii).</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right="200" w:firstLine="510"/>
        <w:spacing w:after="0" w:line="301" w:lineRule="auto"/>
        <w:rPr>
          <w:sz w:val="20"/>
          <w:szCs w:val="20"/>
          <w:color w:val="auto"/>
        </w:rPr>
      </w:pPr>
      <w:r>
        <w:rPr>
          <w:rFonts w:ascii="Arial" w:cs="Arial" w:eastAsia="Arial" w:hAnsi="Arial"/>
          <w:sz w:val="16"/>
          <w:szCs w:val="16"/>
          <w:color w:val="auto"/>
        </w:rPr>
        <w:t>In the first quarter of fiscal year 2022, the Company added 1,599,634 ordinary shares to the ordinary shares reserved for issuance, pursuant to an “evergreen” provision contained in the 2012 EIP. Upon the approval of the 2021 EIP, the 2012 EIP was terminated. No additional awards will be granted under the 2012 EIP and any shares that were reserved but not issued under the 2012 EIP became available for future grant or sale under the 2021 EIP. However, all outstanding stock options and other awards previously granted under the 2012 EIP will remain subject to the terms of the 2012 EIP.</w:t>
      </w:r>
    </w:p>
    <w:p>
      <w:pPr>
        <w:spacing w:after="0" w:line="157"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In the first quarter of fiscal year 2022, the Company added 444,343 ordinary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 (ii) one and one quarter percent (1.25%) of the aggregate number of ordinary shares outstanding on such date, or (iii) an amount determined by the Company’s Board of Directors or a duly authorized committee of the Board of Directors.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October 31, 2021 and January 31, 2021, the following ordinary shares were reserved for future issuance under the EIP and ESPP:</w:t>
      </w:r>
    </w:p>
    <w:p>
      <w:pPr>
        <w:spacing w:after="0" w:line="309"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4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w w:val="97"/>
              </w:rPr>
              <w:t>As of</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900" w:type="dxa"/>
            <w:vAlign w:val="bottom"/>
          </w:tcPr>
          <w:p>
            <w:pPr>
              <w:spacing w:after="0"/>
              <w:rPr>
                <w:sz w:val="13"/>
                <w:szCs w:val="13"/>
                <w:color w:val="auto"/>
              </w:rPr>
            </w:pPr>
          </w:p>
        </w:tc>
        <w:tc>
          <w:tcPr>
            <w:tcW w:w="164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October 31, 2021</w:t>
            </w:r>
          </w:p>
        </w:tc>
        <w:tc>
          <w:tcPr>
            <w:tcW w:w="1240" w:type="dxa"/>
            <w:vAlign w:val="bottom"/>
          </w:tcPr>
          <w:p>
            <w:pPr>
              <w:jc w:val="right"/>
              <w:ind w:right="56"/>
              <w:spacing w:after="0" w:line="155" w:lineRule="exact"/>
              <w:rPr>
                <w:sz w:val="20"/>
                <w:szCs w:val="20"/>
                <w:color w:val="auto"/>
              </w:rPr>
            </w:pPr>
            <w:r>
              <w:rPr>
                <w:rFonts w:ascii="Arial" w:cs="Arial" w:eastAsia="Arial" w:hAnsi="Arial"/>
                <w:sz w:val="14"/>
                <w:szCs w:val="14"/>
                <w:b w:val="1"/>
                <w:bCs w:val="1"/>
                <w:color w:val="auto"/>
                <w:w w:val="96"/>
              </w:rPr>
              <w:t>January 31, 2021</w:t>
            </w:r>
          </w:p>
        </w:tc>
        <w:tc>
          <w:tcPr>
            <w:tcW w:w="80" w:type="dxa"/>
            <w:vAlign w:val="bottom"/>
          </w:tcPr>
          <w:p>
            <w:pPr>
              <w:spacing w:after="0"/>
              <w:rPr>
                <w:sz w:val="13"/>
                <w:szCs w:val="13"/>
                <w:color w:val="auto"/>
              </w:rPr>
            </w:pPr>
          </w:p>
        </w:tc>
      </w:tr>
      <w:tr>
        <w:trPr>
          <w:trHeight w:val="209"/>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reserved for options, restricted stock and</w:t>
            </w: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units under EIP</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7,671,344</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5,981,741</w:t>
            </w:r>
          </w:p>
        </w:tc>
        <w:tc>
          <w:tcPr>
            <w:tcW w:w="80" w:type="dxa"/>
            <w:vAlign w:val="bottom"/>
            <w:shd w:val="clear" w:color="auto" w:fill="CFF0FC"/>
          </w:tcPr>
          <w:p>
            <w:pPr>
              <w:spacing w:after="0"/>
              <w:rPr>
                <w:sz w:val="20"/>
                <w:szCs w:val="20"/>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Shares reserved for ESPP</w:t>
            </w:r>
          </w:p>
        </w:tc>
        <w:tc>
          <w:tcPr>
            <w:tcW w:w="1460" w:type="dxa"/>
            <w:vAlign w:val="bottom"/>
          </w:tcPr>
          <w:p>
            <w:pPr>
              <w:jc w:val="right"/>
              <w:spacing w:after="0"/>
              <w:rPr>
                <w:sz w:val="20"/>
                <w:szCs w:val="20"/>
                <w:color w:val="auto"/>
              </w:rPr>
            </w:pPr>
            <w:r>
              <w:rPr>
                <w:rFonts w:ascii="Arial" w:cs="Arial" w:eastAsia="Arial" w:hAnsi="Arial"/>
                <w:sz w:val="18"/>
                <w:szCs w:val="18"/>
                <w:color w:val="auto"/>
              </w:rPr>
              <w:t>2,624,704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2,299,143</w:t>
            </w:r>
          </w:p>
        </w:tc>
        <w:tc>
          <w:tcPr>
            <w:tcW w:w="80" w:type="dxa"/>
            <w:vAlign w:val="bottom"/>
          </w:tcPr>
          <w:p>
            <w:pPr>
              <w:spacing w:after="0"/>
              <w:rPr>
                <w:sz w:val="20"/>
                <w:szCs w:val="20"/>
                <w:color w:val="auto"/>
              </w:rPr>
            </w:pPr>
          </w:p>
        </w:tc>
      </w:tr>
    </w:tbl>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Shares repurchased</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May 29, 2019, the Company’s Board of Directors authorized a program to repurchase up to $50.0 million of the Company’s ordinary shares through June 30, 2020. On March 16, 2020, the Company repurchased a total of 25,719 shares for approximately $1.0 million in cash. On May 29, 2020, the Board approved an extension of this program for an additional twelve months ending June 30, 2021. On May 25, 2021, the Board extended the repurchase program for another 12 months through June 30, 2022.There were no ordinary shares repurchased in the nine months ended October 31, 2021.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 As of October 31, 2021, there was approximately $49.0 million available for repurchases under the repurchase program through June 30, 2022.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classification of stock-based compensation for the periods indicated:</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880" w:type="dxa"/>
            <w:vAlign w:val="bottom"/>
            <w:gridSpan w:val="6"/>
          </w:tcPr>
          <w:p>
            <w:pPr>
              <w:spacing w:after="0"/>
              <w:rPr>
                <w:sz w:val="20"/>
                <w:szCs w:val="20"/>
                <w:color w:val="auto"/>
              </w:rPr>
            </w:pPr>
            <w:r>
              <w:rPr>
                <w:rFonts w:ascii="Arial" w:cs="Arial" w:eastAsia="Arial" w:hAnsi="Arial"/>
                <w:sz w:val="14"/>
                <w:szCs w:val="14"/>
                <w:b w:val="1"/>
                <w:bCs w:val="1"/>
                <w:color w:val="auto"/>
                <w:w w:val="98"/>
              </w:rPr>
              <w:t>Nine Months Ended October</w:t>
            </w:r>
          </w:p>
        </w:tc>
      </w:tr>
      <w:tr>
        <w:trPr>
          <w:trHeight w:val="17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October 31,</w:t>
            </w:r>
          </w:p>
        </w:tc>
        <w:tc>
          <w:tcPr>
            <w:tcW w:w="180" w:type="dxa"/>
            <w:vAlign w:val="bottom"/>
          </w:tcPr>
          <w:p>
            <w:pPr>
              <w:spacing w:after="0"/>
              <w:rPr>
                <w:sz w:val="14"/>
                <w:szCs w:val="14"/>
                <w:color w:val="auto"/>
              </w:rPr>
            </w:pPr>
          </w:p>
        </w:tc>
        <w:tc>
          <w:tcPr>
            <w:tcW w:w="9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31,</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0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4"/>
          </w:tcPr>
          <w:p>
            <w:pPr>
              <w:jc w:val="right"/>
              <w:ind w:right="396"/>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3"/>
        </w:trPr>
        <w:tc>
          <w:tcPr>
            <w:tcW w:w="400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391</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981</w:t>
            </w:r>
          </w:p>
        </w:tc>
        <w:tc>
          <w:tcPr>
            <w:tcW w:w="80" w:type="dxa"/>
            <w:vAlign w:val="bottom"/>
          </w:tcPr>
          <w:p>
            <w:pPr>
              <w:spacing w:after="0"/>
              <w:rPr>
                <w:sz w:val="21"/>
                <w:szCs w:val="21"/>
                <w:color w:val="auto"/>
              </w:rPr>
            </w:pPr>
          </w:p>
        </w:tc>
      </w:tr>
      <w:tr>
        <w:trPr>
          <w:trHeight w:val="230"/>
        </w:trPr>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36,444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31,402</w:t>
            </w:r>
          </w:p>
        </w:tc>
        <w:tc>
          <w:tcPr>
            <w:tcW w:w="80" w:type="dxa"/>
            <w:vAlign w:val="bottom"/>
            <w:shd w:val="clear" w:color="auto" w:fill="CFF0FC"/>
          </w:tcPr>
          <w:p>
            <w:pPr>
              <w:spacing w:after="0"/>
              <w:rPr>
                <w:sz w:val="19"/>
                <w:szCs w:val="19"/>
                <w:color w:val="auto"/>
              </w:rPr>
            </w:pPr>
          </w:p>
        </w:tc>
      </w:tr>
      <w:tr>
        <w:trPr>
          <w:trHeight w:val="243"/>
        </w:trPr>
        <w:tc>
          <w:tcPr>
            <w:tcW w:w="4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7,937</w:t>
            </w:r>
          </w:p>
        </w:tc>
        <w:tc>
          <w:tcPr>
            <w:tcW w:w="1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7,113</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22,750</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19,024</w:t>
            </w:r>
          </w:p>
        </w:tc>
        <w:tc>
          <w:tcPr>
            <w:tcW w:w="80" w:type="dxa"/>
            <w:vAlign w:val="bottom"/>
            <w:tcBorders>
              <w:bottom w:val="single" w:sz="8" w:color="CFF0FC"/>
            </w:tcBorders>
          </w:tcPr>
          <w:p>
            <w:pPr>
              <w:spacing w:after="0"/>
              <w:rPr>
                <w:sz w:val="21"/>
                <w:szCs w:val="21"/>
                <w:color w:val="auto"/>
              </w:rPr>
            </w:pPr>
          </w:p>
        </w:tc>
      </w:tr>
      <w:tr>
        <w:trPr>
          <w:trHeight w:val="223"/>
        </w:trPr>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22,053</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18,977</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60,267</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51,407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During the three and nine months ended October 31, 2021, approximately $1.7 million and $5.1 million of stock-based compensation expense was accrued in accrued and other current liabilities in the condensed consolidated balance sheets, respectively. As of October 31, 2021, total unrecognized compensation cost related to unvested stock options was $2.4 million and is expected to be recognized over a weighted-average period of 2.13 years. Total unrecognized compensation cost related to unvested restricted stock units was $198.6 million and is expected to be recognized over a weighted-average period of 2.45 years.</w:t>
      </w:r>
    </w:p>
    <w:p>
      <w:pPr>
        <w:spacing w:after="0" w:line="188"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following table sets forth the weighted-average assumptions used to estimate the fair value of stock options and employee stock purchase plan awards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80" w:type="dxa"/>
            <w:vAlign w:val="bottom"/>
            <w:gridSpan w:val="10"/>
          </w:tcPr>
          <w:p>
            <w:pPr>
              <w:jc w:val="center"/>
              <w:ind w:right="360"/>
              <w:spacing w:after="0"/>
              <w:rPr>
                <w:sz w:val="20"/>
                <w:szCs w:val="20"/>
                <w:color w:val="auto"/>
              </w:rPr>
            </w:pPr>
            <w:r>
              <w:rPr>
                <w:rFonts w:ascii="Arial" w:cs="Arial" w:eastAsia="Arial" w:hAnsi="Arial"/>
                <w:sz w:val="14"/>
                <w:szCs w:val="14"/>
                <w:b w:val="1"/>
                <w:bCs w:val="1"/>
                <w:color w:val="auto"/>
                <w:w w:val="93"/>
              </w:rPr>
              <w:t>Three Months Ended October</w:t>
            </w:r>
          </w:p>
        </w:tc>
        <w:tc>
          <w:tcPr>
            <w:tcW w:w="2240" w:type="dxa"/>
            <w:vAlign w:val="bottom"/>
            <w:gridSpan w:val="7"/>
            <w:vMerge w:val="restart"/>
          </w:tcPr>
          <w:p>
            <w:pPr>
              <w:jc w:val="right"/>
              <w:ind w:right="220"/>
              <w:spacing w:after="0"/>
              <w:rPr>
                <w:sz w:val="20"/>
                <w:szCs w:val="20"/>
                <w:color w:val="auto"/>
              </w:rPr>
            </w:pPr>
            <w:r>
              <w:rPr>
                <w:rFonts w:ascii="Arial" w:cs="Arial" w:eastAsia="Arial" w:hAnsi="Arial"/>
                <w:sz w:val="14"/>
                <w:szCs w:val="14"/>
                <w:b w:val="1"/>
                <w:bCs w:val="1"/>
                <w:color w:val="auto"/>
                <w:w w:val="94"/>
              </w:rPr>
              <w:t>Nine Months Ended October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48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w w:val="96"/>
              </w:rPr>
              <w:t>2021</w:t>
            </w:r>
          </w:p>
        </w:tc>
        <w:tc>
          <w:tcPr>
            <w:tcW w:w="1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Volatility</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Risk-free interest rate</w:t>
            </w: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0.40%</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Expected term (years)</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5.81</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5.84</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 yield</w:t>
            </w: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ind w:left="1140"/>
              <w:spacing w:after="0"/>
              <w:rPr>
                <w:sz w:val="20"/>
                <w:szCs w:val="20"/>
                <w:color w:val="auto"/>
              </w:rPr>
            </w:pPr>
            <w:r>
              <w:rPr>
                <w:rFonts w:ascii="Arial" w:cs="Arial" w:eastAsia="Arial" w:hAnsi="Arial"/>
                <w:sz w:val="18"/>
                <w:szCs w:val="18"/>
                <w:color w:val="auto"/>
              </w:rPr>
              <w:t>Employee stock purchase plan awards:</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Volatility</w:t>
            </w: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Risk-free interest rate</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term (years)</w:t>
            </w: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0.5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Dividend yield</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700" w:type="dxa"/>
            <w:vAlign w:val="bottom"/>
            <w:gridSpan w:val="9"/>
          </w:tcPr>
          <w:p>
            <w:pPr>
              <w:ind w:left="520"/>
              <w:spacing w:after="0"/>
              <w:rPr>
                <w:sz w:val="20"/>
                <w:szCs w:val="20"/>
                <w:color w:val="auto"/>
              </w:rPr>
            </w:pPr>
            <w:r>
              <w:rPr>
                <w:rFonts w:ascii="Arial" w:cs="Arial" w:eastAsia="Arial" w:hAnsi="Arial"/>
                <w:sz w:val="18"/>
                <w:szCs w:val="18"/>
                <w:color w:val="auto"/>
                <w:w w:val="99"/>
              </w:rPr>
              <w:t>The following table summarizes stock option activities for the period indicated: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Option Outstanding</w:t>
            </w: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Total Intrinsic</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Value Of</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Remaining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Options</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Contractual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61"/>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Grant-date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Exercised</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Term</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16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1"/>
                <w:szCs w:val="21"/>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Exercise Price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21"/>
                <w:szCs w:val="21"/>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 years)</w:t>
            </w:r>
          </w:p>
        </w:tc>
        <w:tc>
          <w:tcPr>
            <w:tcW w:w="60" w:type="dxa"/>
            <w:vAlign w:val="bottom"/>
          </w:tcPr>
          <w:p>
            <w:pPr>
              <w:spacing w:after="0"/>
              <w:rPr>
                <w:sz w:val="21"/>
                <w:szCs w:val="21"/>
                <w:color w:val="auto"/>
              </w:rPr>
            </w:pPr>
          </w:p>
        </w:tc>
        <w:tc>
          <w:tcPr>
            <w:tcW w:w="106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at January 31, 2021</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719,143</w:t>
            </w: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38.33</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right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14,700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110.19</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50.28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(229,051)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25.37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19,201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(7,401)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Expired</w:t>
            </w: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9.86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Outstanding at October 31, 2021</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496,245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4.64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41"/>
              <w:spacing w:after="0"/>
              <w:rPr>
                <w:sz w:val="20"/>
                <w:szCs w:val="20"/>
                <w:color w:val="auto"/>
              </w:rPr>
            </w:pPr>
            <w:r>
              <w:rPr>
                <w:rFonts w:ascii="Arial" w:cs="Arial" w:eastAsia="Arial" w:hAnsi="Arial"/>
                <w:sz w:val="18"/>
                <w:szCs w:val="18"/>
                <w:color w:val="auto"/>
              </w:rPr>
              <w:t>69,365</w:t>
            </w: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Exercisable at October 31, 2021</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411,465</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42.64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58,916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October 31, 2021 was $185.83, as reported by The NASDAQ Global Market. The intrinsic value of exercised options is calculated based on the difference between the fair market value of the Company’s ordinary shares on the exercise date and the exercise price.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restricted stock units activities for the period indicated: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Grant-Date</w:t>
            </w:r>
          </w:p>
        </w:tc>
      </w:tr>
      <w:tr>
        <w:trPr>
          <w:trHeight w:val="171"/>
        </w:trPr>
        <w:tc>
          <w:tcPr>
            <w:tcW w:w="54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January 31,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2,871,801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51.73</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1,113,417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122.39</w:t>
            </w:r>
          </w:p>
        </w:tc>
        <w:tc>
          <w:tcPr>
            <w:tcW w:w="80" w:type="dxa"/>
            <w:vAlign w:val="bottom"/>
          </w:tcPr>
          <w:p>
            <w:pPr>
              <w:spacing w:after="0"/>
              <w:rPr>
                <w:sz w:val="19"/>
                <w:szCs w:val="19"/>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(1,029,869)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w:t>
            </w:r>
          </w:p>
        </w:tc>
        <w:tc>
          <w:tcPr>
            <w:tcW w:w="80" w:type="dxa"/>
            <w:vAlign w:val="bottom"/>
            <w:shd w:val="clear" w:color="auto" w:fill="CFF0FC"/>
          </w:tcPr>
          <w:p>
            <w:pPr>
              <w:spacing w:after="0"/>
              <w:rPr>
                <w:sz w:val="19"/>
                <w:szCs w:val="19"/>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(48,983)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66.60</w:t>
            </w:r>
          </w:p>
        </w:tc>
        <w:tc>
          <w:tcPr>
            <w:tcW w:w="80" w:type="dxa"/>
            <w:vAlign w:val="bottom"/>
          </w:tcPr>
          <w:p>
            <w:pPr>
              <w:spacing w:after="0"/>
              <w:rPr>
                <w:sz w:val="19"/>
                <w:szCs w:val="19"/>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October 31,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2,906,366</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78.88</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October 31, 2021, the aggregate intrinsic value of unvested restricted stock units was $540.1 million.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11. Net Income (Loss) Per Ordinary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net income (loss) per ordinary share for the periods indicated:</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1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6"/>
              </w:rPr>
              <w:t>Three Months Ended October</w:t>
            </w:r>
          </w:p>
        </w:tc>
        <w:tc>
          <w:tcPr>
            <w:tcW w:w="40" w:type="dxa"/>
            <w:vAlign w:val="bottom"/>
          </w:tcPr>
          <w:p>
            <w:pPr>
              <w:spacing w:after="0"/>
              <w:rPr>
                <w:sz w:val="14"/>
                <w:szCs w:val="14"/>
                <w:color w:val="auto"/>
              </w:rPr>
            </w:pPr>
          </w:p>
        </w:tc>
        <w:tc>
          <w:tcPr>
            <w:tcW w:w="212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8"/>
              </w:rPr>
              <w:t>Nine Months Ended October 31,</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31,</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00" w:type="dxa"/>
            <w:vAlign w:val="bottom"/>
            <w:gridSpan w:val="11"/>
          </w:tcPr>
          <w:p>
            <w:pPr>
              <w:jc w:val="right"/>
              <w:ind w:right="572"/>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5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(17,078)</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(47,297)</w:t>
            </w:r>
          </w:p>
        </w:tc>
        <w:tc>
          <w:tcPr>
            <w:tcW w:w="0" w:type="dxa"/>
            <w:vAlign w:val="bottom"/>
          </w:tcPr>
          <w:p>
            <w:pPr>
              <w:spacing w:after="0"/>
              <w:rPr>
                <w:sz w:val="1"/>
                <w:szCs w:val="1"/>
                <w:color w:val="auto"/>
              </w:rPr>
            </w:pPr>
          </w:p>
        </w:tc>
      </w:tr>
      <w:tr>
        <w:trPr>
          <w:trHeight w:val="210"/>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Weighted-average ordinary shares - basic</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36,792,187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34,819,880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36,391,676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34,460,172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Effect of potentially dilutive securities: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40"/>
              <w:spacing w:after="0"/>
              <w:rPr>
                <w:sz w:val="20"/>
                <w:szCs w:val="20"/>
                <w:color w:val="auto"/>
              </w:rPr>
            </w:pPr>
            <w:r>
              <w:rPr>
                <w:rFonts w:ascii="Arial" w:cs="Arial" w:eastAsia="Arial" w:hAnsi="Arial"/>
                <w:sz w:val="18"/>
                <w:szCs w:val="18"/>
                <w:color w:val="auto"/>
              </w:rPr>
              <w:t>Employee stock options</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327,417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stock units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1,921,723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80" w:type="dxa"/>
            <w:vAlign w:val="bottom"/>
          </w:tcPr>
          <w:p>
            <w:pPr>
              <w:ind w:left="240"/>
              <w:spacing w:after="0"/>
              <w:rPr>
                <w:sz w:val="20"/>
                <w:szCs w:val="20"/>
                <w:color w:val="auto"/>
              </w:rPr>
            </w:pPr>
            <w:r>
              <w:rPr>
                <w:rFonts w:ascii="Arial" w:cs="Arial" w:eastAsia="Arial" w:hAnsi="Arial"/>
                <w:sz w:val="18"/>
                <w:szCs w:val="18"/>
                <w:color w:val="auto"/>
              </w:rPr>
              <w:t>Employee stock purchase plan</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ordinary shares - diluted</w:t>
            </w: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39,046,274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34,819,880</w:t>
            </w: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36,391,676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34,460,172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Net income (loss) per ordinary share:</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(0.49)</w:t>
            </w: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tcPr>
          <w:p>
            <w:pPr>
              <w:ind w:left="24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(0.49)</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following weighted-average potentially dilutive securities were excluded from the computation of diluted net income (loss) per ordinary share as their effect would have been antidilutive:</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0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3800" w:type="dxa"/>
            <w:vAlign w:val="bottom"/>
          </w:tcPr>
          <w:p>
            <w:pPr>
              <w:spacing w:after="0"/>
              <w:rPr>
                <w:sz w:val="14"/>
                <w:szCs w:val="14"/>
                <w:color w:val="auto"/>
              </w:rPr>
            </w:pPr>
          </w:p>
        </w:tc>
        <w:tc>
          <w:tcPr>
            <w:tcW w:w="20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October 31,</w:t>
            </w:r>
          </w:p>
        </w:tc>
        <w:tc>
          <w:tcPr>
            <w:tcW w:w="2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October 31,</w:t>
            </w:r>
          </w:p>
        </w:tc>
      </w:tr>
      <w:tr>
        <w:trPr>
          <w:trHeight w:val="156"/>
        </w:trPr>
        <w:tc>
          <w:tcPr>
            <w:tcW w:w="380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ordinary shares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13,399</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701,113</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269,713</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734,506</w:t>
            </w:r>
          </w:p>
        </w:tc>
        <w:tc>
          <w:tcPr>
            <w:tcW w:w="80" w:type="dxa"/>
            <w:vAlign w:val="bottom"/>
            <w:shd w:val="clear" w:color="auto" w:fill="CFF0FC"/>
          </w:tcPr>
          <w:p>
            <w:pPr>
              <w:spacing w:after="0"/>
              <w:rPr>
                <w:sz w:val="19"/>
                <w:szCs w:val="19"/>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1,233,679</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1,105,083</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1,316,682</w:t>
            </w:r>
          </w:p>
        </w:tc>
        <w:tc>
          <w:tcPr>
            <w:tcW w:w="80" w:type="dxa"/>
            <w:vAlign w:val="bottom"/>
          </w:tcPr>
          <w:p>
            <w:pPr>
              <w:spacing w:after="0"/>
              <w:rPr>
                <w:sz w:val="21"/>
                <w:szCs w:val="2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1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23,144</w:t>
            </w:r>
          </w:p>
        </w:tc>
        <w:tc>
          <w:tcPr>
            <w:tcW w:w="1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9,010</w:t>
            </w:r>
          </w:p>
        </w:tc>
        <w:tc>
          <w:tcPr>
            <w:tcW w:w="1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26,494</w:t>
            </w:r>
          </w:p>
        </w:tc>
        <w:tc>
          <w:tcPr>
            <w:tcW w:w="80" w:type="dxa"/>
            <w:vAlign w:val="bottom"/>
            <w:shd w:val="clear" w:color="auto" w:fill="CFF0FC"/>
          </w:tcPr>
          <w:p>
            <w:pPr>
              <w:spacing w:after="0"/>
              <w:rPr>
                <w:sz w:val="19"/>
                <w:szCs w:val="19"/>
                <w:color w:val="auto"/>
              </w:rPr>
            </w:pPr>
          </w:p>
        </w:tc>
      </w:tr>
      <w:tr>
        <w:trPr>
          <w:trHeight w:val="236"/>
        </w:trPr>
        <w:tc>
          <w:tcPr>
            <w:tcW w:w="38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16,896</w:t>
            </w:r>
          </w:p>
        </w:tc>
        <w:tc>
          <w:tcPr>
            <w:tcW w:w="1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1,957,936</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1,383,806</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2,077,682</w:t>
            </w:r>
          </w:p>
        </w:tc>
        <w:tc>
          <w:tcPr>
            <w:tcW w:w="80" w:type="dxa"/>
            <w:vAlign w:val="bottom"/>
          </w:tcPr>
          <w:p>
            <w:pPr>
              <w:spacing w:after="0"/>
              <w:rPr>
                <w:sz w:val="20"/>
                <w:szCs w:val="20"/>
                <w:color w:val="auto"/>
              </w:rPr>
            </w:pPr>
          </w:p>
        </w:tc>
      </w:tr>
      <w:tr>
        <w:trPr>
          <w:trHeight w:val="20"/>
        </w:trPr>
        <w:tc>
          <w:tcPr>
            <w:tcW w:w="3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income taxes for the periods indicated:</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9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4"/>
              </w:rPr>
              <w:t>Nine Months Ended October</w:t>
            </w:r>
          </w:p>
        </w:tc>
      </w:tr>
      <w:tr>
        <w:trPr>
          <w:trHeight w:val="171"/>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October 31,</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9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3"/>
          </w:tcPr>
          <w:p>
            <w:pPr>
              <w:jc w:val="right"/>
              <w:ind w:right="559"/>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(15,576)</w:t>
            </w: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  (16,089)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(43,922)</w:t>
            </w: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(1,560)</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1,502</w:t>
            </w:r>
          </w:p>
        </w:tc>
        <w:tc>
          <w:tcPr>
            <w:tcW w:w="160" w:type="dxa"/>
            <w:vAlign w:val="bottom"/>
          </w:tcPr>
          <w:p>
            <w:pPr>
              <w:spacing w:after="0"/>
              <w:rPr>
                <w:sz w:val="21"/>
                <w:szCs w:val="21"/>
                <w:color w:val="auto"/>
              </w:rPr>
            </w:pPr>
          </w:p>
        </w:tc>
        <w:tc>
          <w:tcPr>
            <w:tcW w:w="1000" w:type="dxa"/>
            <w:vAlign w:val="bottom"/>
          </w:tcPr>
          <w:p>
            <w:pPr>
              <w:jc w:val="right"/>
              <w:ind w:right="99"/>
              <w:spacing w:after="0"/>
              <w:rPr>
                <w:sz w:val="20"/>
                <w:szCs w:val="20"/>
                <w:color w:val="auto"/>
              </w:rPr>
            </w:pPr>
            <w:r>
              <w:rPr>
                <w:rFonts w:ascii="Arial" w:cs="Arial" w:eastAsia="Arial" w:hAnsi="Arial"/>
                <w:sz w:val="18"/>
                <w:szCs w:val="18"/>
                <w:color w:val="auto"/>
              </w:rPr>
              <w:t>1,129</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3,375</w:t>
            </w:r>
          </w:p>
        </w:tc>
        <w:tc>
          <w:tcPr>
            <w:tcW w:w="80" w:type="dxa"/>
            <w:vAlign w:val="bottom"/>
          </w:tcPr>
          <w:p>
            <w:pPr>
              <w:spacing w:after="0"/>
              <w:rPr>
                <w:sz w:val="21"/>
                <w:szCs w:val="21"/>
                <w:color w:val="auto"/>
              </w:rPr>
            </w:pPr>
          </w:p>
        </w:tc>
      </w:tr>
      <w:tr>
        <w:trPr>
          <w:trHeight w:val="24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ind w:left="80"/>
              <w:spacing w:after="0"/>
              <w:rPr>
                <w:sz w:val="20"/>
                <w:szCs w:val="20"/>
                <w:color w:val="auto"/>
              </w:rPr>
            </w:pPr>
            <w:r>
              <w:rPr>
                <w:rFonts w:ascii="Arial" w:cs="Arial" w:eastAsia="Arial" w:hAnsi="Arial"/>
                <w:sz w:val="18"/>
                <w:szCs w:val="18"/>
                <w:color w:val="auto"/>
              </w:rPr>
              <w:t>194.2%</w:t>
            </w:r>
          </w:p>
        </w:tc>
        <w:tc>
          <w:tcPr>
            <w:tcW w:w="2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Company recorded an income tax benefit of $1.6 million and an income tax provision of $1.5 million for the three months ended October 31, 2021 and 2020, respectively. The change from an income tax provision to an income tax benefit was primarily due to the changes in the amounts of pre-tax income, changes to the Company’s estimated annual effective tax rate, and an increase in tax benefits from excess stock-based compensation deductions. The Company recorded an income tax provision of $1.1 million and $3.4 million for the nine months ended October 31, 2021 and 2020, respectively. The decrease in income tax expense was primarily due to an increase in the U.S. federal research tax credit, and an increase in tax benefits from excess stock-based compensation deductions.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0" w:name="page21"/>
    <w:bookmarkEnd w:id="20"/>
    <w:p>
      <w:pPr>
        <w:ind w:right="40" w:firstLine="510"/>
        <w:spacing w:after="0" w:line="296" w:lineRule="auto"/>
        <w:rPr>
          <w:sz w:val="20"/>
          <w:szCs w:val="20"/>
          <w:color w:val="auto"/>
        </w:rPr>
      </w:pPr>
      <w:r>
        <w:rPr>
          <w:rFonts w:ascii="Arial" w:cs="Arial" w:eastAsia="Arial" w:hAnsi="Arial"/>
          <w:sz w:val="16"/>
          <w:szCs w:val="16"/>
          <w:color w:val="auto"/>
        </w:rPr>
        <w:t>The Company files federal and state income tax returns in the United States and in various foreign jurisdictions. The Internal Revenue Service is currently examining the Company’s U.S. federal income tax return for the fiscal year ended January 31, 2017. The tax years 2013 to 2020 remain open to examination by U.S. federal tax authorities. The tax years 2009 to 2020 remain open to examination by U.S. state tax authorities. The tax years 2015 to 2020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6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Company regularly assesses the likelihood of adverse outcomes resulting from potential tax examinations to determine the adequacy of its provision for income taxes. These assessments can require considerable estimates and judgments. As of October 31, 2021, the gross amount of unrecognized tax benefits was approximately $28.1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The Company does not anticipate significant changes to its uncertain tax positions during the next twelve months.</w:t>
      </w:r>
    </w:p>
    <w:p>
      <w:pPr>
        <w:spacing w:after="0" w:line="390" w:lineRule="exact"/>
        <w:rPr>
          <w:sz w:val="20"/>
          <w:szCs w:val="20"/>
          <w:color w:val="auto"/>
        </w:rPr>
      </w:pPr>
    </w:p>
    <w:p>
      <w:pPr>
        <w:ind w:left="520" w:right="7860" w:hanging="512"/>
        <w:spacing w:after="0" w:line="603" w:lineRule="auto"/>
        <w:tabs>
          <w:tab w:leader="none" w:pos="28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Contract Manufacturer Commitments</w:t>
      </w:r>
    </w:p>
    <w:p>
      <w:pPr>
        <w:spacing w:after="0" w:line="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the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October 31, 2021 and January 31, 2021, total manufacturing purchase commitments were approximately $66.0 million and $48.2 million, respectively. The Company also reviews and assesses the need for any expected loss liabilities on quarterly basis for all products that it does not expect to sell for which it has committed purchases from suppliers. As of October 31, 2021, there was no material loss recognized in the condensed consolidated balance sheets from adverse purchase commitments.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and no liabilities have been recorded for these obligations in the condensed consolidated balance sheets as of October 31, 2021 and January 31, 2021, respectively.</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21" w:lineRule="exact"/>
        <w:rPr>
          <w:sz w:val="20"/>
          <w:szCs w:val="20"/>
          <w:color w:val="auto"/>
        </w:rPr>
      </w:pPr>
    </w:p>
    <w:p>
      <w:pPr>
        <w:ind w:right="260" w:firstLine="510"/>
        <w:spacing w:after="0" w:line="301" w:lineRule="auto"/>
        <w:rPr>
          <w:sz w:val="20"/>
          <w:szCs w:val="20"/>
          <w:color w:val="auto"/>
        </w:rPr>
      </w:pPr>
      <w:r>
        <w:rPr>
          <w:rFonts w:ascii="Arial" w:cs="Arial" w:eastAsia="Arial" w:hAnsi="Arial"/>
          <w:sz w:val="16"/>
          <w:szCs w:val="16"/>
          <w:color w:val="auto"/>
        </w:rPr>
        <w:t>The Company operates in one reportable segment related to the development and sales of low-power, high-definition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b w:val="1"/>
          <w:bCs w:val="1"/>
          <w:i w:val="1"/>
          <w:iCs w:val="1"/>
          <w:color w:val="auto"/>
        </w:rPr>
        <w:t>Geographic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Company’s revenue by geographic region based on bill-to location for the periods indicated:</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October 31,</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October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55"/>
        </w:trPr>
        <w:tc>
          <w:tcPr>
            <w:tcW w:w="3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59,412</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35,073</w:t>
            </w:r>
          </w:p>
        </w:tc>
        <w:tc>
          <w:tcPr>
            <w:tcW w:w="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153,135</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96,846</w:t>
            </w:r>
          </w:p>
        </w:tc>
        <w:tc>
          <w:tcPr>
            <w:tcW w:w="100" w:type="dxa"/>
            <w:vAlign w:val="bottom"/>
            <w:shd w:val="clear" w:color="auto" w:fill="CFF0FC"/>
          </w:tcPr>
          <w:p>
            <w:pPr>
              <w:spacing w:after="0"/>
              <w:rPr>
                <w:sz w:val="19"/>
                <w:szCs w:val="19"/>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Asia Pacific</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21,323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14,642</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60,122</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43,635</w:t>
            </w:r>
          </w:p>
        </w:tc>
        <w:tc>
          <w:tcPr>
            <w:tcW w:w="100" w:type="dxa"/>
            <w:vAlign w:val="bottom"/>
          </w:tcPr>
          <w:p>
            <w:pPr>
              <w:spacing w:after="0"/>
              <w:rPr>
                <w:sz w:val="21"/>
                <w:szCs w:val="2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11,837</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6,856</w:t>
            </w:r>
          </w:p>
        </w:tc>
        <w:tc>
          <w:tcPr>
            <w:tcW w:w="100" w:type="dxa"/>
            <w:vAlign w:val="bottom"/>
            <w:shd w:val="clear" w:color="auto" w:fill="CFF0FC"/>
          </w:tcPr>
          <w:p>
            <w:pPr>
              <w:spacing w:after="0"/>
              <w:rPr>
                <w:sz w:val="19"/>
                <w:szCs w:val="19"/>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5,984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2,433</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13,117</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8,449</w:t>
            </w:r>
          </w:p>
        </w:tc>
        <w:tc>
          <w:tcPr>
            <w:tcW w:w="100" w:type="dxa"/>
            <w:vAlign w:val="bottom"/>
          </w:tcPr>
          <w:p>
            <w:pPr>
              <w:spacing w:after="0"/>
              <w:rPr>
                <w:sz w:val="21"/>
                <w:szCs w:val="2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3,416</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5,062</w:t>
            </w:r>
          </w:p>
        </w:tc>
        <w:tc>
          <w:tcPr>
            <w:tcW w:w="100" w:type="dxa"/>
            <w:vAlign w:val="bottom"/>
            <w:shd w:val="clear" w:color="auto" w:fill="CFF0FC"/>
          </w:tcPr>
          <w:p>
            <w:pPr>
              <w:spacing w:after="0"/>
              <w:rPr>
                <w:sz w:val="19"/>
                <w:szCs w:val="19"/>
                <w:color w:val="auto"/>
              </w:rPr>
            </w:pPr>
          </w:p>
        </w:tc>
      </w:tr>
      <w:tr>
        <w:trPr>
          <w:trHeight w:val="236"/>
        </w:trPr>
        <w:tc>
          <w:tcPr>
            <w:tcW w:w="342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92,167</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56,090</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241,627</w:t>
            </w:r>
          </w:p>
        </w:tc>
        <w:tc>
          <w:tcPr>
            <w:tcW w:w="180" w:type="dxa"/>
            <w:vAlign w:val="bottom"/>
          </w:tcPr>
          <w:p>
            <w:pPr>
              <w:spacing w:after="0"/>
              <w:rPr>
                <w:sz w:val="20"/>
                <w:szCs w:val="20"/>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160,848</w:t>
            </w:r>
          </w:p>
        </w:tc>
        <w:tc>
          <w:tcPr>
            <w:tcW w:w="100" w:type="dxa"/>
            <w:vAlign w:val="bottom"/>
          </w:tcPr>
          <w:p>
            <w:pPr>
              <w:spacing w:after="0"/>
              <w:rPr>
                <w:sz w:val="20"/>
                <w:szCs w:val="20"/>
                <w:color w:val="auto"/>
              </w:rPr>
            </w:pPr>
          </w:p>
        </w:tc>
      </w:tr>
      <w:tr>
        <w:trPr>
          <w:trHeight w:val="20"/>
        </w:trPr>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As of October 31, 2021, substantially all of the Company’s property and equipment, net, was located in the United States, Asia Pacific region and Europe with approximate net amounts of $3.1 million, $4.0 million and $1.5 million,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Major Customers</w:t>
      </w:r>
    </w:p>
    <w:p>
      <w:pPr>
        <w:spacing w:after="0" w:line="117"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auto"/>
        </w:rPr>
        <w:t>For the three and nine months ended October 31, 2021, the customers representing 10% or more of revenue and accounts receivable were Wintech and Chicony, which accounted for approximately 63.1% and 13.4% of total revenue for the three months ended October 31, 2021, respectively, and accounted for approximately 62.7% and 14.9% of total revenue for the nine months ended October 31, 2021, respectively. For the three and nine months ended October 31, 2020, the customers representing 10% or more of revenue and accounts receivable were Wintech and Chicony, which accounted for approximately 62.3% and 17.6% of total revenue for the three months ended October 31, 2020, respectively, and accounted for approximately 60.4% and 17.4% of total revenue for the nine months ended October 31, 2020, respectively. Accounts receivable with Wintech and Chicony were approximately $23.5 million and $12.4 million as of October 31, 2021,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On November 5, 2021, the Company completed the 100% voting rights acquisition of Oculii Corporation, a privately-held Ohio-based company that develops adaptive radar perception algorithms for automotive, including advanced driver assistance systems and autonomous vehicle driving systems, and other commercial applications, for an aggregate consideration of $307.5 million in cash, subject to customary adjustments for cash, indebtedness, transaction expenses and working capital. In addition, the Company assumed all unvested options to purchase Oculii capital stock that were held by continuing Oculii service providers, subject to customary adjustments with respect to the exercise price and number of shares underlying such options. The incurred acquisition related costs of $1.6 million were recorded in the operating expenses in the condensed consolidated statements of operations in the third quarter of fiscal 2022. Due to the limited time since the acquisition date, and the size and complexity of the transaction, the accounting for the business combination and the assumed unvested options are not yet complete. Accordingly, the Company is not able to provide the allocation of consideration paid to the assets acquired or liabilities assumed and the fair value of the assumed unvested options as of the filing of the condensed consolidated financial statements, but it is expected that the transaction will result in an increase to the Company’s net assets and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2021 and management’s discussion and analysis of our financial condition and results of operations included in our Annual Report on Form 10-K for the 2021 fiscal year filed with the Securities and Exchange Commission, or SEC, on March 31, 2021.</w:t>
      </w:r>
    </w:p>
    <w:p>
      <w:pPr>
        <w:spacing w:after="0" w:line="188" w:lineRule="exact"/>
        <w:rPr>
          <w:sz w:val="20"/>
          <w:szCs w:val="20"/>
          <w:color w:val="auto"/>
        </w:rPr>
      </w:pPr>
    </w:p>
    <w:p>
      <w:pPr>
        <w:ind w:right="40" w:firstLine="510"/>
        <w:spacing w:after="0" w:line="284" w:lineRule="auto"/>
        <w:rPr>
          <w:sz w:val="20"/>
          <w:szCs w:val="20"/>
          <w:color w:val="auto"/>
        </w:rPr>
      </w:pPr>
      <w:r>
        <w:rPr>
          <w:rFonts w:ascii="Arial" w:cs="Arial" w:eastAsia="Arial" w:hAnsi="Arial"/>
          <w:sz w:val="16"/>
          <w:szCs w:val="16"/>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and operating expenses,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the ongoing and potential impact of the COVID-19 pandemic on our operations or the operations of our supply chain or our customers; risks associated with the overall economy, including escalating trade tensions between the U.S. and China;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computer vision; our ability to effectively generate and manage growth; our ability to retain key employees; the potential for intellectual property disputes or other litigation;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10"/>
        <w:spacing w:after="0" w:line="268" w:lineRule="auto"/>
        <w:rPr>
          <w:sz w:val="20"/>
          <w:szCs w:val="20"/>
          <w:color w:val="auto"/>
        </w:rPr>
      </w:pPr>
      <w:r>
        <w:rPr>
          <w:rFonts w:ascii="Arial" w:cs="Arial" w:eastAsia="Arial" w:hAnsi="Arial"/>
          <w:sz w:val="17"/>
          <w:szCs w:val="17"/>
          <w:color w:val="auto"/>
        </w:rPr>
        <w:t>We are a leading developer of low-power system-on-a-chip, or SoC, semiconductors providing powerful artificial intelligence, or AI,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In the last several years, our development efforts have focused on creating advanced AI technology that enables edge devices to visually perceive the environment and make decisions based on the data collected from cameras and, most recently, other types of sensors. This category of AI technology is known as computer vision, or CV, and our CV SoCs integrate our state-of-the-art video processor technology together with our deep learning neural network processing technology, which we refer to as CVflow™. The CVflow-architecture supports a variety of CV algorithms, including object detection, classification and tracking, semantic and instance segmentation, image processing, stereo object detection, terrain mapping, and face recognition. CVflow can process other sensor modalities including lidar and radar, and allows customers to differentiate their products by porting their own, or third party, neural networks and/or classical CV algorithms to our CVflow-based SoCs. Our SoC designs fully integrate AI, computer vision functionality, HD video processing, image processing, audio processing, and system functions onto a single chip, delivering exceptional video and image quality at high compression rates, differentiated functionality and low power consumption. These CV-based technologies are allowing us to address a broader range of markets and applications requiring AI video features, including IP security cameras, a variety of automotive cameras, consumer cameras, and industrial and robotic markets and applications. We anticipate that our CV technology will also enable us to capture more content per electronic system.</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right="60" w:firstLine="510"/>
        <w:spacing w:after="0" w:line="291" w:lineRule="auto"/>
        <w:rPr>
          <w:sz w:val="20"/>
          <w:szCs w:val="20"/>
          <w:color w:val="auto"/>
        </w:rPr>
      </w:pPr>
      <w:r>
        <w:rPr>
          <w:rFonts w:ascii="Arial" w:cs="Arial" w:eastAsia="Arial" w:hAnsi="Arial"/>
          <w:sz w:val="16"/>
          <w:szCs w:val="16"/>
          <w:color w:val="auto"/>
        </w:rPr>
        <w:t>Our development efforts are focused on SoCs that provide both human viewing and computer vision functionality. As a result, we believe that our future revenue growth, if any, will significantly depend upon our ability to expand within camera markets with our AI and computer vision technology, particularly in the professional IP security and home security and monitoring camera markets, as well as emerging markets such as AI-enabled security cameras, AI-based driving applications, including driver monitoring systems, advanced blind spot detection, object detection, and deep learning algorithms for HD mapping solutions, OEM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and CV capabilities, and as we target new markets.</w:t>
      </w:r>
    </w:p>
    <w:p>
      <w:pPr>
        <w:spacing w:after="0" w:line="166"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sell our SoC solutions to leading original design manufacturers, or ODMs, and OEMs globally, and in the automotive market, we also sell to Tier-1 suppliers. We refer to ODMs and Tier-1 automotive suppliers as our customers and OEMs as our end customers, except as otherwise indicated or as the context otherwise requires.</w:t>
      </w:r>
    </w:p>
    <w:p>
      <w:pPr>
        <w:spacing w:after="0" w:line="184"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92"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Volume production may begin within 9 to 18 months after a design win, depending on the complexity of our customer’s product and other factors upon which we may have little or no influence. In general, design cycles will be longer in the OEM automotive and industrial and robotics markets than in the IP security and consumer device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 portable consumer device typically has a product life cycle of 6 to 18 months, while an IP security camera typically has a product life cycle of 12 to 24 months. We anticipate that product lifecycles will typically be longer than 24 months in the OEM automotive and industrial and robotics markets, as new product introductions occur less frequently in these markets.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Financial Highlights and Trends</w:t>
      </w:r>
    </w:p>
    <w:p>
      <w:pPr>
        <w:spacing w:after="0" w:line="117" w:lineRule="exact"/>
        <w:rPr>
          <w:sz w:val="20"/>
          <w:szCs w:val="20"/>
          <w:color w:val="auto"/>
        </w:rPr>
      </w:pPr>
    </w:p>
    <w:p>
      <w:pPr>
        <w:ind w:left="1520" w:right="20" w:hanging="500"/>
        <w:spacing w:after="0" w:line="289" w:lineRule="auto"/>
        <w:tabs>
          <w:tab w:leader="none" w:pos="1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recorded revenue of $92.2 million and $241.6 million for the three and nine months ended October 31, 2021, respectively. This represented increases of 64.3% and 50.2% for the three and nine months ended October 31, 2021, respectively, as compared to the same periods in the prior fiscal year. The increases in revenue were primarily attributable to continued adoption of our CV-based solutions in the IP security and automotive camera markets. In the professional IP security camera market, strong growth in the Asia and North America regions, together with continued sales penetration into the Europe region, resulted in a significant revenue increase in this market. In the home IP security camera market, revenue growth continued to be led by the North America region. A recovery in the automotive OEM and aftermarket applications in the Asia region, as well as continued adoption of our SoCs in the automotive fleet market, contributed an increase in revenue in the automotive markets. The increased revenues from the IP security and automotive camera markets were partially offset by decreased revenues in the consumer camera markets.</w:t>
      </w:r>
    </w:p>
    <w:p>
      <w:pPr>
        <w:spacing w:after="0" w:line="58" w:lineRule="exact"/>
        <w:rPr>
          <w:rFonts w:ascii="Arial" w:cs="Arial" w:eastAsia="Arial" w:hAnsi="Arial"/>
          <w:sz w:val="16"/>
          <w:szCs w:val="16"/>
          <w:color w:val="auto"/>
        </w:rPr>
      </w:pPr>
    </w:p>
    <w:p>
      <w:pPr>
        <w:ind w:left="1520" w:right="60" w:hanging="500"/>
        <w:spacing w:after="0" w:line="254" w:lineRule="auto"/>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operating losses of $1.2 million and $17.3 million for the three and nine months ended October 31, 2021, respectively, as compared to operating losses of $16.2 million and $47.2 million for the three and nine months ended October 31, 2020, respectively. The decreased operating losses were primarily due to increases in revenue and gross profit, partially offset by increased operating expenses. The increased operating expenses, mainly in support of automotive markets and applications for our computer vision-based solutions, related primarily to increased personnel costs associated with headcount growth and benefit programs as well as increased engineering related costs, partially offset by decreased chip tape-out costs due to the timing, complexity and number of chips in development.</w:t>
      </w:r>
    </w:p>
    <w:p>
      <w:pPr>
        <w:spacing w:after="0" w:line="86" w:lineRule="exact"/>
        <w:rPr>
          <w:rFonts w:ascii="Arial" w:cs="Arial" w:eastAsia="Arial" w:hAnsi="Arial"/>
          <w:sz w:val="18"/>
          <w:szCs w:val="18"/>
          <w:color w:val="auto"/>
        </w:rPr>
      </w:pPr>
    </w:p>
    <w:p>
      <w:pPr>
        <w:ind w:left="1520" w:hanging="500"/>
        <w:spacing w:after="0" w:line="275" w:lineRule="auto"/>
        <w:tabs>
          <w:tab w:leader="none" w:pos="1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generated cash flows from operating activities of $18.2 million for the nine months ended October 31, 2021, as compared to $18.3 million for the nine months ended October 31, 2020. The decreased cash flows from operating activities were primarily due to increased inventory purchases associated with longer supply chain lead times, increased accounts receivable associated with the timing of sales and decreased liabilities associated with the timing of payments to our suppliers. The decreased cash flows from operating activities were partially offset by a lower net loss for the nine months ended October 31, 2021.</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ind w:left="1520" w:right="280" w:hanging="500"/>
        <w:spacing w:after="0" w:line="263" w:lineRule="auto"/>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three months ended October 31, 2021, we liquidated all of our marketable debt security investments for total cash consideration of $215.1 million to partially finance the acquisition of Oculii Corporation, or Oculii Corp., which was completed on November 5,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i w:val="1"/>
          <w:iCs w:val="1"/>
          <w:color w:val="auto"/>
        </w:rPr>
        <w:t xml:space="preserve">Spread of COVID-19 Could Adversely Affect our Business in a Material Way. </w:t>
      </w:r>
      <w:r>
        <w:rPr>
          <w:rFonts w:ascii="Arial" w:cs="Arial" w:eastAsia="Arial" w:hAnsi="Arial"/>
          <w:sz w:val="16"/>
          <w:szCs w:val="16"/>
          <w:color w:val="auto"/>
        </w:rPr>
        <w:t>The COVID-19 pandemic has resulted in significant governmental</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being implemented to control the spread of the virus, including, among others, restrictions on travel and the imposition of remote or work from home conditions in many of the locations where we have offices. While we have not yet experienced a significant disruption of our operations as a result of the COVID-19 pandemic, if the remote or work from home conditions in any of our offices continues for an extended period of time, we may experience delays in product development, a decreased ability to support our customers, reduced design win activity, and overall lack of productivity. Similarly, while we have not yet experienced a major disruption in our supply chain as a result of the COVID-19 pandemic, we are experiencing significantly longer manufacturing times that, if they persist or worsen, could impact our ability to meet our customers’ demand for our solutions and negatively impact our revenue. As a result of these factors we have increased our inventory levels in the near term. Moreover, if there is a significant COVID-19 outbreak that impacts Samsung Electronic Corporation’s ability to manufacture our SoCs or our third-party contractors’ ability to assemble, test and ship our products, we could experience delays or reductions in our ability to ship products to our customers. The pandemic may also impact our customers’ ability to manufacture their products, support their customers or reduce or delay demand for their products, which could, in turn, reduce such demand for our solutions. While we cannot quantify specific impacts of the COVID-19 pandemic or actions taken by governments and businesses in response thereto, our results of operations and financial condition may be negatively affected if we encounter significant supply chain problems, reductions in demand due to our customers or end customers having problems, or other unexpected COVID-19 ramifications.</w:t>
      </w:r>
    </w:p>
    <w:p>
      <w:pPr>
        <w:spacing w:after="0" w:line="17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i w:val="1"/>
          <w:iCs w:val="1"/>
          <w:color w:val="auto"/>
        </w:rPr>
        <w:t>Ability to Capitalize on AI and Computer Vision Trends</w:t>
      </w:r>
      <w:r>
        <w:rPr>
          <w:rFonts w:ascii="Arial" w:cs="Arial" w:eastAsia="Arial" w:hAnsi="Arial"/>
          <w:sz w:val="17"/>
          <w:szCs w:val="17"/>
          <w:color w:val="auto"/>
        </w:rPr>
        <w:t>. We expect that AI and computer vision functionality will become an increasingly important</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 in many of our current and future markets, including IP security, automotive, industrial and robotics, and certain consumer markets. As a result, we believe that our ability to develop advanced AI computer vision technology,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IP security, automotive, industrial and robotics markets, is vital to our ability to generate revenue growth. As such, we closely monitor design wins by customer and end market. However, a design win may not successfully materialize into revenue, and even if it does result in revenue, the amount generated by each design win can vary significantly.</w:t>
      </w:r>
    </w:p>
    <w:p>
      <w:pPr>
        <w:spacing w:after="0" w:line="17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i w:val="1"/>
          <w:iCs w:val="1"/>
          <w:color w:val="auto"/>
        </w:rPr>
        <w:t>Ability to Develop and Introduce New or Enhanced Solutions</w:t>
      </w:r>
      <w:r>
        <w:rPr>
          <w:rFonts w:ascii="Arial" w:cs="Arial" w:eastAsia="Arial" w:hAnsi="Arial"/>
          <w:sz w:val="18"/>
          <w:szCs w:val="18"/>
          <w:color w:val="auto"/>
        </w:rPr>
        <w:t>. We operate in a dynamic environment characterized by rapidly changing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and technological obsolescence. To compete successfully, we must design, develop, market and sell enhanced solutions with increased levels of performance and functionality that meet the expectations of our customers.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19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i w:val="1"/>
          <w:iCs w:val="1"/>
          <w:color w:val="auto"/>
        </w:rPr>
        <w:t>Pricing, Product Cost and Margin</w:t>
      </w:r>
      <w:r>
        <w:rPr>
          <w:rFonts w:ascii="Arial" w:cs="Arial" w:eastAsia="Arial" w:hAnsi="Arial"/>
          <w:sz w:val="17"/>
          <w:szCs w:val="17"/>
          <w:color w:val="auto"/>
        </w:rPr>
        <w:t>. Our pricing and margins depend on the volumes and features of the solutions we provide to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7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ind w:right="20" w:firstLine="510"/>
        <w:spacing w:after="0" w:line="273" w:lineRule="auto"/>
        <w:rPr>
          <w:sz w:val="20"/>
          <w:szCs w:val="20"/>
          <w:color w:val="auto"/>
        </w:rPr>
      </w:pPr>
      <w:r>
        <w:rPr>
          <w:rFonts w:ascii="Arial" w:cs="Arial" w:eastAsia="Arial" w:hAnsi="Arial"/>
          <w:sz w:val="17"/>
          <w:szCs w:val="17"/>
          <w:i w:val="1"/>
          <w:iCs w:val="1"/>
          <w:color w:val="auto"/>
        </w:rPr>
        <w:t xml:space="preserve">Shifting Consumer Preferences. </w:t>
      </w:r>
      <w:r>
        <w:rPr>
          <w:rFonts w:ascii="Arial" w:cs="Arial" w:eastAsia="Arial" w:hAnsi="Arial"/>
          <w:sz w:val="17"/>
          <w:szCs w:val="17"/>
          <w:color w:val="auto"/>
        </w:rPr>
        <w:t>Our revenue is also subject to consumer preferences, regarding form factor and functionality, and how those</w:t>
      </w:r>
      <w:r>
        <w:rPr>
          <w:rFonts w:ascii="Arial" w:cs="Arial" w:eastAsia="Arial" w:hAnsi="Arial"/>
          <w:sz w:val="17"/>
          <w:szCs w:val="17"/>
          <w:i w:val="1"/>
          <w:iCs w:val="1"/>
          <w:color w:val="auto"/>
        </w:rPr>
        <w:t xml:space="preserve"> </w:t>
      </w:r>
      <w:r>
        <w:rPr>
          <w:rFonts w:ascii="Arial" w:cs="Arial" w:eastAsia="Arial" w:hAnsi="Arial"/>
          <w:sz w:val="17"/>
          <w:szCs w:val="17"/>
          <w:color w:val="auto"/>
        </w:rPr>
        <w:t>preferences impact the video and image capture electronics that we support. For example, improved smartphone video capture capabilities led to the decline of video cameras aimed at the video and image capture market. The current video and image capture market is now characterized by a greater volume of more specialized video and image capture devices that are less likely to be replaced with smartphones, such as wearable, IP security, aerial drone and automotive cameras. This increasing specialization of video capture devices has changed our customer base and end markets and has impacted our revenue. In the future, we expect further changes will continue to impact our business performance in those markets.</w:t>
      </w:r>
    </w:p>
    <w:p>
      <w:pPr>
        <w:spacing w:after="0" w:line="178"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i w:val="1"/>
          <w:iCs w:val="1"/>
          <w:color w:val="auto"/>
        </w:rPr>
        <w:t>Continued Concentration of Revenue by End Market</w:t>
      </w:r>
      <w:r>
        <w:rPr>
          <w:rFonts w:ascii="Arial" w:cs="Arial" w:eastAsia="Arial" w:hAnsi="Arial"/>
          <w:sz w:val="17"/>
          <w:szCs w:val="17"/>
          <w:color w:val="auto"/>
        </w:rPr>
        <w:t>. Historically, our revenue has been significantly concentrated in a small number of end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and we developed technologies to provide solutions for new markets as they emerged, such as the sports camera, IP security, aerial drone and automotive video recorder camera markets. Since fiscal year 2018, the professional and consumer IP security camera markets and automotive markets, including the OEM and aftermarket video recorder market,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end markets will continue to account for a significant percentage of our total revenue for the foreseeable future. Our end market concentration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86"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i w:val="1"/>
          <w:iCs w:val="1"/>
          <w:color w:val="auto"/>
        </w:rPr>
        <w:t>Ability to Capitalize on Connectivity Trends</w:t>
      </w:r>
      <w:r>
        <w:rPr>
          <w:rFonts w:ascii="Arial" w:cs="Arial" w:eastAsia="Arial" w:hAnsi="Arial"/>
          <w:sz w:val="16"/>
          <w:szCs w:val="16"/>
          <w:color w:val="auto"/>
        </w:rPr>
        <w:t>. Mobile connected devices are ubiquitous today and play an increasingly prominent role in consumers’</w:t>
      </w:r>
      <w:r>
        <w:rPr>
          <w:rFonts w:ascii="Arial" w:cs="Arial" w:eastAsia="Arial" w:hAnsi="Arial"/>
          <w:sz w:val="16"/>
          <w:szCs w:val="16"/>
          <w:i w:val="1"/>
          <w:iCs w:val="1"/>
          <w:color w:val="auto"/>
        </w:rPr>
        <w:t xml:space="preserve"> </w:t>
      </w:r>
      <w:r>
        <w:rPr>
          <w:rFonts w:ascii="Arial" w:cs="Arial" w:eastAsia="Arial" w:hAnsi="Arial"/>
          <w:sz w:val="16"/>
          <w:szCs w:val="16"/>
          <w:color w:val="auto"/>
        </w:rPr>
        <w:t>lives. The constant connectivity provided by these devices has created a demand for connected electronic peripherals such as video and image capture devices. Our ability to capitalize on these trends by supporting our end customers in the development of connected peripherals that seamlessly cooperate with other connected devices and allow consumers to distribute and share video and images with online media platforms is critical for our success. We have added wireless communication functionality into our solutions for wearable, IP security, aerial drone and automotive video recorder cameras. The combination of our compression technology with wireless connectivity enables wireless video streaming and uploading of videos and images to the Internet. Our solutions enable IP security camera systems to stream video content to either cloud infrastructure or connected mobile devices, and our solutions for wearable and aerial drone cameras allow consumers to quickly stream or upload video and images to social media platforms.</w:t>
      </w:r>
    </w:p>
    <w:p>
      <w:pPr>
        <w:spacing w:after="0" w:line="165"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i w:val="1"/>
          <w:iCs w:val="1"/>
          <w:color w:val="auto"/>
        </w:rPr>
        <w:t>Sales Volume</w:t>
      </w:r>
      <w:r>
        <w:rPr>
          <w:rFonts w:ascii="Arial" w:cs="Arial" w:eastAsia="Arial" w:hAnsi="Arial"/>
          <w:sz w:val="17"/>
          <w:szCs w:val="17"/>
          <w:color w:val="auto"/>
        </w:rPr>
        <w:t>. A typical design win that successfully launches into the marketplace can generate a wide range of sales volumes for our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17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i w:val="1"/>
          <w:iCs w:val="1"/>
          <w:color w:val="auto"/>
        </w:rPr>
        <w:t xml:space="preserve">Customer Product Life Cycle. </w:t>
      </w:r>
      <w:r>
        <w:rPr>
          <w:rFonts w:ascii="Arial" w:cs="Arial" w:eastAsia="Arial" w:hAnsi="Arial"/>
          <w:sz w:val="18"/>
          <w:szCs w:val="18"/>
          <w:color w:val="auto"/>
        </w:rPr>
        <w:t>We estimate our customers’ product life cycles based on the customer, type of product and end market. We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 commercial shipments from 9 to 18 months following a design win; however, in some markets, lengthier product and development cycles are possible, depending on the scope and nature of the project, such as in the automotive OEM market. A portable consumer device typically has a product life cycle of 6 to 18 months, and an IP security camera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statement of operations for the periods indicated:</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8"/>
              </w:rPr>
              <w:t>Three Months Ended</w:t>
            </w:r>
          </w:p>
        </w:tc>
        <w:tc>
          <w:tcPr>
            <w:tcW w:w="192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Nine Months Ended October</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October 31,</w:t>
            </w:r>
          </w:p>
        </w:tc>
        <w:tc>
          <w:tcPr>
            <w:tcW w:w="1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31,</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5"/>
          </w:tcPr>
          <w:p>
            <w:pPr>
              <w:jc w:val="right"/>
              <w:ind w:right="420"/>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92,167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56,090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241,627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160,848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34,541</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21,298</w:t>
            </w:r>
          </w:p>
        </w:tc>
        <w:tc>
          <w:tcPr>
            <w:tcW w:w="1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90,817</w:t>
            </w:r>
          </w:p>
        </w:tc>
        <w:tc>
          <w:tcPr>
            <w:tcW w:w="1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63,078</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57,626</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34,792</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150,810</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41,362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36,573</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118,794</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103,575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17,475</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14,468</w:t>
            </w:r>
          </w:p>
        </w:tc>
        <w:tc>
          <w:tcPr>
            <w:tcW w:w="1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49,323</w:t>
            </w:r>
          </w:p>
        </w:tc>
        <w:tc>
          <w:tcPr>
            <w:tcW w:w="1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41,348</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58,837</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51,041</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168,117</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144,923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48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(16,249)</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(17,307)</w:t>
            </w:r>
          </w:p>
        </w:tc>
        <w:tc>
          <w:tcPr>
            <w:tcW w:w="1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(47,153)</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60" w:type="dxa"/>
            <w:vAlign w:val="bottom"/>
          </w:tcPr>
          <w:p>
            <w:pPr>
              <w:ind w:left="480"/>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(15,576)</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(16,089)</w:t>
            </w:r>
          </w:p>
        </w:tc>
        <w:tc>
          <w:tcPr>
            <w:tcW w:w="1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(43,922)</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(1,560)</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48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60" w:type="dxa"/>
            <w:vAlign w:val="bottom"/>
            <w:vMerge w:val="continue"/>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(17,078)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(17,218)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(47,297)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operating results as a percentage of revenue of each line item for the periods indicated:</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3"/>
              </w:rPr>
              <w:t>Nine Months Ended October</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26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0"/>
              </w:rPr>
              <w:t>October 31,</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480"/>
              <w:spacing w:after="0"/>
              <w:rPr>
                <w:sz w:val="20"/>
                <w:szCs w:val="20"/>
                <w:color w:val="auto"/>
              </w:rPr>
            </w:pPr>
            <w:r>
              <w:rPr>
                <w:rFonts w:ascii="Arial" w:cs="Arial" w:eastAsia="Arial" w:hAnsi="Arial"/>
                <w:sz w:val="18"/>
                <w:szCs w:val="18"/>
                <w:color w:val="auto"/>
              </w:rPr>
              <w:t>Loss from operations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740" w:type="dxa"/>
            <w:vAlign w:val="bottom"/>
          </w:tcPr>
          <w:p>
            <w:pPr>
              <w:ind w:left="480"/>
              <w:spacing w:after="0"/>
              <w:rPr>
                <w:sz w:val="20"/>
                <w:szCs w:val="20"/>
                <w:color w:val="auto"/>
              </w:rPr>
            </w:pPr>
            <w:r>
              <w:rPr>
                <w:rFonts w:ascii="Arial" w:cs="Arial" w:eastAsia="Arial" w:hAnsi="Arial"/>
                <w:sz w:val="18"/>
                <w:szCs w:val="18"/>
                <w:color w:val="auto"/>
              </w:rPr>
              <w:t>Loss before income taxes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ind w:left="480"/>
              <w:spacing w:after="0"/>
              <w:rPr>
                <w:sz w:val="20"/>
                <w:szCs w:val="20"/>
                <w:color w:val="auto"/>
              </w:rPr>
            </w:pPr>
            <w:r>
              <w:rPr>
                <w:rFonts w:ascii="Arial" w:cs="Arial" w:eastAsia="Arial" w:hAnsi="Arial"/>
                <w:sz w:val="18"/>
                <w:szCs w:val="18"/>
                <w:color w:val="auto"/>
              </w:rPr>
              <w:t>Net income (loss)</w:t>
            </w: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derive substantially all of our revenue from the sale of HD and Ultra HD video and image processing SoC solutions to IP security camera OEMs, IP security camera ODMs, OEM automotive or Tier-1 automotive suppliers, and consumer camera OEMs, either directly or through our distributors. In recent years, our SoC solutions have been primarily used in camera markets, such as IP security, automotive video recorder, drone and wearable cameras. Although we expect these camera markets, in particular the IP security and automotive video recorder markets, to continue to generate revenue for the foreseeable future, we have recently introduced new SoCs targeting emerging AI and computer vision applications in the IP security camera, OEM automotive, industrial and robotics markets. We derive a substantial portion of our revenue from sales made indirectly through one of our distributors, WT Microelectronics Co., Ltd., formerly Wintech Microelectronics Co., Ltd., or Wintech, and directly to one of our ODM customers, Chicony Electronics Co., Ltd., or Chicony.</w:t>
      </w:r>
    </w:p>
    <w:p>
      <w:pPr>
        <w:spacing w:after="0" w:line="192" w:lineRule="exact"/>
        <w:rPr>
          <w:sz w:val="20"/>
          <w:szCs w:val="20"/>
          <w:color w:val="auto"/>
        </w:rPr>
      </w:pPr>
    </w:p>
    <w:p>
      <w:pPr>
        <w:ind w:right="240" w:firstLine="510"/>
        <w:spacing w:after="0" w:line="293" w:lineRule="auto"/>
        <w:rPr>
          <w:sz w:val="20"/>
          <w:szCs w:val="20"/>
          <w:color w:val="auto"/>
        </w:rPr>
      </w:pPr>
      <w:r>
        <w:rPr>
          <w:rFonts w:ascii="Arial" w:cs="Arial" w:eastAsia="Arial" w:hAnsi="Arial"/>
          <w:sz w:val="16"/>
          <w:szCs w:val="16"/>
          <w:color w:val="auto"/>
        </w:rPr>
        <w:t>We have historically experienced seasonal fluctuations in our quarterly revenue with our third fiscal quarter normally being the higher revenue quarter. This fluctuation has been driven primarily by increased sales in IP security and consumer camera markets as our customers build inventories in preparation for the holiday shopping season. As we transition away from consumer markets, seasonal impact has decreased. Our average selling prices fluctuate based on the mix of our solutions sold in a period which reflects the impact of both changes in unit sales of existing solutions as well as the introduction and sales of new solutions. Our solutions are typically characterized by a life cycle that begins with higher average selling prices and lower volumes, followed by broader market adoption, higher volumes and average selling prices that are lower than initial levels.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7" w:name="page28"/>
    <w:bookmarkEnd w:id="27"/>
    <w:p>
      <w:pPr>
        <w:ind w:right="220" w:firstLine="510"/>
        <w:spacing w:after="0" w:line="259" w:lineRule="auto"/>
        <w:rPr>
          <w:sz w:val="20"/>
          <w:szCs w:val="20"/>
          <w:color w:val="auto"/>
        </w:rPr>
      </w:pPr>
      <w:r>
        <w:rPr>
          <w:rFonts w:ascii="Arial" w:cs="Arial" w:eastAsia="Arial" w:hAnsi="Arial"/>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AI and computer vision specialized use cases emerge and video capture continues to proliferate.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Cost of revenue includes the cost of materials such as wafers processed by third-party foundries, costs associated with packaging, assembly and testing, and our manufacturing support operations such as logistics, planning and quality assurance. Cost of revenue also includes indirect costs such as warranty, inventory valuation reserves and other general overhead costs.</w:t>
      </w:r>
    </w:p>
    <w:p>
      <w:pPr>
        <w:spacing w:after="0" w:line="184"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 of fabrication of mask sets for prototype products, equipment expenses, outside services and allocated depreciation and facility expenses, net of any research and development grants.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 especially for the OEM automotive market.</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income, net, consists primarily of interest and other income from debt security investments and cash deposits with financial institutions.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60" w:firstLine="478"/>
        <w:spacing w:after="0" w:line="290" w:lineRule="auto"/>
        <w:rPr>
          <w:sz w:val="20"/>
          <w:szCs w:val="20"/>
          <w:color w:val="auto"/>
        </w:rPr>
      </w:pPr>
      <w:r>
        <w:rPr>
          <w:rFonts w:ascii="Arial" w:cs="Arial" w:eastAsia="Arial" w:hAnsi="Arial"/>
          <w:sz w:val="16"/>
          <w:szCs w:val="16"/>
          <w:color w:val="auto"/>
        </w:rPr>
        <w:t>We are incorporated and domiciled in the Cayman Islands and also conduct business in several countries such as the United States, China, Taiwan, Hong Kong, Italy, Germany, South Korea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was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right="120" w:firstLine="510"/>
        <w:spacing w:after="0" w:line="273"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70" w:lineRule="exact"/>
        <w:rPr>
          <w:sz w:val="20"/>
          <w:szCs w:val="20"/>
          <w:color w:val="auto"/>
        </w:rPr>
      </w:pPr>
    </w:p>
    <w:p>
      <w:pPr>
        <w:ind w:right="160" w:firstLine="478"/>
        <w:spacing w:after="0" w:line="279" w:lineRule="auto"/>
        <w:rPr>
          <w:sz w:val="20"/>
          <w:szCs w:val="20"/>
          <w:color w:val="auto"/>
        </w:rPr>
      </w:pPr>
      <w:r>
        <w:rPr>
          <w:rFonts w:ascii="Arial" w:cs="Arial" w:eastAsia="Arial" w:hAnsi="Arial"/>
          <w:sz w:val="17"/>
          <w:szCs w:val="17"/>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October 31,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2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Nine Months Ended October</w:t>
            </w:r>
          </w:p>
        </w:tc>
        <w:tc>
          <w:tcPr>
            <w:tcW w:w="12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October 31,</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w w:val="92"/>
              </w:rPr>
              <w:t>31,</w:t>
            </w:r>
          </w:p>
        </w:tc>
        <w:tc>
          <w:tcPr>
            <w:tcW w:w="20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308"/>
              <w:spacing w:after="0" w:line="155" w:lineRule="exact"/>
              <w:rPr>
                <w:sz w:val="20"/>
                <w:szCs w:val="20"/>
                <w:color w:val="auto"/>
              </w:rPr>
            </w:pPr>
            <w:r>
              <w:rPr>
                <w:rFonts w:ascii="Arial" w:cs="Arial" w:eastAsia="Arial" w:hAnsi="Arial"/>
                <w:sz w:val="14"/>
                <w:szCs w:val="14"/>
                <w:b w:val="1"/>
                <w:bCs w:val="1"/>
                <w:color w:val="auto"/>
                <w:w w:val="94"/>
              </w:rPr>
              <w:t>Amount</w:t>
            </w:r>
          </w:p>
        </w:tc>
        <w:tc>
          <w:tcPr>
            <w:tcW w:w="62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362"/>
              <w:spacing w:after="0" w:line="155" w:lineRule="exact"/>
              <w:rPr>
                <w:sz w:val="20"/>
                <w:szCs w:val="20"/>
                <w:color w:val="auto"/>
              </w:rPr>
            </w:pPr>
            <w:r>
              <w:rPr>
                <w:rFonts w:ascii="Arial" w:cs="Arial" w:eastAsia="Arial" w:hAnsi="Arial"/>
                <w:sz w:val="14"/>
                <w:szCs w:val="14"/>
                <w:b w:val="1"/>
                <w:bCs w:val="1"/>
                <w:color w:val="auto"/>
                <w:w w:val="98"/>
              </w:rPr>
              <w:t>Amount</w:t>
            </w:r>
          </w:p>
        </w:tc>
        <w:tc>
          <w:tcPr>
            <w:tcW w:w="58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5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   92,167</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56,090</w:t>
            </w:r>
          </w:p>
        </w:tc>
        <w:tc>
          <w:tcPr>
            <w:tcW w:w="1400" w:type="dxa"/>
            <w:vAlign w:val="bottom"/>
            <w:gridSpan w:val="2"/>
            <w:shd w:val="clear" w:color="auto" w:fill="CFF0FC"/>
          </w:tcPr>
          <w:p>
            <w:pPr>
              <w:jc w:val="right"/>
              <w:ind w:right="328"/>
              <w:spacing w:after="0"/>
              <w:rPr>
                <w:sz w:val="20"/>
                <w:szCs w:val="20"/>
                <w:color w:val="auto"/>
              </w:rPr>
            </w:pPr>
            <w:r>
              <w:rPr>
                <w:rFonts w:ascii="Arial" w:cs="Arial" w:eastAsia="Arial" w:hAnsi="Arial"/>
                <w:sz w:val="18"/>
                <w:szCs w:val="18"/>
                <w:color w:val="auto"/>
              </w:rPr>
              <w:t>$   36,077</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64.3%</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  241,627</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160,848</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w w:val="97"/>
              </w:rPr>
              <w:t>$   80,779</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increased revenue for the three and nine months ended October 31, 2021, as compared to the same periods in the prior fiscal year, was primarily attributable to continued adoption of our CV-based solutions in the IP security and automotive camera markets. In the professional IP security camera market, strong growth in the Asia and North America regions, together with continued sales penetration into the Europe region, resulted in a significant revenue increase in this market. In the home IP security camera market, revenue growth continued to be led by the North America region. A recovery in the automotive OEM and aftermarket applications in the Asia region, as well as continued adoption of our SoCs in the automotive fleet market, contributed an increase in revenue in the automotive markets. The increased revenues from the IP security and automotive camera markets were partially offset by decreased revenues in the consumer camera markets.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1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Three Months Ended October</w:t>
            </w: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6"/>
              </w:rPr>
              <w:t>Nine Months Ended October</w:t>
            </w:r>
          </w:p>
        </w:tc>
        <w:tc>
          <w:tcPr>
            <w:tcW w:w="60" w:type="dxa"/>
            <w:vAlign w:val="bottom"/>
          </w:tcPr>
          <w:p>
            <w:pPr>
              <w:spacing w:after="0"/>
              <w:rPr>
                <w:sz w:val="14"/>
                <w:szCs w:val="14"/>
                <w:color w:val="auto"/>
              </w:rPr>
            </w:pPr>
          </w:p>
        </w:tc>
        <w:tc>
          <w:tcPr>
            <w:tcW w:w="12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w:t>
            </w: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00" w:type="dxa"/>
            <w:vAlign w:val="bottom"/>
          </w:tcPr>
          <w:p>
            <w:pPr>
              <w:spacing w:after="0"/>
              <w:rPr>
                <w:sz w:val="13"/>
                <w:szCs w:val="13"/>
                <w:color w:val="auto"/>
              </w:rPr>
            </w:pPr>
          </w:p>
        </w:tc>
        <w:tc>
          <w:tcPr>
            <w:tcW w:w="104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02"/>
              <w:spacing w:after="0" w:line="155" w:lineRule="exact"/>
              <w:rPr>
                <w:sz w:val="20"/>
                <w:szCs w:val="20"/>
                <w:color w:val="auto"/>
              </w:rPr>
            </w:pPr>
            <w:r>
              <w:rPr>
                <w:rFonts w:ascii="Arial" w:cs="Arial" w:eastAsia="Arial" w:hAnsi="Arial"/>
                <w:sz w:val="14"/>
                <w:szCs w:val="14"/>
                <w:b w:val="1"/>
                <w:bCs w:val="1"/>
                <w:color w:val="auto"/>
              </w:rPr>
              <w:t>Amount</w:t>
            </w:r>
          </w:p>
        </w:tc>
        <w:tc>
          <w:tcPr>
            <w:tcW w:w="56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900" w:type="dxa"/>
            <w:vAlign w:val="bottom"/>
            <w:gridSpan w:val="3"/>
          </w:tcPr>
          <w:p>
            <w:pPr>
              <w:jc w:val="right"/>
              <w:ind w:right="419"/>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8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4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rPr>
              <w:t>$  34,541</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21,298</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17"/>
              <w:spacing w:after="0"/>
              <w:rPr>
                <w:sz w:val="20"/>
                <w:szCs w:val="20"/>
                <w:color w:val="auto"/>
              </w:rPr>
            </w:pPr>
            <w:r>
              <w:rPr>
                <w:rFonts w:ascii="Arial" w:cs="Arial" w:eastAsia="Arial" w:hAnsi="Arial"/>
                <w:sz w:val="18"/>
                <w:szCs w:val="18"/>
                <w:color w:val="auto"/>
              </w:rPr>
              <w:t>$  13,243</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62.2%</w:t>
            </w: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w w:val="99"/>
              </w:rPr>
              <w:t>$   90,817</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63,078</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42"/>
              <w:spacing w:after="0"/>
              <w:rPr>
                <w:sz w:val="20"/>
                <w:szCs w:val="20"/>
                <w:color w:val="auto"/>
              </w:rPr>
            </w:pPr>
            <w:r>
              <w:rPr>
                <w:rFonts w:ascii="Arial" w:cs="Arial" w:eastAsia="Arial" w:hAnsi="Arial"/>
                <w:sz w:val="18"/>
                <w:szCs w:val="18"/>
                <w:color w:val="auto"/>
              </w:rPr>
              <w:t>$  27,739</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Gross profit</w:t>
            </w:r>
          </w:p>
        </w:tc>
        <w:tc>
          <w:tcPr>
            <w:tcW w:w="1040" w:type="dxa"/>
            <w:vAlign w:val="bottom"/>
          </w:tcPr>
          <w:p>
            <w:pPr>
              <w:jc w:val="right"/>
              <w:ind w:right="179"/>
              <w:spacing w:after="0"/>
              <w:rPr>
                <w:sz w:val="20"/>
                <w:szCs w:val="20"/>
                <w:color w:val="auto"/>
              </w:rPr>
            </w:pPr>
            <w:r>
              <w:rPr>
                <w:rFonts w:ascii="Arial" w:cs="Arial" w:eastAsia="Arial" w:hAnsi="Arial"/>
                <w:sz w:val="18"/>
                <w:szCs w:val="18"/>
                <w:color w:val="auto"/>
              </w:rPr>
              <w:t>57,626</w:t>
            </w:r>
          </w:p>
        </w:tc>
        <w:tc>
          <w:tcPr>
            <w:tcW w:w="820" w:type="dxa"/>
            <w:vAlign w:val="bottom"/>
          </w:tcPr>
          <w:p>
            <w:pPr>
              <w:jc w:val="right"/>
              <w:spacing w:after="0"/>
              <w:rPr>
                <w:sz w:val="20"/>
                <w:szCs w:val="20"/>
                <w:color w:val="auto"/>
              </w:rPr>
            </w:pPr>
            <w:r>
              <w:rPr>
                <w:rFonts w:ascii="Arial" w:cs="Arial" w:eastAsia="Arial" w:hAnsi="Arial"/>
                <w:sz w:val="18"/>
                <w:szCs w:val="18"/>
                <w:color w:val="auto"/>
              </w:rPr>
              <w:t>34,792</w:t>
            </w:r>
          </w:p>
        </w:tc>
        <w:tc>
          <w:tcPr>
            <w:tcW w:w="280" w:type="dxa"/>
            <w:vAlign w:val="bottom"/>
          </w:tcPr>
          <w:p>
            <w:pPr>
              <w:spacing w:after="0"/>
              <w:rPr>
                <w:sz w:val="21"/>
                <w:szCs w:val="21"/>
                <w:color w:val="auto"/>
              </w:rPr>
            </w:pPr>
          </w:p>
        </w:tc>
        <w:tc>
          <w:tcPr>
            <w:tcW w:w="1180" w:type="dxa"/>
            <w:vAlign w:val="bottom"/>
          </w:tcPr>
          <w:p>
            <w:pPr>
              <w:jc w:val="right"/>
              <w:ind w:right="317"/>
              <w:spacing w:after="0"/>
              <w:rPr>
                <w:sz w:val="20"/>
                <w:szCs w:val="20"/>
                <w:color w:val="auto"/>
              </w:rPr>
            </w:pPr>
            <w:r>
              <w:rPr>
                <w:rFonts w:ascii="Arial" w:cs="Arial" w:eastAsia="Arial" w:hAnsi="Arial"/>
                <w:sz w:val="18"/>
                <w:szCs w:val="18"/>
                <w:color w:val="auto"/>
              </w:rPr>
              <w:t>22,834</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65.6%</w:t>
            </w:r>
          </w:p>
        </w:tc>
        <w:tc>
          <w:tcPr>
            <w:tcW w:w="1060" w:type="dxa"/>
            <w:vAlign w:val="bottom"/>
          </w:tcPr>
          <w:p>
            <w:pPr>
              <w:jc w:val="right"/>
              <w:ind w:right="159"/>
              <w:spacing w:after="0"/>
              <w:rPr>
                <w:sz w:val="20"/>
                <w:szCs w:val="20"/>
                <w:color w:val="auto"/>
              </w:rPr>
            </w:pPr>
            <w:r>
              <w:rPr>
                <w:rFonts w:ascii="Arial" w:cs="Arial" w:eastAsia="Arial" w:hAnsi="Arial"/>
                <w:sz w:val="18"/>
                <w:szCs w:val="18"/>
                <w:color w:val="auto"/>
              </w:rPr>
              <w:t>150,810</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97,770</w:t>
            </w:r>
          </w:p>
        </w:tc>
        <w:tc>
          <w:tcPr>
            <w:tcW w:w="220" w:type="dxa"/>
            <w:vAlign w:val="bottom"/>
          </w:tcPr>
          <w:p>
            <w:pPr>
              <w:spacing w:after="0"/>
              <w:rPr>
                <w:sz w:val="21"/>
                <w:szCs w:val="21"/>
                <w:color w:val="auto"/>
              </w:rPr>
            </w:pPr>
          </w:p>
        </w:tc>
        <w:tc>
          <w:tcPr>
            <w:tcW w:w="1280" w:type="dxa"/>
            <w:vAlign w:val="bottom"/>
            <w:gridSpan w:val="2"/>
          </w:tcPr>
          <w:p>
            <w:pPr>
              <w:jc w:val="right"/>
              <w:ind w:right="342"/>
              <w:spacing w:after="0"/>
              <w:rPr>
                <w:sz w:val="20"/>
                <w:szCs w:val="20"/>
                <w:color w:val="auto"/>
              </w:rPr>
            </w:pPr>
            <w:r>
              <w:rPr>
                <w:rFonts w:ascii="Arial" w:cs="Arial" w:eastAsia="Arial" w:hAnsi="Arial"/>
                <w:sz w:val="18"/>
                <w:szCs w:val="18"/>
                <w:color w:val="auto"/>
              </w:rPr>
              <w:t>53,040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0"/>
        </w:trPr>
        <w:tc>
          <w:tcPr>
            <w:tcW w:w="180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62.0%</w:t>
            </w:r>
          </w:p>
        </w:tc>
        <w:tc>
          <w:tcPr>
            <w:tcW w:w="1180" w:type="dxa"/>
            <w:vAlign w:val="bottom"/>
            <w:shd w:val="clear" w:color="auto" w:fill="CFF0FC"/>
          </w:tcPr>
          <w:p>
            <w:pPr>
              <w:jc w:val="right"/>
              <w:ind w:right="31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60.8%</w:t>
            </w:r>
          </w:p>
        </w:tc>
        <w:tc>
          <w:tcPr>
            <w:tcW w:w="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Cost of revenue increased for the three and nine months ended October 31, 2021, as compared to the same periods in the prior fiscal year, primarily due to increased revenue, partially offset by favorable product mix.</w:t>
      </w:r>
    </w:p>
    <w:p>
      <w:pPr>
        <w:spacing w:after="0" w:line="170"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Gross margin increased for the three and nine months ended October 31, 2021, as compared to the same periods in the prior fiscal year, primarily due to an increase in the percentage of our total revenue that was derived from the higher gross margin automotive markets. Customer concentration shift from the China region to Asia regions other than China and to North America in the professional IP security camera market also contributed an improvement to the gross margin for the three and nine months ended October 31, 2021.</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2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Nine Months Ended October</w:t>
            </w:r>
          </w:p>
        </w:tc>
        <w:tc>
          <w:tcPr>
            <w:tcW w:w="12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October 31,</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w w:val="92"/>
              </w:rPr>
              <w:t>31,</w:t>
            </w:r>
          </w:p>
        </w:tc>
        <w:tc>
          <w:tcPr>
            <w:tcW w:w="20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w w:val="98"/>
              </w:rPr>
              <w:t>Amount</w:t>
            </w:r>
          </w:p>
        </w:tc>
        <w:tc>
          <w:tcPr>
            <w:tcW w:w="60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362"/>
              <w:spacing w:after="0" w:line="155" w:lineRule="exact"/>
              <w:rPr>
                <w:sz w:val="20"/>
                <w:szCs w:val="20"/>
                <w:color w:val="auto"/>
              </w:rPr>
            </w:pPr>
            <w:r>
              <w:rPr>
                <w:rFonts w:ascii="Arial" w:cs="Arial" w:eastAsia="Arial" w:hAnsi="Arial"/>
                <w:sz w:val="14"/>
                <w:szCs w:val="14"/>
                <w:b w:val="1"/>
                <w:bCs w:val="1"/>
                <w:color w:val="auto"/>
                <w:w w:val="98"/>
              </w:rPr>
              <w:t>Amount</w:t>
            </w:r>
          </w:p>
        </w:tc>
        <w:tc>
          <w:tcPr>
            <w:tcW w:w="58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8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18"/>
                <w:szCs w:val="18"/>
                <w:color w:val="auto"/>
              </w:rPr>
              <w:t>Research and</w:t>
            </w: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18"/>
                <w:szCs w:val="18"/>
                <w:color w:val="auto"/>
              </w:rPr>
              <w:t>development</w:t>
            </w:r>
          </w:p>
        </w:tc>
        <w:tc>
          <w:tcPr>
            <w:tcW w:w="1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   41,362</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36,573</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39"/>
              <w:spacing w:after="0"/>
              <w:rPr>
                <w:sz w:val="20"/>
                <w:szCs w:val="20"/>
                <w:color w:val="auto"/>
              </w:rPr>
            </w:pPr>
            <w:r>
              <w:rPr>
                <w:rFonts w:ascii="Arial" w:cs="Arial" w:eastAsia="Arial" w:hAnsi="Arial"/>
                <w:sz w:val="18"/>
                <w:szCs w:val="18"/>
                <w:color w:val="auto"/>
              </w:rPr>
              <w:t>4,789</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13.1%</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  118,794</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103,575</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w w:val="97"/>
              </w:rPr>
              <w:t>$   15,219</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ind w:firstLine="510"/>
        <w:spacing w:after="0" w:line="271" w:lineRule="auto"/>
        <w:rPr>
          <w:sz w:val="20"/>
          <w:szCs w:val="20"/>
          <w:color w:val="auto"/>
        </w:rPr>
      </w:pPr>
      <w:r>
        <w:rPr>
          <w:rFonts w:ascii="Arial" w:cs="Arial" w:eastAsia="Arial" w:hAnsi="Arial"/>
          <w:sz w:val="17"/>
          <w:szCs w:val="17"/>
          <w:color w:val="auto"/>
        </w:rPr>
        <w:t>Research and development expense increased for the three and nine months ended October 31, 2021, as compared to the same periods in the prior fiscal year, primarily due to increased personnel costs and engineering related costs. For the three and nine months ended October 31, 2021, personnel costs increased by approximately $4.8 million and $13.0 million, respectively, as a result of issuance of stock awards, employee benefit programs and an increase in headcount. Our engineering headcount was 618 at October 31, 2021 compared to 568 at October 31, 2020. Engineering related costs, including equipment expense, outside service and facility related expenses associated with the support of new SoCs and related software, increased by approximately $2.3 million and $5.5 million for the three and nine months ended October 31, 2021, respectively. The increase was partially offset by decreased SoC development costs due to the timing, complexity and number of chips in development. For the three and nine months ended October 31, 2021, SoC development costs decreased by approximately $2.3 million and $3.2 million, respectively.</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Nine Months Ended October</w:t>
            </w:r>
          </w:p>
        </w:tc>
        <w:tc>
          <w:tcPr>
            <w:tcW w:w="120" w:type="dxa"/>
            <w:vAlign w:val="bottom"/>
          </w:tcPr>
          <w:p>
            <w:pPr>
              <w:spacing w:after="0"/>
              <w:rPr>
                <w:sz w:val="14"/>
                <w:szCs w:val="14"/>
                <w:color w:val="auto"/>
              </w:rPr>
            </w:pPr>
          </w:p>
        </w:tc>
        <w:tc>
          <w:tcPr>
            <w:tcW w:w="11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October 31,</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w w:val="92"/>
              </w:rPr>
              <w:t>31,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w w:val="98"/>
              </w:rPr>
              <w:t>Amount</w:t>
            </w:r>
          </w:p>
        </w:tc>
        <w:tc>
          <w:tcPr>
            <w:tcW w:w="62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2"/>
              <w:spacing w:after="0" w:line="155" w:lineRule="exact"/>
              <w:rPr>
                <w:sz w:val="20"/>
                <w:szCs w:val="20"/>
                <w:color w:val="auto"/>
              </w:rPr>
            </w:pPr>
            <w:r>
              <w:rPr>
                <w:rFonts w:ascii="Arial" w:cs="Arial" w:eastAsia="Arial" w:hAnsi="Arial"/>
                <w:sz w:val="14"/>
                <w:szCs w:val="14"/>
                <w:b w:val="1"/>
                <w:bCs w:val="1"/>
                <w:color w:val="auto"/>
                <w:w w:val="98"/>
              </w:rPr>
              <w:t>Amount</w:t>
            </w:r>
          </w:p>
        </w:tc>
        <w:tc>
          <w:tcPr>
            <w:tcW w:w="58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0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7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FF0FC"/>
          </w:tcPr>
          <w:p>
            <w:pPr>
              <w:spacing w:after="0"/>
              <w:rPr>
                <w:sz w:val="20"/>
                <w:szCs w:val="20"/>
                <w:color w:val="auto"/>
              </w:rPr>
            </w:pPr>
            <w:r>
              <w:rPr>
                <w:rFonts w:ascii="Arial" w:cs="Arial" w:eastAsia="Arial" w:hAnsi="Arial"/>
                <w:sz w:val="18"/>
                <w:szCs w:val="18"/>
                <w:color w:val="auto"/>
              </w:rPr>
              <w:t>administrative</w:t>
            </w:r>
          </w:p>
        </w:tc>
        <w:tc>
          <w:tcPr>
            <w:tcW w:w="116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   17,475</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14,468</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22"/>
              <w:spacing w:after="0"/>
              <w:rPr>
                <w:sz w:val="20"/>
                <w:szCs w:val="20"/>
                <w:color w:val="auto"/>
              </w:rPr>
            </w:pPr>
            <w:r>
              <w:rPr>
                <w:rFonts w:ascii="Arial" w:cs="Arial" w:eastAsia="Arial" w:hAnsi="Arial"/>
                <w:sz w:val="18"/>
                <w:szCs w:val="18"/>
                <w:color w:val="auto"/>
              </w:rPr>
              <w:t>3,007</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20.8%</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49,323</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41,348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rPr>
              <w:t>7,975</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Selling, general and administrative expense increased for the three and nine months ended October 31, 2021, as compared to the same periods in the prior fiscal year, primarily due to increased personnel costs and professional services in support of business development in the IP security, automotive and robotics markets. For the three and nine months ended October 31, 2021, personnel costs increased by approximately $2.0 million and $8.1 million, respectively, as a result of issuance of stock awards, employee benefit programs and an increase in headcount. Our selling, general and administrative headcount increased from 178 at October 31, 2020 to 188 at October 31, 2021. The increase was also attributable to approximately $1.6 million of additional expense from professional services associated with the acquisition of Oculii Corp., for the three and nine months ended October 31, 2021, respectively. The increase was partially offset by a reduction in facility related expenses of approximately $0.5 million and $1.5 million for the three and nine months ended October 31, 2021, respectively, caused by additional facility allocation to engineering in support of new SoCs and related software for the automotive markets as well as the development of computer vision-based solutions.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October</w:t>
            </w:r>
          </w:p>
        </w:tc>
        <w:tc>
          <w:tcPr>
            <w:tcW w:w="124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October 31,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1"/>
              </w:rPr>
              <w:t>31,</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2"/>
              <w:spacing w:after="0" w:line="155" w:lineRule="exact"/>
              <w:rPr>
                <w:sz w:val="20"/>
                <w:szCs w:val="20"/>
                <w:color w:val="auto"/>
              </w:rPr>
            </w:pPr>
            <w:r>
              <w:rPr>
                <w:rFonts w:ascii="Arial" w:cs="Arial" w:eastAsia="Arial" w:hAnsi="Arial"/>
                <w:sz w:val="14"/>
                <w:szCs w:val="14"/>
                <w:b w:val="1"/>
                <w:bCs w:val="1"/>
                <w:color w:val="auto"/>
                <w:w w:val="94"/>
              </w:rPr>
              <w:t>Amount</w:t>
            </w:r>
          </w:p>
        </w:tc>
        <w:tc>
          <w:tcPr>
            <w:tcW w:w="5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02"/>
              <w:spacing w:after="0" w:line="155"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2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6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407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282"/>
              <w:spacing w:after="0"/>
              <w:rPr>
                <w:sz w:val="20"/>
                <w:szCs w:val="20"/>
                <w:color w:val="auto"/>
              </w:rPr>
            </w:pPr>
            <w:r>
              <w:rPr>
                <w:rFonts w:ascii="Arial" w:cs="Arial" w:eastAsia="Arial" w:hAnsi="Arial"/>
                <w:sz w:val="18"/>
                <w:szCs w:val="18"/>
                <w:color w:val="auto"/>
              </w:rPr>
              <w:t>(266)</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(39.5)%</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3,231</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282"/>
              <w:spacing w:after="0"/>
              <w:rPr>
                <w:sz w:val="20"/>
                <w:szCs w:val="20"/>
                <w:color w:val="auto"/>
              </w:rPr>
            </w:pPr>
            <w:r>
              <w:rPr>
                <w:rFonts w:ascii="Arial" w:cs="Arial" w:eastAsia="Arial" w:hAnsi="Arial"/>
                <w:sz w:val="18"/>
                <w:szCs w:val="18"/>
                <w:color w:val="auto"/>
              </w:rPr>
              <w:t>$   (2,013)</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decrease in other income, net, for the three and nine months ended October 31, 2021, as compared to the same periods in the prior fiscal year, was primarily due to lower yields from our debt security investments and losses from foreign currency transactions and remeasurements, partially offset by increased realized gains from the liquidation of our debt security investments. For the nine months ended October 31, 2021, the decrease was also attributable to lower interest from our cash deposits with financial institutions.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 Months Ended October</w:t>
            </w:r>
          </w:p>
        </w:tc>
        <w:tc>
          <w:tcPr>
            <w:tcW w:w="2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October 31,</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2"/>
              </w:rPr>
              <w:t>31,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62"/>
              <w:spacing w:after="0" w:line="155"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99"/>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700" w:type="dxa"/>
            <w:vAlign w:val="bottom"/>
            <w:gridSpan w:val="3"/>
          </w:tcPr>
          <w:p>
            <w:pPr>
              <w:jc w:val="right"/>
              <w:ind w:right="99"/>
              <w:spacing w:after="0" w:line="155" w:lineRule="exact"/>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w w:val="95"/>
              </w:rPr>
              <w:t>Provision (benefit) for</w:t>
            </w:r>
          </w:p>
        </w:tc>
        <w:tc>
          <w:tcPr>
            <w:tcW w:w="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(1,560)</w:t>
            </w: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w:t>
            </w:r>
          </w:p>
        </w:tc>
        <w:tc>
          <w:tcPr>
            <w:tcW w:w="2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62"/>
              <w:spacing w:after="0"/>
              <w:rPr>
                <w:sz w:val="20"/>
                <w:szCs w:val="20"/>
                <w:color w:val="auto"/>
              </w:rPr>
            </w:pPr>
            <w:r>
              <w:rPr>
                <w:rFonts w:ascii="Arial" w:cs="Arial" w:eastAsia="Arial" w:hAnsi="Arial"/>
                <w:sz w:val="18"/>
                <w:szCs w:val="18"/>
                <w:color w:val="auto"/>
              </w:rPr>
              <w:t>$  (3,062)</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(203.9) %</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1,129</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9"/>
              <w:spacing w:after="0"/>
              <w:rPr>
                <w:sz w:val="20"/>
                <w:szCs w:val="20"/>
                <w:color w:val="auto"/>
              </w:rPr>
            </w:pPr>
            <w:r>
              <w:rPr>
                <w:rFonts w:ascii="Arial" w:cs="Arial" w:eastAsia="Arial" w:hAnsi="Arial"/>
                <w:sz w:val="18"/>
                <w:szCs w:val="18"/>
                <w:color w:val="auto"/>
              </w:rPr>
              <w:t>$  (2,246)</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(66.5) %</w:t>
            </w: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0"/>
                <w:szCs w:val="20"/>
                <w:color w:val="auto"/>
              </w:rPr>
            </w:pPr>
            <w:r>
              <w:rPr>
                <w:rFonts w:ascii="Arial" w:cs="Arial" w:eastAsia="Arial" w:hAnsi="Arial"/>
                <w:sz w:val="18"/>
                <w:szCs w:val="18"/>
                <w:color w:val="auto"/>
              </w:rPr>
              <w:t>Effective tax rate</w:t>
            </w:r>
          </w:p>
        </w:tc>
        <w:tc>
          <w:tcPr>
            <w:tcW w:w="880" w:type="dxa"/>
            <w:vAlign w:val="bottom"/>
            <w:gridSpan w:val="2"/>
          </w:tcPr>
          <w:p>
            <w:pPr>
              <w:jc w:val="right"/>
              <w:ind w:right="8"/>
              <w:spacing w:after="0"/>
              <w:rPr>
                <w:sz w:val="20"/>
                <w:szCs w:val="20"/>
                <w:color w:val="auto"/>
              </w:rPr>
            </w:pPr>
            <w:r>
              <w:rPr>
                <w:rFonts w:ascii="Arial" w:cs="Arial" w:eastAsia="Arial" w:hAnsi="Arial"/>
                <w:sz w:val="18"/>
                <w:szCs w:val="18"/>
                <w:color w:val="auto"/>
              </w:rPr>
              <w:t>194.2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80" w:type="dxa"/>
            <w:vAlign w:val="bottom"/>
          </w:tcPr>
          <w:p>
            <w:pPr>
              <w:jc w:val="right"/>
              <w:ind w:right="44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 xml:space="preserve">203.8 </w:t>
            </w:r>
            <w:r>
              <w:rPr>
                <w:rFonts w:ascii="Arial" w:cs="Arial" w:eastAsia="Arial" w:hAnsi="Arial"/>
                <w:sz w:val="19"/>
                <w:szCs w:val="19"/>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4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7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 xml:space="preserve">0.7 </w:t>
            </w: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quarterly income taxes reflect an estimate of the corresponding fiscal year’s annual effective tax rate and include, when applicable, adjustments from discrete tax items arising in that quarter. The Company updates its estimate of the annual effective tax rate each quarter, and if the estimated annual tax rate changes, a cumulative adjustment is made in that quarter. This could result in a higher or lower effective tax rate during a particular quarter, based on the mix and timing of actual earnings or losses versus annual projections.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firstLine="510"/>
        <w:spacing w:after="0" w:line="257" w:lineRule="auto"/>
        <w:rPr>
          <w:sz w:val="20"/>
          <w:szCs w:val="20"/>
          <w:color w:val="auto"/>
        </w:rPr>
      </w:pPr>
      <w:r>
        <w:rPr>
          <w:rFonts w:ascii="Arial" w:cs="Arial" w:eastAsia="Arial" w:hAnsi="Arial"/>
          <w:sz w:val="18"/>
          <w:szCs w:val="18"/>
          <w:color w:val="auto"/>
        </w:rPr>
        <w:t>The change from an income tax provision to an income tax benefit for the three months ended October 31, 2021, as compared to the same period in the prior fiscal year, was primarily due to changes in the amounts of pre-tax income, changes to the Company’s estimated annual effective tax rate, and an increase in tax benefits from excess stock-based compensation deductions. The decrease in income tax expense for the nine months ended October 31, 2021, as compared to the same period in the prior fiscal year, was primarily due to an increase in the U.S. federal research tax credit, and an increase in tax benefits from excess stock-based compensation deductions.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October 31, 2021 and January 31, 2021, we had cash, cash equivalents and marketable debt securities of approximately $457.8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$440.7 million, respectively. During the three months ended October 31, 2021, we liquidated all of our marketable debt security investments for total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consideration of $215.1 million in anticipation of our acquisition of Oculii Corp.</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 October 31,</w:t>
            </w:r>
          </w:p>
        </w:tc>
      </w:tr>
      <w:tr>
        <w:trPr>
          <w:trHeight w:val="156"/>
        </w:trPr>
        <w:tc>
          <w:tcPr>
            <w:tcW w:w="49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5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6"/>
        </w:trPr>
        <w:tc>
          <w:tcPr>
            <w:tcW w:w="4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18,224</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18,316</w:t>
            </w:r>
          </w:p>
        </w:tc>
        <w:tc>
          <w:tcPr>
            <w:tcW w:w="8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190,931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(25,961)</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7,331</w:t>
            </w:r>
          </w:p>
        </w:tc>
        <w:tc>
          <w:tcPr>
            <w:tcW w:w="1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80" w:type="dxa"/>
            <w:vAlign w:val="bottom"/>
            <w:shd w:val="clear" w:color="auto" w:fill="CFF0FC"/>
          </w:tcPr>
          <w:p>
            <w:pPr>
              <w:spacing w:after="0"/>
              <w:rPr>
                <w:sz w:val="19"/>
                <w:szCs w:val="19"/>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w w:val="95"/>
              </w:rPr>
              <w:t>Net increase (decrease) in cash, cash equivalents and restricted</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216,486</w:t>
            </w:r>
          </w:p>
        </w:tc>
        <w:tc>
          <w:tcPr>
            <w:tcW w:w="1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(5,894)</w:t>
            </w:r>
          </w:p>
        </w:tc>
      </w:tr>
      <w:tr>
        <w:trPr>
          <w:trHeight w:val="20"/>
        </w:trPr>
        <w:tc>
          <w:tcPr>
            <w:tcW w:w="4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Net cash provided by operating activities decreased for the nine months ended October 31, 2021, as compared to the same period in the prior fiscal year, primarily due to increased inventory purchases associated with longer supply chain lead times, increased accounts receivable due to the timing of sales and decreased liabilities associated with the timing of payments to our suppliers. The decrease was partially offset by a lower net loss for the nine months ended October 31, 2021.</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Net cash provided by investing activities increased for the nine months ended October 31, 2021, as compared to net cash used in investing activities for the same period in the prior fiscal year, primarily due to an additional $165.1 million of cash receipts from sale and maturity of debt securities, as well as $56.5 million of less expenditure on investment of debt securities. The increase was partially offset by approximately $4.7 million of additional payments for tangible and intangible assets purchase.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Net cash provided by financing activities increased for the nine months ended October 31, 2021, as compared to the same period in the prior fiscal year, primarily due to approximately $4.6 million of additional cash proceeds from option exercises and employee stock purchase withholding and $1.0 million of cash used for repurchasing our ordinary shares under the stock repurchase program in the prior fiscal year that did not recur in the current fiscal period.</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No ordinary shares were repurchased in the nine months ended October 31, 2021. During the second quarter of fiscal year 2022, our Board of Directors approved an extension of the prior $50.0 million repurchase program for an additional twelve months ending June 30, 2022. As of October 31, 2021, $49.0 million remained available for repurchases under the current repurchase program through June 30, 2022. Repurchases under the program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the company's discretion. Repurchases are funded using working capital and any repurchased shares are recorded as authorized but unissued shares.</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i w:val="1"/>
          <w:iCs w:val="1"/>
          <w:color w:val="auto"/>
        </w:rPr>
        <w:t>Operating and Capital Expenditure Requirements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As of October 31, 2021, we had cash and cash equivalents of approximately $457.8 million. On November 5, 2021, we completed our acquisition of Oculii Corp., for $307.5 million in cash. We believe that our existing cash balances will be sufficient to meet our anticipated cash requirements through at least the next 12 months. In the future, we expect our operating and capital expenditures to increase as we increase headcount, expand our business activities, and implement and enhance our information technology platforms. As we expand our operations, we may require more working capital.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or borrowing funds commercially, we may become subject to covenants that would restrict our operations. We may require additional capital beyond our currently anticipated amounts. Additional capital may not be available to us on reasonable terms, or at all.</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short- term and long-term capital requirements will depend on many factors, including the following:</w:t>
      </w:r>
    </w:p>
    <w:p>
      <w:pPr>
        <w:spacing w:after="0" w:line="117" w:lineRule="exact"/>
        <w:rPr>
          <w:sz w:val="20"/>
          <w:szCs w:val="20"/>
          <w:color w:val="auto"/>
        </w:rPr>
      </w:pPr>
    </w:p>
    <w:p>
      <w:pPr>
        <w:ind w:left="1520" w:hanging="500"/>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generate cash from operations;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control our costs;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expansion of our research and development of new technologies and products to address new markets and applications;</w:t>
      </w:r>
    </w:p>
    <w:p>
      <w:pPr>
        <w:spacing w:after="0" w:line="128" w:lineRule="exact"/>
        <w:rPr>
          <w:rFonts w:ascii="Arial" w:cs="Arial" w:eastAsia="Arial" w:hAnsi="Arial"/>
          <w:sz w:val="17"/>
          <w:szCs w:val="17"/>
          <w:color w:val="auto"/>
        </w:rPr>
      </w:pPr>
    </w:p>
    <w:p>
      <w:pPr>
        <w:ind w:left="1520" w:hanging="500"/>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magnitude and duration of COVID-19 impact;</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technologies or products;</w:t>
      </w:r>
    </w:p>
    <w:p>
      <w:pPr>
        <w:spacing w:after="0" w:line="117" w:lineRule="exact"/>
        <w:rPr>
          <w:rFonts w:ascii="Arial" w:cs="Arial" w:eastAsia="Arial" w:hAnsi="Arial"/>
          <w:sz w:val="18"/>
          <w:szCs w:val="18"/>
          <w:color w:val="auto"/>
        </w:rPr>
      </w:pPr>
    </w:p>
    <w:p>
      <w:pPr>
        <w:ind w:left="1520" w:right="380" w:hanging="500"/>
        <w:spacing w:after="0" w:line="277" w:lineRule="auto"/>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or participating in litigation-related activities; and</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acquisition of complementary businesses, products and technologies.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Manufacturing Purchase Obligations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October 31, 2021, we had purchase obligations with our independent contract manufacturers of $66.0 million.</w:t>
      </w:r>
    </w:p>
    <w:p>
      <w:pPr>
        <w:spacing w:after="0" w:line="225"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Except as described above with respect to the manufacturing purchase obligations, there were no other material changes in our contractual obligations, commitments and contingencies from those disclosed in our Annual Report on Form 10-K for the fiscal year ended January 31, 2021. Please see Item 7, “Management’s Discussion and Analysis of Financial Condition and Results of Operations – Contractual Obligations, Commitments and Contingencies” in our Annual Report on Form 10-K for the fiscal year ended January 31, 2021 for a description of our contractual obligations.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As of October 31, 2021, we did not engage in any off-balance sheet arrangements, including the use of structured finance, special purpose entities or variable interest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Note 1 of Notes to Condensed Consolidated Financial Statements for information regarding recently issued accounting pronouncements.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21" w:lineRule="exact"/>
        <w:rPr>
          <w:sz w:val="20"/>
          <w:szCs w:val="20"/>
          <w:color w:val="auto"/>
        </w:rPr>
      </w:pPr>
    </w:p>
    <w:p>
      <w:pPr>
        <w:ind w:right="100" w:firstLine="57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2021 fiscal year filed with the SEC on March 31, 2021.</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As of October 31, 2021 and January 31, 2021, we had cash, cash equivalents and marketable debt securities totaling $457.8 million and $440.7 million, respectively. Our cash is deposited in checking accounts with reputable financial institutions. The cash equivalents and marketable debt securities consist primarily of investments in money market funds, asset-backed securities, commercial paper, U.S. government securities, and debt securities of corporations. Our cash is held for working capital purposes. We do not enter into investments for trading or speculative purposes.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Rate Fluctuation Risk</w:t>
      </w:r>
    </w:p>
    <w:p>
      <w:pPr>
        <w:spacing w:after="0" w:line="117"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 xml:space="preserve">The primary objectives of our investment activities are to preserve capital, provide liquidity and maximize income without significantly increasing risk. Some of the securities we invest in are subject to market risk. This means that a change in prevailing interest rates may </w:t>
      </w:r>
      <w:r>
        <w:rPr>
          <w:rFonts w:ascii="Arial" w:cs="Arial" w:eastAsia="Arial" w:hAnsi="Arial"/>
          <w:sz w:val="17"/>
          <w:szCs w:val="17"/>
          <w:color w:val="212529"/>
        </w:rPr>
        <w:t>affect the interest income on</w:t>
      </w:r>
      <w:r>
        <w:rPr>
          <w:rFonts w:ascii="Arial" w:cs="Arial" w:eastAsia="Arial" w:hAnsi="Arial"/>
          <w:sz w:val="17"/>
          <w:szCs w:val="17"/>
          <w:color w:val="auto"/>
        </w:rPr>
        <w:t xml:space="preserve"> </w:t>
      </w:r>
      <w:r>
        <w:rPr>
          <w:rFonts w:ascii="Arial" w:cs="Arial" w:eastAsia="Arial" w:hAnsi="Arial"/>
          <w:sz w:val="17"/>
          <w:szCs w:val="17"/>
          <w:color w:val="212529"/>
        </w:rPr>
        <w:t>our cash, cash equivalents and marketable debt securities, and the market value of those securities</w:t>
      </w:r>
      <w:r>
        <w:rPr>
          <w:rFonts w:ascii="Arial" w:cs="Arial" w:eastAsia="Arial" w:hAnsi="Arial"/>
          <w:sz w:val="17"/>
          <w:szCs w:val="17"/>
          <w:color w:val="000000"/>
        </w:rPr>
        <w:t>. To minimize this risk, we maintain our portfolio in a</w:t>
      </w:r>
      <w:r>
        <w:rPr>
          <w:rFonts w:ascii="Arial" w:cs="Arial" w:eastAsia="Arial" w:hAnsi="Arial"/>
          <w:sz w:val="17"/>
          <w:szCs w:val="17"/>
          <w:color w:val="212529"/>
        </w:rPr>
        <w:t xml:space="preserve"> </w:t>
      </w:r>
      <w:r>
        <w:rPr>
          <w:rFonts w:ascii="Arial" w:cs="Arial" w:eastAsia="Arial" w:hAnsi="Arial"/>
          <w:sz w:val="17"/>
          <w:szCs w:val="17"/>
          <w:color w:val="000000"/>
        </w:rPr>
        <w:t>variety of debt securities with high liquidity and low credit risk. We do not enter into investments for trading or speculative purposes. A 10% change in interest rates will not have a material impact on our future interest income or investment fair value. The liquidity risk and the risk associated with fluctuating interest rates are limited to our investment portfolio.</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the Chinese Yuan Renminbi and the Eurozone Euro. Our results of operations and cash flows are subject to fluctuations due to changes in foreign currency exchange rates.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100" w:firstLine="510"/>
        <w:spacing w:after="0" w:line="288"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13a- 15(e) and 15d- 15(e))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8"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Based upon such evaluation, our principal executive officer and principal financial officer have concluded that, as of October 31, 2021, our disclosure controls and procedures were effective at the reasonable assurance level.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Company’s fiscal quarter ended October 31, 2021 that have materially affected, or are reasonably likely to materially affect, the Company’s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Inherent Limitations of Disclosure Controls and Internal Control over Financial Reporting</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engaged in any material legal proceedings at this time.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business and our industry is subject to numerous risks and uncertainties, including those described in the following Risk Factors. These risks include, but are not limited to, the following:</w:t>
      </w:r>
    </w:p>
    <w:p>
      <w:pPr>
        <w:spacing w:after="0" w:line="170" w:lineRule="exact"/>
        <w:rPr>
          <w:sz w:val="20"/>
          <w:szCs w:val="20"/>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COVID-19 pandemic could adversely affect our business in a material way.</w:t>
      </w:r>
    </w:p>
    <w:p>
      <w:pPr>
        <w:spacing w:after="0" w:line="225" w:lineRule="exact"/>
        <w:rPr>
          <w:rFonts w:ascii="Arial" w:cs="Arial" w:eastAsia="Arial" w:hAnsi="Arial"/>
          <w:sz w:val="18"/>
          <w:szCs w:val="18"/>
          <w:color w:val="auto"/>
        </w:rPr>
      </w:pPr>
    </w:p>
    <w:p>
      <w:pPr>
        <w:ind w:left="740" w:right="300" w:hanging="368"/>
        <w:spacing w:after="0" w:line="308"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sell our products to several China customers has been restricted. In addition, we are subject to governmental export and import controls that could subject us to liability or impair our ability to compete in international markets, including China.</w:t>
      </w:r>
    </w:p>
    <w:p>
      <w:pPr>
        <w:spacing w:after="0" w:line="146" w:lineRule="exact"/>
        <w:rPr>
          <w:rFonts w:ascii="Arial" w:cs="Arial" w:eastAsia="Arial" w:hAnsi="Arial"/>
          <w:sz w:val="17"/>
          <w:szCs w:val="17"/>
          <w:color w:val="auto"/>
        </w:rPr>
      </w:pPr>
    </w:p>
    <w:p>
      <w:pPr>
        <w:ind w:left="740" w:hanging="368"/>
        <w:spacing w:after="0" w:line="263"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economic and political conditions, including possible trade tariffs and trade restrictions, may have an impact on our business and financial condition in ways that we currently cannot predict. Our primary inventory warehouse is located in Hong Kong and may be affected by recent political, social and economic conditions in Hong Kong.</w:t>
      </w:r>
    </w:p>
    <w:p>
      <w:pPr>
        <w:spacing w:after="0" w:line="183"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Shortages in, or increased costs of, wafers and materials could increase the manufacturing times for our products and adversely impact our ability to meet customer demand, reduce our gross margins and lead to reduced revenues.</w:t>
      </w:r>
    </w:p>
    <w:p>
      <w:pPr>
        <w:spacing w:after="0" w:line="170"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Camera manufacturers incorporate components supplied by multiple third parties, and a supply shortage or delay in delivery of these components could delay orders for our solutions by our customers.</w:t>
      </w:r>
    </w:p>
    <w:p>
      <w:pPr>
        <w:spacing w:after="0" w:line="170" w:lineRule="exact"/>
        <w:rPr>
          <w:rFonts w:ascii="Arial" w:cs="Arial" w:eastAsia="Arial" w:hAnsi="Arial"/>
          <w:sz w:val="18"/>
          <w:szCs w:val="18"/>
          <w:color w:val="auto"/>
        </w:rPr>
      </w:pPr>
    </w:p>
    <w:p>
      <w:pPr>
        <w:ind w:left="740" w:right="34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170" w:lineRule="exact"/>
        <w:rPr>
          <w:rFonts w:ascii="Arial" w:cs="Arial" w:eastAsia="Arial" w:hAnsi="Arial"/>
          <w:sz w:val="18"/>
          <w:szCs w:val="18"/>
          <w:color w:val="auto"/>
        </w:rPr>
      </w:pPr>
    </w:p>
    <w:p>
      <w:pPr>
        <w:ind w:left="740" w:hanging="368"/>
        <w:spacing w:after="0" w:line="342"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23" w:lineRule="exact"/>
        <w:rPr>
          <w:rFonts w:ascii="Arial" w:cs="Arial" w:eastAsia="Arial" w:hAnsi="Arial"/>
          <w:sz w:val="16"/>
          <w:szCs w:val="16"/>
          <w:color w:val="auto"/>
        </w:rPr>
      </w:pPr>
    </w:p>
    <w:p>
      <w:pPr>
        <w:ind w:left="740" w:right="12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customers do not design our solutions into their product offerings, or if our customers’ product offerings are not commercially successful, our business would suffer.</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penetrate new markets, our revenue and financial condition could be harmed.</w:t>
      </w:r>
    </w:p>
    <w:p>
      <w:pPr>
        <w:spacing w:after="0" w:line="225" w:lineRule="exact"/>
        <w:rPr>
          <w:rFonts w:ascii="Arial" w:cs="Arial" w:eastAsia="Arial" w:hAnsi="Arial"/>
          <w:sz w:val="18"/>
          <w:szCs w:val="18"/>
          <w:color w:val="auto"/>
        </w:rPr>
      </w:pPr>
    </w:p>
    <w:p>
      <w:pPr>
        <w:ind w:left="740" w:right="52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target markets may not grow or develop as we currently expect and are subject to market risks, any of which could harm our business, revenue and operating results.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left="368" w:right="4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develop and introduce new or enhanced solutions on a timely basis, our ability to attract and retain customers could be impaired and our competitive position could be harmed.</w:t>
      </w:r>
    </w:p>
    <w:p>
      <w:pPr>
        <w:spacing w:after="0" w:line="170" w:lineRule="exact"/>
        <w:rPr>
          <w:rFonts w:ascii="Arial" w:cs="Arial" w:eastAsia="Arial" w:hAnsi="Arial"/>
          <w:sz w:val="18"/>
          <w:szCs w:val="18"/>
          <w:color w:val="auto"/>
        </w:rPr>
      </w:pPr>
    </w:p>
    <w:p>
      <w:pPr>
        <w:ind w:left="368" w:right="80" w:hanging="368"/>
        <w:spacing w:after="0" w:line="308" w:lineRule="auto"/>
        <w:tabs>
          <w:tab w:leader="none" w:pos="368" w:val="left"/>
        </w:tabs>
        <w:numPr>
          <w:ilvl w:val="0"/>
          <w:numId w:val="8"/>
        </w:numPr>
        <w:rPr>
          <w:rFonts w:ascii="Arial" w:cs="Arial" w:eastAsia="Arial" w:hAnsi="Arial"/>
          <w:sz w:val="17"/>
          <w:szCs w:val="17"/>
          <w:color w:val="auto"/>
        </w:rPr>
      </w:pPr>
      <w:r>
        <w:rPr>
          <w:rFonts w:ascii="Arial" w:cs="Arial" w:eastAsia="Arial" w:hAnsi="Arial"/>
          <w:sz w:val="17"/>
          <w:szCs w:val="17"/>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46" w:lineRule="exact"/>
        <w:rPr>
          <w:rFonts w:ascii="Arial" w:cs="Arial" w:eastAsia="Arial" w:hAnsi="Arial"/>
          <w:sz w:val="17"/>
          <w:szCs w:val="17"/>
          <w:color w:val="auto"/>
        </w:rPr>
      </w:pPr>
    </w:p>
    <w:p>
      <w:pPr>
        <w:ind w:left="368" w:right="56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customers may cancel their orders, change production quantities or delay production. If we fail to accurately forecast demand for our solutions, revenue shortfalls and/or excess, obsolete or insufficient inventory could result.</w:t>
      </w:r>
    </w:p>
    <w:p>
      <w:pPr>
        <w:spacing w:after="0" w:line="170" w:lineRule="exact"/>
        <w:rPr>
          <w:rFonts w:ascii="Arial" w:cs="Arial" w:eastAsia="Arial" w:hAnsi="Arial"/>
          <w:sz w:val="18"/>
          <w:szCs w:val="18"/>
          <w:color w:val="auto"/>
        </w:rPr>
      </w:pPr>
    </w:p>
    <w:p>
      <w:pPr>
        <w:ind w:left="368" w:right="52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on a limited number of customers and end customers for a significant portion of our revenue. If we fail to retain or expand our customer relationships, our revenue could decline.</w:t>
      </w:r>
    </w:p>
    <w:p>
      <w:pPr>
        <w:spacing w:after="0" w:line="170" w:lineRule="exact"/>
        <w:rPr>
          <w:rFonts w:ascii="Arial" w:cs="Arial" w:eastAsia="Arial" w:hAnsi="Arial"/>
          <w:sz w:val="18"/>
          <w:szCs w:val="18"/>
          <w:color w:val="auto"/>
        </w:rPr>
      </w:pPr>
    </w:p>
    <w:p>
      <w:pPr>
        <w:ind w:left="368"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risks related to our ability to successfully integrate and to realize anticipated synergies, on a timely basis or at all, in connection with the Oculii Corp. merger and other strategic transactions we may undertake.</w:t>
      </w:r>
    </w:p>
    <w:p>
      <w:pPr>
        <w:spacing w:after="0" w:line="170" w:lineRule="exact"/>
        <w:rPr>
          <w:rFonts w:ascii="Arial" w:cs="Arial" w:eastAsia="Arial" w:hAnsi="Arial"/>
          <w:sz w:val="18"/>
          <w:szCs w:val="18"/>
          <w:color w:val="auto"/>
        </w:rPr>
      </w:pPr>
    </w:p>
    <w:p>
      <w:pPr>
        <w:ind w:left="368" w:right="42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governmental export and import controls that could subject us to liability or impair our ability to compete in international markets.</w:t>
      </w:r>
    </w:p>
    <w:p>
      <w:pPr>
        <w:spacing w:after="0" w:line="170"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competition to increase in the future, which could have an adverse effect on our revenue and market share.</w:t>
      </w:r>
    </w:p>
    <w:p>
      <w:pPr>
        <w:spacing w:after="0" w:line="225"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operating results on a quarterly and annual basis could cause the market price of our ordinary shares to decline.</w:t>
      </w:r>
    </w:p>
    <w:p>
      <w:pPr>
        <w:spacing w:after="0" w:line="225"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breach of our security systems may have a material adverse effect on our business.</w:t>
      </w:r>
    </w:p>
    <w:p>
      <w:pPr>
        <w:spacing w:after="0" w:line="225" w:lineRule="exact"/>
        <w:rPr>
          <w:rFonts w:ascii="Arial" w:cs="Arial" w:eastAsia="Arial" w:hAnsi="Arial"/>
          <w:sz w:val="18"/>
          <w:szCs w:val="18"/>
          <w:color w:val="auto"/>
        </w:rPr>
      </w:pPr>
    </w:p>
    <w:p>
      <w:pPr>
        <w:ind w:left="368" w:right="48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highly skilled personnel and, if we are unable to hire, retain or motivate key personnel, we may not be able to grow effectively. Similarly, the loss of any of our key personnel could seriously harm our business.</w:t>
      </w:r>
    </w:p>
    <w:p>
      <w:pPr>
        <w:spacing w:after="0" w:line="170" w:lineRule="exact"/>
        <w:rPr>
          <w:rFonts w:ascii="Arial" w:cs="Arial" w:eastAsia="Arial" w:hAnsi="Arial"/>
          <w:sz w:val="18"/>
          <w:szCs w:val="18"/>
          <w:color w:val="auto"/>
        </w:rPr>
      </w:pPr>
    </w:p>
    <w:p>
      <w:pPr>
        <w:ind w:left="368" w:right="24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While we intend to continue to invest in research and development, we may be unable to make the substantial investments that are required to remain competitive in our business.</w:t>
      </w:r>
    </w:p>
    <w:p>
      <w:pPr>
        <w:spacing w:after="0" w:line="170" w:lineRule="exact"/>
        <w:rPr>
          <w:rFonts w:ascii="Arial" w:cs="Arial" w:eastAsia="Arial" w:hAnsi="Arial"/>
          <w:sz w:val="18"/>
          <w:szCs w:val="18"/>
          <w:color w:val="auto"/>
        </w:rPr>
      </w:pPr>
    </w:p>
    <w:p>
      <w:pPr>
        <w:ind w:left="368" w:right="6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average selling prices of video and image processing solutions in our target markets have historically decreased over time and will likely do so in the future, which could harm our revenue and gross margins.</w:t>
      </w:r>
    </w:p>
    <w:p>
      <w:pPr>
        <w:spacing w:after="0" w:line="170"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do not generate revenue growth, we may not be able to execute our business plan and our operating results could suffer.</w:t>
      </w:r>
    </w:p>
    <w:p>
      <w:pPr>
        <w:spacing w:after="0" w:line="225" w:lineRule="exact"/>
        <w:rPr>
          <w:rFonts w:ascii="Arial" w:cs="Arial" w:eastAsia="Arial" w:hAnsi="Arial"/>
          <w:sz w:val="18"/>
          <w:szCs w:val="18"/>
          <w:color w:val="auto"/>
        </w:rPr>
      </w:pPr>
    </w:p>
    <w:p>
      <w:pPr>
        <w:ind w:left="368" w:right="64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the cyclical nature of the semiconductor industry. We may have difficulty accurately predicting our future revenue and appropriately budgeting our expenses.</w:t>
      </w:r>
    </w:p>
    <w:p>
      <w:pPr>
        <w:spacing w:after="0" w:line="170" w:lineRule="exact"/>
        <w:rPr>
          <w:rFonts w:ascii="Arial" w:cs="Arial" w:eastAsia="Arial" w:hAnsi="Arial"/>
          <w:sz w:val="18"/>
          <w:szCs w:val="18"/>
          <w:color w:val="auto"/>
        </w:rPr>
      </w:pPr>
    </w:p>
    <w:p>
      <w:pPr>
        <w:ind w:left="368" w:right="60" w:hanging="368"/>
        <w:spacing w:after="0" w:line="263"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83"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warranty and product liability claims and to product recalls which could adversely affect our business.</w:t>
      </w:r>
    </w:p>
    <w:p>
      <w:pPr>
        <w:spacing w:after="0" w:line="225" w:lineRule="exact"/>
        <w:rPr>
          <w:rFonts w:ascii="Arial" w:cs="Arial" w:eastAsia="Arial" w:hAnsi="Arial"/>
          <w:sz w:val="18"/>
          <w:szCs w:val="18"/>
          <w:color w:val="auto"/>
        </w:rPr>
      </w:pPr>
    </w:p>
    <w:p>
      <w:pPr>
        <w:ind w:left="368" w:right="2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substantial portion of our revenue is processed through a single distributor and the loss of this distributor, or our inability to collect from them, may cause disruptions in our shipments, which may adversely affect our operations and financial condition.</w:t>
      </w:r>
    </w:p>
    <w:p>
      <w:pPr>
        <w:spacing w:after="0" w:line="170"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risks associated with our distributors' product inventories.</w:t>
      </w:r>
    </w:p>
    <w:p>
      <w:pPr>
        <w:spacing w:after="0" w:line="225"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Deterioration of the financial conditions of our customers could adversely affect our operating results.</w:t>
      </w:r>
    </w:p>
    <w:p>
      <w:pPr>
        <w:spacing w:after="0" w:line="225" w:lineRule="exact"/>
        <w:rPr>
          <w:rFonts w:ascii="Arial" w:cs="Arial" w:eastAsia="Arial" w:hAnsi="Arial"/>
          <w:sz w:val="18"/>
          <w:szCs w:val="18"/>
          <w:color w:val="auto"/>
        </w:rPr>
      </w:pPr>
    </w:p>
    <w:p>
      <w:pPr>
        <w:ind w:left="368" w:right="4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70" w:lineRule="exact"/>
        <w:rPr>
          <w:rFonts w:ascii="Arial" w:cs="Arial" w:eastAsia="Arial" w:hAnsi="Arial"/>
          <w:sz w:val="18"/>
          <w:szCs w:val="18"/>
          <w:color w:val="auto"/>
        </w:rPr>
      </w:pPr>
    </w:p>
    <w:p>
      <w:pPr>
        <w:ind w:left="368" w:right="28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 parties’ assertions of infringement of their intellectual property rights could result in our having to incur significant costs and cause our operating results to suffer. Any potential dispute involving our patents or other intellectual property</w:t>
      </w:r>
    </w:p>
    <w:p>
      <w:pPr>
        <w:spacing w:after="0" w:line="38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8"/>
          </w:cols>
          <w:pgMar w:left="692" w:top="341" w:right="399" w:bottom="1440" w:gutter="0" w:footer="0" w:header="0"/>
        </w:sectPr>
      </w:pPr>
    </w:p>
    <w:bookmarkStart w:id="35" w:name="page36"/>
    <w:bookmarkEnd w:id="35"/>
    <w:p>
      <w:pPr>
        <w:ind w:left="368"/>
        <w:spacing w:after="0"/>
        <w:rPr>
          <w:sz w:val="20"/>
          <w:szCs w:val="20"/>
          <w:color w:val="auto"/>
        </w:rPr>
      </w:pPr>
      <w:r>
        <w:rPr>
          <w:rFonts w:ascii="Arial" w:cs="Arial" w:eastAsia="Arial" w:hAnsi="Arial"/>
          <w:sz w:val="18"/>
          <w:szCs w:val="18"/>
          <w:color w:val="auto"/>
        </w:rPr>
        <w:t>could affect our customers, which could trigger our indemnification obligations to them and result in substantial expense to us.</w:t>
      </w:r>
    </w:p>
    <w:p>
      <w:pPr>
        <w:spacing w:after="0" w:line="225" w:lineRule="exact"/>
        <w:rPr>
          <w:sz w:val="20"/>
          <w:szCs w:val="20"/>
          <w:color w:val="auto"/>
        </w:rPr>
      </w:pPr>
    </w:p>
    <w:p>
      <w:pPr>
        <w:ind w:left="368" w:hanging="368"/>
        <w:spacing w:after="0" w:line="308" w:lineRule="auto"/>
        <w:tabs>
          <w:tab w:leader="none" w:pos="368" w:val="left"/>
        </w:tabs>
        <w:numPr>
          <w:ilvl w:val="0"/>
          <w:numId w:val="9"/>
        </w:numPr>
        <w:rPr>
          <w:rFonts w:ascii="Arial" w:cs="Arial" w:eastAsia="Arial" w:hAnsi="Arial"/>
          <w:sz w:val="17"/>
          <w:szCs w:val="17"/>
          <w:color w:val="auto"/>
        </w:rPr>
      </w:pPr>
      <w:r>
        <w:rPr>
          <w:rFonts w:ascii="Arial" w:cs="Arial" w:eastAsia="Arial" w:hAnsi="Arial"/>
          <w:sz w:val="17"/>
          <w:szCs w:val="17"/>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46" w:lineRule="exact"/>
        <w:rPr>
          <w:rFonts w:ascii="Arial" w:cs="Arial" w:eastAsia="Arial" w:hAnsi="Arial"/>
          <w:sz w:val="17"/>
          <w:szCs w:val="17"/>
          <w:color w:val="auto"/>
        </w:rPr>
      </w:pPr>
    </w:p>
    <w:p>
      <w:pPr>
        <w:ind w:left="368" w:right="40" w:hanging="368"/>
        <w:spacing w:after="0" w:line="277"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170" w:lineRule="exact"/>
        <w:rPr>
          <w:rFonts w:ascii="Arial" w:cs="Arial" w:eastAsia="Arial" w:hAnsi="Arial"/>
          <w:sz w:val="18"/>
          <w:szCs w:val="18"/>
          <w:color w:val="auto"/>
        </w:rPr>
      </w:pPr>
    </w:p>
    <w:p>
      <w:pPr>
        <w:ind w:left="368" w:right="700" w:hanging="368"/>
        <w:spacing w:after="0" w:line="277"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numerous regulatory compliance requirements, which are costly to comply with, and our failure to comply with these requirements could harm our business and operating results.</w:t>
      </w:r>
    </w:p>
    <w:p>
      <w:pPr>
        <w:spacing w:after="0" w:line="38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8"/>
          </w:cols>
          <w:pgMar w:left="692" w:top="125" w:right="3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in a material way.</w:t>
      </w:r>
    </w:p>
    <w:p>
      <w:pPr>
        <w:spacing w:after="0" w:line="117"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The global COVID-19 pandemic has significantly affected the populations and businesses of many countries. Our business has been, and is expected to continue to be, adversely impacted by the effects of the COVID-19 pandemic. In addition to global macroeconomic effects, the COVID-19 pandemic and related adverse public health developments have been causing, and are expected to continue to cause, disruption to our operations. We have had to impose remote or work from home conditions in many of our offices, including the United States, Italy, Japan, South Korea and Taiwan. While we have not yet experienced a significant disruption of our operations as a result of the COVID-19 pandemic, if the remote or work from home conditions continue for an extended period of time, we may experience delays in product development, a decreased ability to support our customers, reduced design win activity, and overall lack of productivity. In addition, we and our suppliers, third-party distributors and customers have been, and are expected to continue to be, disrupted by quarantines and restrictions on certain employees’ ability to perform their jobs, office closures or restrictions, disruptions to shipping infrastructure, or other travel or health-related restrictions. Depending on the magnitude of such effects on our manufacturing activities or the operations of our suppliers, third-party distributors or sub-contractors, our supply chain, manufacturing and product shipments could be delayed, which could materially adversely affect our business, results of operations and financial condition. Disruptions may also adversely affect our customers’ ability to manufacture their products, which in turn could reduce their demand for our products. The semiconductor industry in general is currently experiencing significant shortages of capacity, due in part to COVID-19, which has resulted in a lengthening of the manufacturing lead time for our products and could be impacting the normal forecasting and ordering patterns of our customers. Moreover, if there is a significant COVID-19 outbreak that impacts Samsung Electronic Corporation’s ability to manufacture our SoCs or our third-party contractors’ ability to assemble, test and ship our products, we could experience delays or reductions in our ability to ship products to our customers. In addition, the COVID-19 pandemic or other disease outbreaks will, in the short-term, and could over the longer term, adversely affect the economies and financial markets of many countries, resulting in an economic downturn or recession that could adversely affect demand for our products and impact our results of operations and financial condition. There can be no assurance that any decrease in sales resulting from the COVID-19 pandemic will be offset by increased sales in subsequent periods. These effects, alone or taken together, could have a material adverse effect on our business, results of operations, legal exposure, or financial condition. The extent of the COVID-19 pandemic’s effect on our operational and financial performance will depend on future developments, including the duration, spread and intensity of the pandemic, all of which are uncertain and difficult to predict. Due to the constantly evolving global conditions, we are not able at this time to estimate the long-term effect of these factors on our business, but the adverse impact on our business, results of operations, financial condition and cash flows could be material.</w:t>
      </w:r>
    </w:p>
    <w:p>
      <w:pPr>
        <w:spacing w:after="0" w:line="17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49" w:lineRule="exact"/>
        <w:rPr>
          <w:sz w:val="20"/>
          <w:szCs w:val="20"/>
          <w:color w:val="auto"/>
        </w:rPr>
      </w:pPr>
    </w:p>
    <w:p>
      <w:pPr>
        <w:ind w:right="40" w:firstLine="510"/>
        <w:spacing w:after="0" w:line="252" w:lineRule="auto"/>
        <w:rPr>
          <w:sz w:val="20"/>
          <w:szCs w:val="20"/>
          <w:color w:val="auto"/>
        </w:rPr>
      </w:pPr>
      <w:r>
        <w:rPr>
          <w:rFonts w:ascii="Arial" w:cs="Arial" w:eastAsia="Arial" w:hAnsi="Arial"/>
          <w:sz w:val="16"/>
          <w:szCs w:val="16"/>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computer vision, video and image processing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In addition, trade tensions between the United States and China and potential new export restrictions, as discussed in subsequent risk factors, may make it more difficult to secure future design wins with China customers.</w:t>
      </w:r>
    </w:p>
    <w:p>
      <w:pPr>
        <w:spacing w:after="0" w:line="170" w:lineRule="exact"/>
        <w:rPr>
          <w:sz w:val="20"/>
          <w:szCs w:val="20"/>
          <w:color w:val="auto"/>
        </w:rPr>
      </w:pPr>
    </w:p>
    <w:p>
      <w:pPr>
        <w:ind w:right="80" w:firstLine="510"/>
        <w:spacing w:after="0" w:line="227" w:lineRule="auto"/>
        <w:rPr>
          <w:sz w:val="20"/>
          <w:szCs w:val="20"/>
          <w:color w:val="auto"/>
        </w:rPr>
      </w:pPr>
      <w:r>
        <w:rPr>
          <w:rFonts w:ascii="Arial" w:cs="Arial" w:eastAsia="Arial" w:hAnsi="Arial"/>
          <w:sz w:val="18"/>
          <w:szCs w:val="18"/>
          <w:color w:val="auto"/>
        </w:rPr>
        <w:t>Even if an OEM designs one of our SoC solutions into its product, we cannot be assured that the OEM’s product will be commercially successful over time or at all. For example, in the past we have secured design wins for camera products that were never commercially released by our customer or did not sell in volumes initially forecast by the customer, as a result of factors beyond our control. If other products or other product categories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ind w:left="520"/>
        <w:spacing w:after="0"/>
        <w:rPr>
          <w:sz w:val="20"/>
          <w:szCs w:val="20"/>
          <w:color w:val="auto"/>
        </w:rPr>
      </w:pPr>
      <w:r>
        <w:rPr>
          <w:rFonts w:ascii="Arial" w:cs="Arial" w:eastAsia="Arial" w:hAnsi="Arial"/>
          <w:sz w:val="18"/>
          <w:szCs w:val="18"/>
          <w:b w:val="1"/>
          <w:bCs w:val="1"/>
          <w:i w:val="1"/>
          <w:iCs w:val="1"/>
          <w:color w:val="auto"/>
        </w:rPr>
        <w:t>If we fail to penetrate new markets, our revenue and financial condition could be harmed.</w:t>
      </w:r>
    </w:p>
    <w:p>
      <w:pPr>
        <w:spacing w:after="0" w:line="117"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Years ago, a substantial portion of our revenue was generated from sales of our SoCs to OEMs and ODMs of HD video cameras, including IP security cameras, wearable cameras and drones. Our revenue from several of these markets, however, has experienced significant declines. As a result, we believe that our future revenue growth, if any, will significantly depend on our ability to expand within the camera markets with our new artificial intelligence, or AI, computer vision SoC solutions, particularly in emerging markets such as the OEM automotive, robotics and industrial markets, as well as the existing professional IP security and home security and monitoring camera markets. Each of these markets presents distinct and substantial risks and, in many cases, requires us to develop new functionality or software to address the particular requirements of that market. We anticipate that as we continue to move into new markets, such as the OEM automotive, robotics and industrial markets, we will likely face competition from larger competitors with greater resources and more history in these markets. If any of these markets do not develop as we currently anticipate, or if the development of such markets is delayed or impacted by factors outside of our control, such as the COVID-19 pandemic,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will require a substantial investment of our time and resources and we cannot assure you that we will secure design wins from these or other companies or that we will achieve meaningful revenue from the sales of our solutions into these markets. If we fail to penetrate these or other new markets we are targeting, our financial condition would likely</w:t>
      </w:r>
    </w:p>
    <w:p>
      <w:pPr>
        <w:spacing w:after="0" w:line="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suffer. Moreover, if we are successful in achieving design wins in these new markets, it will likely take longer to generate revenue from such design wins than in our current markets.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Shortages in, or increased costs of, wafers and materials could adversely impact our gross margins and lead to reduced revenues.</w:t>
      </w:r>
    </w:p>
    <w:p>
      <w:pPr>
        <w:spacing w:after="0" w:line="129"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Worldwide manufacturing capacity for silicon wafers is relatively inelastic. If the demand for silicon wafers or assembly material exceeds market supply, our supply of silicon wafers or assembly material could quickly become limited or prohibitively expensive. The semiconductor industry is currently experiencing significant shortages of manufacturing capacity, which has resulted in a lengthening of the manufacturing lead time for our products. If this capacity shortage continues for an extensive period of time, it could negatively impact our ability to meet our customer’s demand for our products and have an adverse impact on our revenue, results of operations and customer relationships. In addition, silicon wafers constitute a material portion of our product cost. If we are unable to purchase wafers at favorable prices, our results of operations and financial condition will be adversely affected. It is also possible during this time of supply chain capacity shortage that customers may place orders for our products that exceed their actual demand, which may lead to us manufacturing a surplus of products and could have a negative impact on our results or operations and cash reserves.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Our primary inventory warehouse is located in Hong Kong and may be affected by continued political, social and economic conditions in Hong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Kong.</w:t>
      </w:r>
    </w:p>
    <w:p>
      <w:pPr>
        <w:spacing w:after="0" w:line="103"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We operate a warehouse facility in Hong Kong through which the substantial majority of our finished SoCs are shipped to customers or logistic partners. BIS has imposed additional restrictions on exports and reexports of U.S.-controlled items to Hong Kong by removing preferential treatment that Hong Kong used to receive and imposing more stringent licensing requirements similar to those applicable to China. Hong Kong has experienced, and continues to experience, significant political unrest and social strife, including protests that resulted in the closing of the Hong Kong international airport in August 2019 for two days. In response to national security legislation adopted by the Chinese government, the U.S. Secretary of State certified to the U.S. Congress in May 2020 that Hong Kong no longer maintains a sufficient degree of autonomy from China to warrant special treatment by the U.S. While such certification does not have an immediate impact on Hong Kong for trade or other purposes, this action represents an escalation in political and trade tensions involving the U.S, China and Hong Kong. It is possible that the U.S. government may take future measures to impose stricter export controls or duties on shipments made to Hong Kong, add additional parties to the Entity List, or reduce preferential treatment currently accorded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such an eventuality, we could be forced to relocate our warehouse operations, either temporarily or permanently, to another potentially costlier location or find alternative potentially costlier methods of shipping our finished SoCs to customers and logistic partners. While we are taking measures to attempt to maintain the continuity of our product delivery operations notwithstanding the impact on the use of our Hong Kong facility of the continued or deteriorating conditions in Hong Kong or other future unforeseen problems there, we cannot ensure that these measures will be successful in eliminating disruptions in our business.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8" w:name="page39"/>
    <w:bookmarkEnd w:id="38"/>
    <w:p>
      <w:pPr>
        <w:ind w:right="440" w:firstLine="510"/>
        <w:spacing w:after="0" w:line="277" w:lineRule="auto"/>
        <w:rPr>
          <w:sz w:val="20"/>
          <w:szCs w:val="20"/>
          <w:color w:val="auto"/>
        </w:rPr>
      </w:pPr>
      <w:r>
        <w:rPr>
          <w:rFonts w:ascii="Arial" w:cs="Arial" w:eastAsia="Arial" w:hAnsi="Arial"/>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62"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We are focusing our development resources on addressing computer vision applications, primarily in the professional IP security and home security and monitoring camera markets, the OEM automotive and robotics markets, with our computer vision solutions. The application of computer vision functionality in these markets is relatively new, and we may be unable to predict the timing or development of these markets with accuracy. For example, a slower than expected adoption rate for computer vision technology in the IP security camera market could slow the demand for our new solutions. Similarly, a slower than anticipated adoption of electronic mirrors, advanced driving assistance systems and autonomous driving functionality could reduce demand for our new computer vision solutions. The COVID-19 pandemic has had a negative impact on the global economy and may decrease or delay development of new markets and new programs in emerging markets. If our key target markets, such as automotive cameras, IP security cameras and cameras for robotic applications, do not grow, grow slower, or do not develop in ways that we currently expect, demand for our computer vision, video and image processing SoCs may not materialize as expected, and our business and operating results could suffer.</w:t>
      </w:r>
    </w:p>
    <w:p>
      <w:pPr>
        <w:spacing w:after="0" w:line="166"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6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Our customers typically do not provide us with firm, long-term purchase commitments. A substantial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 As a result of a number of factors, including longer manufacturing times for our products and increased demand from customers, we have increased our inventory levels in the near term.</w:t>
      </w:r>
    </w:p>
    <w:p>
      <w:pPr>
        <w:spacing w:after="0" w:line="192"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miscalculations by our customers of their inventory requirements, changes in market conditions including reductions in market activity due to the COVID-19 pandemic, adverse changes in our product order mix and fluctuating demand for our customers’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 This risk may be exacerbated during the current period of supply chain constraints by customers placing orders with us that could exceed their actual demand for our solutions.</w:t>
      </w:r>
    </w:p>
    <w:p>
      <w:pPr>
        <w:spacing w:after="0" w:line="16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We have in the past had customers significantly increase their requested production quantities with little or no advance notice. If we do not fulfill customer demands in a timely manner, our customers may cancel their orders and we may be subject to customer claims for cost of replacement.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 In addition, any significant future cancellations or deferrals of product orders could harm our margins, increase our write-offs due to product obsolescence and restrict our ability to fund our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 w:name="page40"/>
    <w:bookmarkEnd w:id="39"/>
    <w:p>
      <w:pPr>
        <w:ind w:right="460" w:firstLine="51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62"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2021, the customers representing 10% or more of our revenue were WT Microelectronics Co., Ltd., formerly Wintech Microelectronics Co., Ltd., or Wintech, our distributor, and Chicony Electronics Co., Ltd., or Chicony, a direct ODM customer, which accounted for approximately 63% and 16% of total revenue, respectively. For the nine months ended October 31, 2021, the customers representing 10% or more of revenue were Wintech and Chicony, which accounted for approximately 63% and 15% of total revenue, respectively. We believe that our operating results for the foreseeable future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8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b w:val="1"/>
          <w:bCs w:val="1"/>
          <w:i w:val="1"/>
          <w:iCs w:val="1"/>
          <w:color w:val="auto"/>
        </w:rPr>
        <w:t>If we fail to develop and introduce new or enhanced solutions on a timely basis, our ability to attract and retain customers could be impaired and our competitive position could be harmed.</w:t>
      </w:r>
    </w:p>
    <w:p>
      <w:pPr>
        <w:spacing w:after="0" w:line="62"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We operate in a dynamic environment characterized by rapidly changing technologies and technological obsolescence. To compete successfully, we must design, develop, market and sell enhanced solutions that provide increasingly higher levels of performance and functionality and that meet the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for video compression; or the requirement of additional functionality included in video processors. In addition, the markets for our solutions are characterized by frequent introduction of next-generation and new products, short product life cycles, increasing demand for added functionality and significant price competition. As we develop and introduce new solutions, we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182"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expect that we will need to establish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spacing w:after="0" w:line="178"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3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are focused on selling our computer vision, video and image processing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For example, in the past we had achieved certain design wins and projected substantial future revenue as a result of such design wins. Subsequently, based on factors outside of our control, the applicable end customers abruptly cancelled the projects, with no notice to us, resulting in a loss of projected revenue.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firstLine="510"/>
        <w:spacing w:after="0" w:line="255" w:lineRule="auto"/>
        <w:rPr>
          <w:sz w:val="20"/>
          <w:szCs w:val="20"/>
          <w:color w:val="auto"/>
        </w:rPr>
      </w:pPr>
      <w:r>
        <w:rPr>
          <w:rFonts w:ascii="Arial" w:cs="Arial" w:eastAsia="Arial" w:hAnsi="Arial"/>
          <w:sz w:val="18"/>
          <w:szCs w:val="18"/>
          <w:color w:val="auto"/>
        </w:rPr>
        <w:t>Our customers generally take a considerable amount of time to evaluate our solutions. The typical time from early engagement by our sales force to actual product introduction runs from nine to 12 months, though it will likely take significantly longer in new markets such as the OEM automotive and robotics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9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b w:val="1"/>
          <w:bCs w:val="1"/>
          <w:i w:val="1"/>
          <w:iCs w:val="1"/>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184" w:lineRule="exact"/>
        <w:rPr>
          <w:sz w:val="20"/>
          <w:szCs w:val="20"/>
          <w:color w:val="auto"/>
        </w:rPr>
      </w:pPr>
    </w:p>
    <w:p>
      <w:pPr>
        <w:ind w:right="140" w:firstLine="510"/>
        <w:spacing w:after="0" w:line="289" w:lineRule="auto"/>
        <w:rPr>
          <w:sz w:val="20"/>
          <w:szCs w:val="20"/>
          <w:color w:val="auto"/>
        </w:rPr>
      </w:pPr>
      <w:r>
        <w:rPr>
          <w:rFonts w:ascii="Arial" w:cs="Arial" w:eastAsia="Arial" w:hAnsi="Arial"/>
          <w:sz w:val="16"/>
          <w:szCs w:val="16"/>
          <w:color w:val="333333"/>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This qualification process may take several months and qualification of a product by a customer does not assure any sales of the product to that customer. Even after successful qualification and sales of a product to a customer, a subsequent revision in our third party contractors’ manufacturing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expect competition to increase in the future, which could have an adverse effect on our revenue and market share.</w:t>
      </w:r>
    </w:p>
    <w:p>
      <w:pPr>
        <w:spacing w:after="0" w:line="117"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The global semiconductor market in general, and the computer vision, video and 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longer histories in these markets. Increased competition could result in price pressure, reduced profitability and loss of market share, any of which could harm our business, revenue and operating results.</w:t>
      </w:r>
    </w:p>
    <w:p>
      <w:pPr>
        <w:spacing w:after="0" w:line="196" w:lineRule="exact"/>
        <w:rPr>
          <w:sz w:val="20"/>
          <w:szCs w:val="20"/>
          <w:color w:val="auto"/>
        </w:rPr>
      </w:pPr>
    </w:p>
    <w:p>
      <w:pPr>
        <w:ind w:right="120" w:firstLine="510"/>
        <w:spacing w:after="0" w:line="287" w:lineRule="auto"/>
        <w:rPr>
          <w:sz w:val="20"/>
          <w:szCs w:val="20"/>
          <w:color w:val="auto"/>
        </w:rPr>
      </w:pPr>
      <w:r>
        <w:rPr>
          <w:rFonts w:ascii="Arial" w:cs="Arial" w:eastAsia="Arial" w:hAnsi="Arial"/>
          <w:sz w:val="16"/>
          <w:szCs w:val="16"/>
          <w:color w:val="auto"/>
        </w:rPr>
        <w:t>Our competitors range from large, international companies with greater resources offering a wide range of semiconductor products to smaller, nimble companies specializing in narrow markets. In the security camera market, our primary competitors include AMLogic Inc., Axera Technology Co., Ltd., Goke Microelectronics Co., Ltd., HiSilicon Technologies Co., Ltd., or HiSilicon, which is owned by Huawei Technologies Co., Ingenic Semiconductor Co., Ltd., Lumissil Microsystems, Novatek Microelectronics Corp., or Novatek, OmniVision Technologies, Inc., Qualcomm Incorporated, or Qualcomm, SigmaStar Technology Corp., Socionext Inc., or Socionext, an entity created from the merger of the system LSI businesses of Fujitsu Ltd. and Panasonic Corporation, and Texas Instruments Incorporated, or Texas Instruments, as well as vertically integrated divisions of security camera device OEMs, including Axis, Hanwha Techwin, and Google LLC, which is owned by Alphabet, Inc. In the automotive camera market, we primarily compete against Allwinner Technology Co., Ltd., Horizon Robotics Inc., iCatch Technology, Inc., Mobileye, a subsidiary of Intel Corporation, or Intel, Novatek, NVIDIA Corporation, or NVIDIA, NXP Semiconductors N.V., Qualcomm, Renesas Electronics Corporation, Texas Instruments and Xilinx Inc. In the robotics and emerging applications markets, our primary competitors are Fuzhou Rockchip Electronics Co., Ltd., NVIDIA, Qualcomm, and Texas Instruments. In the other applications markets, our primary competitors are HiSilicon, Movidius Ltd., a subsidiary of Intel, NVIDIA, Qualcomm, Socionext, and vertically integrated divisions of our OEM customer, Shenzhen Dajiang Baiwang Technology Co., Ltd., or Dajiang Baiwang.</w:t>
      </w:r>
    </w:p>
    <w:p>
      <w:pPr>
        <w:spacing w:after="0" w:line="168"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 w:name="page42"/>
    <w:bookmarkEnd w:id="41"/>
    <w:p>
      <w:pPr>
        <w:ind w:right="60" w:firstLine="510"/>
        <w:spacing w:after="0" w:line="257" w:lineRule="auto"/>
        <w:rPr>
          <w:sz w:val="20"/>
          <w:szCs w:val="20"/>
          <w:color w:val="auto"/>
        </w:rPr>
      </w:pPr>
      <w:r>
        <w:rPr>
          <w:rFonts w:ascii="Arial" w:cs="Arial" w:eastAsia="Arial" w:hAnsi="Arial"/>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80" w:lineRule="exact"/>
        <w:rPr>
          <w:sz w:val="20"/>
          <w:szCs w:val="20"/>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anticipate market and technology trends and successfully develop solutions that meet market needs;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in identifying and penetrating new markets, applications and customers;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understand the price points and performance metrics of competing products in the marketplace;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that of competing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gain access to leading design tools and product specifications at the same time as our competitors;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key OEMs and ODMs;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products’ effective implementation of video processing standards;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expand international operations in a timely and cost-efficient manner;</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support our customers’ incorporation of our solutions into their products; and</w:t>
      </w:r>
    </w:p>
    <w:p>
      <w:pPr>
        <w:spacing w:after="0" w:line="117" w:lineRule="exact"/>
        <w:rPr>
          <w:rFonts w:ascii="Arial" w:cs="Arial" w:eastAsia="Arial" w:hAnsi="Arial"/>
          <w:sz w:val="18"/>
          <w:szCs w:val="18"/>
          <w:color w:val="auto"/>
        </w:rPr>
      </w:pPr>
    </w:p>
    <w:p>
      <w:pPr>
        <w:ind w:left="1520" w:right="60" w:hanging="500"/>
        <w:spacing w:after="0" w:line="277" w:lineRule="auto"/>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recruit design and application engineers with expertise in computer vision, video and image processing technologies and sales and marketing personnel.</w:t>
      </w:r>
    </w:p>
    <w:p>
      <w:pPr>
        <w:spacing w:after="0" w:line="170" w:lineRule="exact"/>
        <w:rPr>
          <w:sz w:val="20"/>
          <w:szCs w:val="20"/>
          <w:color w:val="auto"/>
        </w:rPr>
      </w:pPr>
    </w:p>
    <w:p>
      <w:pPr>
        <w:ind w:right="420" w:firstLine="510"/>
        <w:spacing w:after="0" w:line="286" w:lineRule="auto"/>
        <w:rPr>
          <w:sz w:val="20"/>
          <w:szCs w:val="20"/>
          <w:color w:val="auto"/>
        </w:rPr>
      </w:pPr>
      <w:r>
        <w:rPr>
          <w:rFonts w:ascii="Arial" w:cs="Arial" w:eastAsia="Arial" w:hAnsi="Arial"/>
          <w:sz w:val="17"/>
          <w:szCs w:val="17"/>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breach of our security systems may have a material adverse effect on our business.</w:t>
      </w:r>
    </w:p>
    <w:p>
      <w:pPr>
        <w:spacing w:after="0" w:line="225"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Our security systems are designed to maintain the physical security of our facilities and information systems and protect our customers’, suppliers’ and employees’ confidential information. Accidental or willful security breaches or other unauthorized access by third parties to our facilities or our information systems or the existence of computer viruses in our data or software could expose us to a risk of information loss and misappropriation of proprietary and confidential information. Security breaches, computer malware and computer hacking attacks have become more prevalent and sophisticated. These threats are constantly evolving, making it increasingly difficult to successfully defend against or implement adequate preventive measures. Moreover, as a result of the COVID-19 pandemic, the need for remote work and remote access to our systems has increased significantly, which also increases our cybersecurity risk profile. Experienced computer programmers and hackers may be able to penetrate our security controls and misappropriate or compromise our confidential information or that of third parties or create system disruptions. Computer programmers and hackers also may be able to develop and deploy viruses, worms and other malicious software programs that attack our information systems and cause disruptions of our business. For portions of our IT infrastructure, we rely on products and services provided by third parties. These third-party providers may also experience breaches and attacks to their products, which could impact our systems. For example, in 2020, SolarWinds Corp., one of our third-party IT infrastructure software providers, was subject to a data security breach. Our investigation of the breach, which was supported by a third-party security expert, has not identified any adverse impact to our business or operations, but there can be no guarantee we will not experience such an impact. Data security breaches may also result from non-technical means, for example, actions by an employee. Any theft or misuse of this information could result in, among other things, damage to our reputation, allegations by our customers that we have not performed our contractual obligations, litigation by affected parties and possible financial obligations for liabilities and damages related to the theft or misuse of this information, any of which could have a material adverse effect on our business, financial condition, our reputation, and our relationships with our customers and partners. 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Any security breaches or other unauthorized access by third parties to the systems of our cloud-based service providers or the existence of computer viruses in their data or software could expose us to a risk of information loss and misappropriation of confidential information.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2" w:name="page43"/>
    <w:bookmarkEnd w:id="42"/>
    <w:p>
      <w:pPr>
        <w:ind w:right="240" w:firstLine="510"/>
        <w:spacing w:after="0" w:line="277" w:lineRule="auto"/>
        <w:rPr>
          <w:sz w:val="20"/>
          <w:szCs w:val="20"/>
          <w:color w:val="auto"/>
        </w:rPr>
      </w:pPr>
      <w:r>
        <w:rPr>
          <w:rFonts w:ascii="Arial" w:cs="Arial" w:eastAsia="Arial" w:hAnsi="Arial"/>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70" w:lineRule="exact"/>
        <w:rPr>
          <w:sz w:val="20"/>
          <w:szCs w:val="20"/>
          <w:color w:val="auto"/>
        </w:rPr>
      </w:pPr>
    </w:p>
    <w:p>
      <w:pPr>
        <w:ind w:right="240" w:firstLine="510"/>
        <w:spacing w:after="0" w:line="288" w:lineRule="auto"/>
        <w:rPr>
          <w:sz w:val="20"/>
          <w:szCs w:val="20"/>
          <w:color w:val="auto"/>
        </w:rPr>
      </w:pPr>
      <w:r>
        <w:rPr>
          <w:rFonts w:ascii="Arial" w:cs="Arial" w:eastAsia="Arial" w:hAnsi="Arial"/>
          <w:sz w:val="16"/>
          <w:szCs w:val="16"/>
          <w:color w:val="auto"/>
        </w:rPr>
        <w:t>The semiconductor industry requires substantial investment in research and development in order to bring to market new and enhanced solutions. Our research and development expense was $140.8 million, $129.7 million and $128.1 million in fiscal years 2021, 2020 and 2019, respectively. For the nine months ended October 31, 2021, our research and development expense was $118.8 million. We expect to increase our research and development expenditures as compared to prior periods as part of our strategy of focusing on the development of innovative computer vision, video and image processing solutions with increased functionality, and as we target new markets, such as the automotive OEM and robotics markets. We are unable to predict whether we will have sufficient resources to achieve the level of investment in research and development required to remain competitive. For example, development in the latest process nodes, such as 10 and 5 nanometer, or nm, costs significantly more than required to develop in larger process nodes, such as 28nm or 14nm.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loss of any of our key personnel could seriously harm our business.</w:t>
      </w:r>
    </w:p>
    <w:p>
      <w:pPr>
        <w:spacing w:after="0" w:line="117"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rely on highly skilled personnel and, if we are unable to hire, retain or motivate key personnel, we may not be able to grow effectively.</w:t>
      </w:r>
    </w:p>
    <w:p>
      <w:pPr>
        <w:spacing w:after="0" w:line="140"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178"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b w:val="1"/>
          <w:bCs w:val="1"/>
          <w:i w:val="1"/>
          <w:iCs w:val="1"/>
          <w:color w:val="auto"/>
        </w:rPr>
        <w:t>The average selling prices of video and image processing solutions in our target markets have typically decreased over time and will likely do so in the future, which could harm our revenue and gross margins.</w:t>
      </w:r>
    </w:p>
    <w:p>
      <w:pPr>
        <w:spacing w:after="0" w:line="62"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w:t>
      </w:r>
    </w:p>
    <w:p>
      <w:pPr>
        <w:spacing w:after="0" w:line="4"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factors. We expect that we will have to address pricing pressures again in the future, particularly in markets experiencing consolidation, which could require us to reduce the prices of our SoC solutions and harm our operating results.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ind w:left="520"/>
        <w:spacing w:after="0"/>
        <w:rPr>
          <w:sz w:val="20"/>
          <w:szCs w:val="20"/>
          <w:color w:val="auto"/>
        </w:rPr>
      </w:pPr>
      <w:r>
        <w:rPr>
          <w:rFonts w:ascii="Arial" w:cs="Arial" w:eastAsia="Arial" w:hAnsi="Arial"/>
          <w:sz w:val="16"/>
          <w:szCs w:val="16"/>
          <w:b w:val="1"/>
          <w:bCs w:val="1"/>
          <w:i w:val="1"/>
          <w:iCs w:val="1"/>
          <w:color w:val="auto"/>
        </w:rPr>
        <w:t>If we are unable to manage any future growth, we may not be able to execute our business plan and our operating results could suffer.</w:t>
      </w:r>
    </w:p>
    <w:p>
      <w:pPr>
        <w:spacing w:after="0" w:line="14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our growth successfully and handle the responsibilities of being a public company, we believe we must effectively, among other things:</w:t>
      </w:r>
    </w:p>
    <w:p>
      <w:pPr>
        <w:spacing w:after="0" w:line="80" w:lineRule="exact"/>
        <w:rPr>
          <w:sz w:val="20"/>
          <w:szCs w:val="20"/>
          <w:color w:val="auto"/>
        </w:rPr>
      </w:pPr>
    </w:p>
    <w:p>
      <w:pPr>
        <w:ind w:left="1520" w:right="100" w:hanging="500"/>
        <w:spacing w:after="0" w:line="263"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recruit, hire, train and manage additional qualified engineers for our research and development activities, particularly in our offices in Asia and especially for the positions of semiconductor design and systems, applications engineering and computer vision development;</w:t>
      </w:r>
    </w:p>
    <w:p>
      <w:pPr>
        <w:spacing w:after="0" w:line="75"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additional sales and business development personnel;</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additional finance and accounting personnel;</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and improve our administrative, financial and operational systems, procedures and controls; and</w:t>
      </w:r>
    </w:p>
    <w:p>
      <w:pPr>
        <w:spacing w:after="0" w:line="117" w:lineRule="exact"/>
        <w:rPr>
          <w:rFonts w:ascii="Arial" w:cs="Arial" w:eastAsia="Arial" w:hAnsi="Arial"/>
          <w:sz w:val="18"/>
          <w:szCs w:val="18"/>
          <w:color w:val="auto"/>
        </w:rPr>
      </w:pPr>
    </w:p>
    <w:p>
      <w:pPr>
        <w:ind w:left="1520" w:right="200" w:hanging="500"/>
        <w:spacing w:after="0" w:line="277"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 our information technology support for enterprise resource planning and design engineering by adapting and expanding our systems and tool capabilities, and properly training new hires as to their use.</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able to secure sufficient manufacturing capacity.</w:t>
      </w:r>
    </w:p>
    <w:p>
      <w:pPr>
        <w:spacing w:after="0" w:line="22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are likely to incur the costs associated with these increased investments earlier than some of the anticipated benefits, and the return on these investments, if any, may be lower, may develop more slowly than we expect or may not materialize. In addition, development of products to address emerging markets, such as the OEM automotive and robotics markets, could negatively impact our ability to develop new products for our current markets, which may harm our financial condition, particularly in the near term.</w:t>
      </w:r>
    </w:p>
    <w:p>
      <w:pPr>
        <w:spacing w:after="0" w:line="187"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Deterioration of the financial conditions of our customers could adversely affect our operating results.</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Deterioration of the financial condition of our distributors or customers could adversely impact our collection of accounts receivable. For the nine months ended October 31, 2021, the customers representing 10% or more of revenue and accounts receivable were Wintech and Chicony, which accounted for approximately 63% and 15% of total revenue, respectively. As of October 31, 2021, accounts receivable with Wintech and Chicony were approximately $23.5 million and $12.4 million, respectively.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would be negatively impacted.</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117"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the 2008-2009 global recession and the economic impact of the COVID-19 pandemic could lead to a similar downturn in future periods. These downturns have been characterized by diminished product demand, production overcapacity, high inventory levels and accelerated erosion of average selling prices. Any future downturns could harm our business and operating results. Furthermore, any significant upturn in the semiconductor industry could result in increased competition for access to third-party foundry and assembly capacity. We are dependent on the availability of this capacity to manufacture and assemble our SoC solutions. None of our third-party foundry or assembly contractors has provided assurances that adequate capacity will be available to us in the future. The semiconductor industry is currently experiencing significant shortages of capacity, which has resulted in a lengthening of the manufacturing lead time for our products. This capacity shortage has negatively impacted our ability to meet our customers’ demand, and if this capacity shortage continues for an extensive period of time, it could further negatively impact our ability to meet our customers’ demand for our products and have an adverse impact on our revenue, results of operations and customer relationships. In addition, it is possible during this time of supply chain capacity shortage that customers may place orders for our products that exceed their actual demand, which may lead to us manufacturing a surplus of products, which could have a negative impact on our results or operations and cash reserves.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both"/>
        <w:ind w:right="180" w:firstLine="510"/>
        <w:spacing w:after="0" w:line="263" w:lineRule="auto"/>
        <w:rPr>
          <w:sz w:val="20"/>
          <w:szCs w:val="20"/>
          <w:color w:val="auto"/>
        </w:rPr>
      </w:pPr>
      <w:r>
        <w:rPr>
          <w:rFonts w:ascii="Arial" w:cs="Arial" w:eastAsia="Arial" w:hAnsi="Arial"/>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76"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96"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5nm process node,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Samsung, who is one of the few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Rapidly changing industry standards could make our video and image processing solutions obsolete, which would cause our operating results 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suffer.</w:t>
      </w:r>
    </w:p>
    <w:p>
      <w:pPr>
        <w:spacing w:after="0" w:line="103"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As a result, our sales would suffer, and we could be required to make significant expenditures to develop new SoC solutions to ensure compliance with relevant standards.</w:t>
      </w:r>
    </w:p>
    <w:p>
      <w:pPr>
        <w:spacing w:after="0" w:line="172" w:lineRule="exact"/>
        <w:rPr>
          <w:sz w:val="20"/>
          <w:szCs w:val="20"/>
          <w:color w:val="auto"/>
        </w:rPr>
      </w:pPr>
    </w:p>
    <w:p>
      <w:pPr>
        <w:ind w:right="540" w:firstLine="510"/>
        <w:spacing w:after="0" w:line="375" w:lineRule="auto"/>
        <w:rPr>
          <w:sz w:val="20"/>
          <w:szCs w:val="20"/>
          <w:color w:val="auto"/>
        </w:rPr>
      </w:pPr>
      <w:r>
        <w:rPr>
          <w:rFonts w:ascii="Arial" w:cs="Arial" w:eastAsia="Arial" w:hAnsi="Arial"/>
          <w:sz w:val="15"/>
          <w:szCs w:val="15"/>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have research and development design centers and business development offices in China, Japan, Italy,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53" w:lineRule="exact"/>
        <w:rPr>
          <w:sz w:val="20"/>
          <w:szCs w:val="20"/>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and more difficult collection of receivables;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enforcing contracts generally;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 w:name="page46"/>
    <w:bookmarkEnd w:id="45"/>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economic instability;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geopolitical instability and military conflicts;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protection of our intellectual property and other assets;</w:t>
      </w:r>
    </w:p>
    <w:p>
      <w:pPr>
        <w:spacing w:after="0" w:line="117" w:lineRule="exact"/>
        <w:rPr>
          <w:rFonts w:ascii="Arial" w:cs="Arial" w:eastAsia="Arial" w:hAnsi="Arial"/>
          <w:sz w:val="18"/>
          <w:szCs w:val="18"/>
          <w:color w:val="auto"/>
        </w:rPr>
      </w:pPr>
    </w:p>
    <w:p>
      <w:pPr>
        <w:ind w:left="1520" w:right="840" w:hanging="500"/>
        <w:spacing w:after="0" w:line="27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local laws and regulations and unanticipated changes in local laws and regulations, including tax laws and regulations;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travel restrictions;</w:t>
      </w:r>
    </w:p>
    <w:p>
      <w:pPr>
        <w:spacing w:after="0" w:line="117" w:lineRule="exact"/>
        <w:rPr>
          <w:rFonts w:ascii="Arial" w:cs="Arial" w:eastAsia="Arial" w:hAnsi="Arial"/>
          <w:sz w:val="18"/>
          <w:szCs w:val="18"/>
          <w:color w:val="auto"/>
        </w:rPr>
      </w:pPr>
    </w:p>
    <w:p>
      <w:pPr>
        <w:ind w:left="1520" w:right="620" w:hanging="500"/>
        <w:spacing w:after="0" w:line="27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fluctuations relating to our international operating activities;</w:t>
      </w:r>
    </w:p>
    <w:p>
      <w:pPr>
        <w:spacing w:after="0" w:line="117" w:lineRule="exact"/>
        <w:rPr>
          <w:rFonts w:ascii="Arial" w:cs="Arial" w:eastAsia="Arial" w:hAnsi="Arial"/>
          <w:sz w:val="18"/>
          <w:szCs w:val="18"/>
          <w:color w:val="auto"/>
        </w:rPr>
      </w:pPr>
    </w:p>
    <w:p>
      <w:pPr>
        <w:ind w:left="1520" w:right="140" w:hanging="500"/>
        <w:spacing w:after="0" w:line="27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imposed by the U.S. government on our ability to do business with certain companies or in certain countries as a result of international political conflicts;</w:t>
      </w:r>
    </w:p>
    <w:p>
      <w:pPr>
        <w:spacing w:after="0" w:line="62" w:lineRule="exact"/>
        <w:rPr>
          <w:rFonts w:ascii="Arial" w:cs="Arial" w:eastAsia="Arial" w:hAnsi="Arial"/>
          <w:sz w:val="18"/>
          <w:szCs w:val="18"/>
          <w:color w:val="auto"/>
        </w:rPr>
      </w:pPr>
    </w:p>
    <w:p>
      <w:pPr>
        <w:ind w:left="1520" w:right="880" w:hanging="500"/>
        <w:spacing w:after="0" w:line="27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standards and practices in the U.S.;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health issues, pandemics, and natural disasters; and</w:t>
      </w:r>
    </w:p>
    <w:p>
      <w:pPr>
        <w:spacing w:after="0" w:line="225" w:lineRule="exact"/>
        <w:rPr>
          <w:rFonts w:ascii="Arial" w:cs="Arial" w:eastAsia="Arial" w:hAnsi="Arial"/>
          <w:sz w:val="18"/>
          <w:szCs w:val="18"/>
          <w:color w:val="auto"/>
        </w:rPr>
      </w:pPr>
    </w:p>
    <w:p>
      <w:pPr>
        <w:ind w:left="1520" w:hanging="500"/>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00" w:lineRule="exact"/>
        <w:rPr>
          <w:sz w:val="20"/>
          <w:szCs w:val="20"/>
          <w:color w:val="auto"/>
        </w:rPr>
      </w:pPr>
    </w:p>
    <w:p>
      <w:pPr>
        <w:spacing w:after="0" w:line="241"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b w:val="1"/>
          <w:bCs w:val="1"/>
          <w:i w:val="1"/>
          <w:iCs w:val="1"/>
          <w:color w:val="auto"/>
        </w:rPr>
        <w:t>Our acquisition of Oculii Corp. involves a number of risks, including, among others, risks associated with our use of a significant portion of our cash, other financial risks, integration risks, and risks associated with the reactions of customers and suppliers.</w:t>
      </w:r>
    </w:p>
    <w:p>
      <w:pPr>
        <w:spacing w:after="0" w:line="146"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On November 5, 2021, we completed our acquisition of Oculii Corp. In connection with the transaction, Oculii became a wholly owned subsidiary of the Company. The benefits we expect to realize from this acquisition will depend, in part, on our ability to integrate the businesses successfully and efficiently.</w:t>
      </w:r>
    </w:p>
    <w:p>
      <w:pPr>
        <w:spacing w:after="0" w:line="184" w:lineRule="exact"/>
        <w:rPr>
          <w:sz w:val="20"/>
          <w:szCs w:val="20"/>
          <w:color w:val="auto"/>
        </w:rPr>
      </w:pPr>
    </w:p>
    <w:p>
      <w:pPr>
        <w:ind w:firstLine="468"/>
        <w:spacing w:after="0" w:line="272" w:lineRule="auto"/>
        <w:rPr>
          <w:sz w:val="20"/>
          <w:szCs w:val="20"/>
          <w:color w:val="auto"/>
        </w:rPr>
      </w:pPr>
      <w:r>
        <w:rPr>
          <w:rFonts w:ascii="Arial" w:cs="Arial" w:eastAsia="Arial" w:hAnsi="Arial"/>
          <w:sz w:val="17"/>
          <w:szCs w:val="17"/>
          <w:color w:val="auto"/>
        </w:rPr>
        <w:t>We entered into the merger agreement with Oculii with the expectation that the merger will result in various benefits to us, including certain technology and operational efficiencies or synergies. To realize these anticipated benefits, the businesses and certain technologies of Ambarella and Oculii must be successfully integrated. Historically, Ambarella and Oculii have been independent companies, and they were operated as such until the completion of the merger. The integration may be complex and time consuming and may require substantial resources and effort. Our management may face significant challenges in consolidating the operations of Ambarella and Oculii, integrating the technologies, procedures, and policies, as well as addressing the different corporate cultures of the two companies and retaining key personnel. If the companies or technology are not successfully integrated, the anticipated benefits of the merger may not be realized fully or at all or may take longer to realize than expected.</w:t>
      </w:r>
    </w:p>
    <w:p>
      <w:pPr>
        <w:spacing w:after="0" w:line="177" w:lineRule="exact"/>
        <w:rPr>
          <w:sz w:val="20"/>
          <w:szCs w:val="20"/>
          <w:color w:val="auto"/>
        </w:rPr>
      </w:pPr>
    </w:p>
    <w:p>
      <w:pPr>
        <w:ind w:right="40" w:firstLine="468"/>
        <w:spacing w:after="0" w:line="263" w:lineRule="auto"/>
        <w:rPr>
          <w:sz w:val="20"/>
          <w:szCs w:val="20"/>
          <w:color w:val="auto"/>
        </w:rPr>
      </w:pPr>
      <w:r>
        <w:rPr>
          <w:rFonts w:ascii="Arial" w:cs="Arial" w:eastAsia="Arial" w:hAnsi="Arial"/>
          <w:sz w:val="18"/>
          <w:szCs w:val="18"/>
          <w:color w:val="auto"/>
        </w:rPr>
        <w:t>Our existing or prospective customers, licensees, suppliers and/or partners may delay, defer or cease purchasing products or services from or providing products or services to us, delay or defer other decisions concerning us, or otherwise seek to change the terms on which they do business with us. Any of the above could harm us, and thus decrease the benefits we expect to receive from the merger.</w:t>
      </w:r>
    </w:p>
    <w:p>
      <w:pPr>
        <w:spacing w:after="0" w:line="184" w:lineRule="exact"/>
        <w:rPr>
          <w:sz w:val="20"/>
          <w:szCs w:val="20"/>
          <w:color w:val="auto"/>
        </w:rPr>
      </w:pPr>
    </w:p>
    <w:p>
      <w:pPr>
        <w:ind w:right="20" w:firstLine="468"/>
        <w:spacing w:after="0" w:line="255" w:lineRule="auto"/>
        <w:rPr>
          <w:sz w:val="20"/>
          <w:szCs w:val="20"/>
          <w:color w:val="auto"/>
        </w:rPr>
      </w:pPr>
      <w:r>
        <w:rPr>
          <w:rFonts w:ascii="Arial" w:cs="Arial" w:eastAsia="Arial" w:hAnsi="Arial"/>
          <w:sz w:val="18"/>
          <w:szCs w:val="18"/>
          <w:color w:val="auto"/>
        </w:rPr>
        <w:t>In addition, the acquisition may also result in significant charges or other liabilities, including taxes, that could adversely affect our results of operations, such as cash expenses and non-cash accounting charges incurred in connection with the acquisition and/or integration of the business and operations of Ambarella and Oculii. The amount and timing of these possible charges are not yet known. Further, our failure to identify or accurately assess the magnitude of certain liabilities we are assuming in the transaction could result in unexpected litigation or regulatory exposure, unfavorable accounting charges, unexpected increases in taxes due, a loss of anticipated tax benefits or other adverse effects on our business, results of operations, financial condition or cash flows.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right="300" w:firstLine="510"/>
        <w:spacing w:after="0" w:line="277" w:lineRule="auto"/>
        <w:rPr>
          <w:sz w:val="20"/>
          <w:szCs w:val="20"/>
          <w:color w:val="auto"/>
        </w:rPr>
      </w:pPr>
      <w:r>
        <w:rPr>
          <w:rFonts w:ascii="Arial" w:cs="Arial" w:eastAsia="Arial" w:hAnsi="Arial"/>
          <w:sz w:val="18"/>
          <w:szCs w:val="18"/>
          <w:b w:val="1"/>
          <w:bCs w:val="1"/>
          <w:i w:val="1"/>
          <w:iCs w:val="1"/>
          <w:color w:val="auto"/>
        </w:rPr>
        <w:t>The Oculii acquisition or potential future acquisitions involve a number of risks, including, among others, those associated with our use of a significant portion of our cash and other financial risks.</w:t>
      </w:r>
    </w:p>
    <w:p>
      <w:pPr>
        <w:spacing w:after="0" w:line="170"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We used a significant portion of our cash in connection with the acquisition of Oculii, which was completed on November 5, 2021. Our use of cash to fund the Oculii acquisition has reduced our liquidity and any future acquisitions may also reduce our liquidity. Using cash to fund acquisitions may (i) limit our flexibility in responding to other business opportunities and (ii) increase our vulnerability to adverse economic and industry conditions.</w:t>
      </w:r>
    </w:p>
    <w:p>
      <w:pPr>
        <w:spacing w:after="0" w:line="8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b w:val="1"/>
          <w:bCs w:val="1"/>
          <w:i w:val="1"/>
          <w:iCs w:val="1"/>
          <w:color w:val="auto"/>
        </w:rPr>
        <w:t>Our acquisition of Oculii and any acquisitions we may make in the future could disrupt our business, cause dilution to our shareholders, reduce our financial resources and harm our business.</w:t>
      </w:r>
    </w:p>
    <w:p>
      <w:pPr>
        <w:spacing w:after="0" w:line="170"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Prior to our acquisition of Oculii, we had not made any acquisitions since our acquisition of VisLab S.r.l., or VisLab, in June 2015. Our ability to make and successfully integrate acquisitions is unproven. The Oculii acquisition and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complexity of calculating our tax provision may result in errors that could result in restatements of our financial statements.</w:t>
      </w:r>
    </w:p>
    <w:p>
      <w:pPr>
        <w:spacing w:after="0" w:line="129"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We are incorporated in the Cayman Islands and our operations are subject to income and transaction taxes in the United States, China, Hong Kong, Japan, Italy,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Restatements are generally costly and could adversely impact our results of operations or have a negative impact on the trading price of our ordinary shares.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Performance or Results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Fluctuations in our operating results on a quarterly and annual basis could cause the market price of our ordinary shares to decline.</w:t>
      </w:r>
    </w:p>
    <w:p>
      <w:pPr>
        <w:spacing w:after="0" w:line="129"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revenue and operating results have fluctuated significantly from period to period in the past and are likely to do so in the future. In particular, our business has tended to be seasonal with higher revenue in our third quarter as our customers typically increase their production to meet holiday shopping season or year-end demand for their products. We also may experience seasonally lower demand in our first quarter as a result of industry seasonality and the impact of ODM and OEM factory closures associated with the Chinese New Year holiday. As a result, you should not rely on period-to-period comparisons of our operating results as an indication of our future performance. In future periods, our revenue and results of operations may be below the expectations of analysts and investors, which could cause the market price of our ordinary shares to decline.</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affect our operating results include:</w:t>
      </w:r>
    </w:p>
    <w:p>
      <w:pPr>
        <w:spacing w:after="0" w:line="117" w:lineRule="exact"/>
        <w:rPr>
          <w:sz w:val="20"/>
          <w:szCs w:val="20"/>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demand, sales cycles, product mix, and prices for our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forecasting, scheduling, rescheduling or cancellation of orders by our customers;</w:t>
      </w:r>
    </w:p>
    <w:p>
      <w:pPr>
        <w:spacing w:after="0" w:line="117" w:lineRule="exact"/>
        <w:rPr>
          <w:rFonts w:ascii="Arial" w:cs="Arial" w:eastAsia="Arial" w:hAnsi="Arial"/>
          <w:sz w:val="18"/>
          <w:szCs w:val="18"/>
          <w:color w:val="auto"/>
        </w:rPr>
      </w:pPr>
    </w:p>
    <w:p>
      <w:pPr>
        <w:ind w:left="1520" w:right="220" w:hanging="500"/>
        <w:spacing w:after="0" w:line="277"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shifts in consumer or manufacturer preferences and any resultant change in demand for video and image capture devices into which our solutions are incorporated;</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 including new entrants or pricing pressures;</w:t>
      </w:r>
    </w:p>
    <w:p>
      <w:pPr>
        <w:spacing w:after="0" w:line="117" w:lineRule="exact"/>
        <w:rPr>
          <w:rFonts w:ascii="Arial" w:cs="Arial" w:eastAsia="Arial" w:hAnsi="Arial"/>
          <w:sz w:val="18"/>
          <w:szCs w:val="18"/>
          <w:color w:val="auto"/>
        </w:rPr>
      </w:pPr>
    </w:p>
    <w:p>
      <w:pPr>
        <w:ind w:left="1520" w:right="20" w:hanging="500"/>
        <w:spacing w:after="0" w:line="277"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our customers’ ability to manufacture and ship products that incorporate our solutions caused by internal and external factors beyond our control;</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define, design and release new solutions in a timely manner that meet our customers’ needs;</w:t>
      </w:r>
    </w:p>
    <w:p>
      <w:pPr>
        <w:spacing w:after="0" w:line="117" w:lineRule="exact"/>
        <w:rPr>
          <w:rFonts w:ascii="Arial" w:cs="Arial" w:eastAsia="Arial" w:hAnsi="Arial"/>
          <w:sz w:val="18"/>
          <w:szCs w:val="18"/>
          <w:color w:val="auto"/>
        </w:rPr>
      </w:pPr>
    </w:p>
    <w:p>
      <w:pPr>
        <w:ind w:left="1520" w:right="220" w:hanging="500"/>
        <w:spacing w:after="0" w:line="277"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manufacturing costs, including wafer, test and assembly costs, mask costs, manufacturing yields and product quality and reliability;</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7" w:name="page48"/>
    <w:bookmarkEnd w:id="47"/>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availability of adequate manufacturing capacity from our manufacturing subcontractors;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product announcements by our competitors or by us;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incurrence of research and development and related new products expenditures;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write-downs of inventory for excess quantities and technological obsolescence;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 of investment or other asset values;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in our share price, which may lead to higher stock-based compensation expense;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in our effective tax rate;</w:t>
      </w:r>
    </w:p>
    <w:p>
      <w:pPr>
        <w:spacing w:after="0" w:line="117" w:lineRule="exact"/>
        <w:rPr>
          <w:rFonts w:ascii="Arial" w:cs="Arial" w:eastAsia="Arial" w:hAnsi="Arial"/>
          <w:sz w:val="18"/>
          <w:szCs w:val="18"/>
          <w:color w:val="auto"/>
        </w:rPr>
      </w:pPr>
    </w:p>
    <w:p>
      <w:pPr>
        <w:ind w:left="1520" w:hanging="500"/>
        <w:spacing w:after="0" w:line="277" w:lineRule="auto"/>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socioeconomic and political conditions in the countries where we operate or where our products are sold or used, including the COVID-19 pandemic, U.S.-China relations and the conditions in Hong Kong; and</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litigation, especially related to intellectual property.</w:t>
      </w:r>
    </w:p>
    <w:p>
      <w:pPr>
        <w:spacing w:after="0" w:line="225"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Moreover, the semiconductor industry has historically been cyclical in nature, reflecting overall economic conditions as well as budgeting and buying patterns of consumers. For example, the semiconductor industry is currently experiencing significant shortages of capacity, which has resulted in a lengthening of the manufacturing lead time for our products and could be impacting the normal forecasting and ordering patterns of our customers.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and profitability, or incur losses. For example, our revenue declined</w:t>
      </w:r>
    </w:p>
    <w:p>
      <w:pPr>
        <w:spacing w:after="0" w:line="4"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2.5% in fiscal year 2021, increased 0.4% in fiscal year 2020 and declined 23% in fiscal year 2019. We incurred a net loss in fiscal years 2021, 2020, and 2019, respectively. For the nine months ended October 31, 2021, while our revenue increased by 50.2% compared to the same period in fiscal year 2021, we incurred a net loss of $17.2 million. We may experience similar fluctuations or declines in revenue or net losses in the future, which would harm our financial results.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do not generate revenue growth, we may not be able to execute our business plan and our operating results could suffer.</w:t>
      </w:r>
    </w:p>
    <w:p>
      <w:pPr>
        <w:spacing w:after="0" w:line="237"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believe that our future revenue growth, if any, will significantly depend on our ability to expand within our existing camera markets, such as the existing professional IP security and home security and monitoring camera markets, and successfully penetrate new markets, such as the OEM automotive, robotics and industrial markets, with our new AI computer vision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Our revenue declined 2.5% in fiscal year 2021, increased 0.4% in fiscal year 2020 and declined 23% in fiscal year 2019. We incurred net loss in fiscal years 2021, 2020, and 2019, respectively. For the nine months ended October 31, 2021, while our revenue increased by 50.2% compared to the same period in fiscal year 2021, we incurred a net loss of $17.2 million. Accordingly, if we are unable to generate or maintain adequate revenue growth, our financial results could suffer and our stock price could decline.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have difficulty accurately predicting our future revenue and appropriately budgeting our expenses.</w:t>
      </w:r>
    </w:p>
    <w:p>
      <w:pPr>
        <w:spacing w:after="0" w:line="22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We continue to expand our staffing and increase our expenditures in anticipation of future revenue growth. If our revenue does not increase as anticipated, we could incur significant losses due to our higher expense levels if we are not able to decrease our expenses in a timely manner to offset any shortfall in future revenue. Continued or persistent losses may require us to obtain additional capital that may not be available on reasonable terms or at all.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ind w:left="520"/>
        <w:spacing w:after="0"/>
        <w:rPr>
          <w:sz w:val="20"/>
          <w:szCs w:val="20"/>
          <w:color w:val="auto"/>
        </w:rPr>
      </w:pPr>
      <w:r>
        <w:rPr>
          <w:rFonts w:ascii="Arial" w:cs="Arial" w:eastAsia="Arial" w:hAnsi="Arial"/>
          <w:sz w:val="16"/>
          <w:szCs w:val="16"/>
          <w:b w:val="1"/>
          <w:bCs w:val="1"/>
          <w:i w:val="1"/>
          <w:iCs w:val="1"/>
          <w:color w:val="auto"/>
        </w:rPr>
        <w:t>Changes to financial accounting standards may affect our results of operations and could cause us to change our business practices.</w:t>
      </w:r>
    </w:p>
    <w:p>
      <w:pPr>
        <w:spacing w:after="0" w:line="24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6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may adversely affect our operating results.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camera manufacturers located outside the United States, primarily in Asia. Sales to customers in Asia accounted for approximately 88%, 90% and 87% of our total revenue in fiscal years 2021, 2020 and 2019, respectively. For the nine months ended October 31, 2021, sales to customers in Asia accounted for approximately 88% of our total revenue.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82"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spacing w:after="0" w:line="56"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cannot predict our future capital needs, and we may not be able to obtain additional financing to fund our operations.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Moreover, availability of foundry capacity at our primary foundry vendor has tightened recently, which could limit the volume of products we can produce and/or delay production of new products, both of which would negatively impact our business and operations. Similarly, our assembly vendors have recently experienced shortages of certain substrates necessary for the production of our solutions due in part to COVID-19, which has negatively impacted the production time of our devices. If these conditions continue for a substantial period or worsen, our ability to meet our anticipated demand for our solutions could be impacted which, in turn, could negatively impact our operations and financial results.</w:t>
      </w:r>
    </w:p>
    <w:p>
      <w:pPr>
        <w:spacing w:after="0" w:line="78"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10nm or 5nm.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78" w:lineRule="exact"/>
        <w:rPr>
          <w:sz w:val="20"/>
          <w:szCs w:val="20"/>
          <w:color w:val="auto"/>
        </w:rPr>
      </w:pPr>
    </w:p>
    <w:p>
      <w:pPr>
        <w:ind w:right="20" w:firstLine="510"/>
        <w:spacing w:after="0" w:line="375" w:lineRule="auto"/>
        <w:rPr>
          <w:sz w:val="20"/>
          <w:szCs w:val="20"/>
          <w:color w:val="auto"/>
        </w:rPr>
      </w:pPr>
      <w:r>
        <w:rPr>
          <w:rFonts w:ascii="Arial" w:cs="Arial" w:eastAsia="Arial" w:hAnsi="Arial"/>
          <w:sz w:val="15"/>
          <w:szCs w:val="15"/>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King Yuan Electronics Co., Ltd. or Sigurd Corporation under the supervision of our engineers. We depend on these third parties to supply us with material of a requested quantity in a timely manner that meets our standards for yield, cost and manufacturing quality. Availability of capacity within our supply chain has tightened recently, which could limit the volume of products we can produce and negatively impact our business and operations.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66"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0" w:name="page51"/>
    <w:bookmarkEnd w:id="50"/>
    <w:p>
      <w:pPr>
        <w:ind w:right="560" w:firstLine="510"/>
        <w:spacing w:after="0" w:line="277" w:lineRule="auto"/>
        <w:rPr>
          <w:sz w:val="20"/>
          <w:szCs w:val="20"/>
          <w:color w:val="auto"/>
        </w:rPr>
      </w:pPr>
      <w:r>
        <w:rPr>
          <w:rFonts w:ascii="Arial" w:cs="Arial" w:eastAsia="Arial" w:hAnsi="Arial"/>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70"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We sell a significant percentage of our solutions through a single distributor, Wintech, which serves as our non-exclusive sales representative in Asia, other than Japan. Approximately 63%, 60% and 58% of our revenue was derived from sales through Wintech for the fiscal years ended January 31, 2021, 2020 and 2019, respectively, and approximately 63% of our revenue was derived from sales through Wintech for the nine months ended October 31, 2021. We anticipate that a significant portion of our revenue will continue to be derived from sales through Wintech in the foreseeable future. In November 2019, WPG Holdings Co., or WPG, a Taiwan distributor, announced an unsolicited bid to acquire up to 30% of Wintech. In January 2020, WPG acquired approximately 17% of Wintech, but indicated it intended to remain a passive investor in Wintech. The acquisition of Wintech by WPG could have an adverse impact on our relationship with Wintech. Our current agreement with Wintech is effective until September 2022, unless it is terminated earlier by either party for any or no reason with 60 days written notice or by failure of the breaching party to cure a material breach within 30 days following written notice of such material breach by the non-breaching party. Our agreement with Wintech will automatically renew for additional successive 12-month terms unless at least 60 days before the end of the then-current term either party provides written notice to the other party that it elects not to renew the agreement. Termination of the relationship with Wintech, either by us or by Wintech,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Wintech, or any successor or other distributors we do business with, may face issues obtaining credit, which could impair their ability to make timely payments to us.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are subject to risks associated with our distributors' product inventories.</w:t>
      </w:r>
    </w:p>
    <w:p>
      <w:pPr>
        <w:spacing w:after="0" w:line="117" w:lineRule="exact"/>
        <w:rPr>
          <w:sz w:val="20"/>
          <w:szCs w:val="20"/>
          <w:color w:val="auto"/>
        </w:rPr>
      </w:pPr>
    </w:p>
    <w:p>
      <w:pPr>
        <w:ind w:right="240" w:firstLine="510"/>
        <w:spacing w:after="0" w:line="255" w:lineRule="auto"/>
        <w:rPr>
          <w:sz w:val="20"/>
          <w:szCs w:val="20"/>
          <w:color w:val="auto"/>
        </w:rPr>
      </w:pPr>
      <w:r>
        <w:rPr>
          <w:rFonts w:ascii="Arial" w:cs="Arial" w:eastAsia="Arial" w:hAnsi="Arial"/>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In accordance with ASC 606,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84"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Our reserve estimates associated with products stocked by our distributors are based largely on reports that our distributors provide to us on a weekly or monthly basis. To date, we believe this resale and channel inventory data have been generally accurate. To the extent that these data are inaccurate or not received in a timely manner, we may not be able to make reserve estimates for future periods accurately or at all.</w:t>
      </w:r>
    </w:p>
    <w:p>
      <w:pPr>
        <w:spacing w:after="0" w:line="166" w:lineRule="exact"/>
        <w:rPr>
          <w:sz w:val="20"/>
          <w:szCs w:val="20"/>
          <w:color w:val="auto"/>
        </w:rPr>
      </w:pPr>
    </w:p>
    <w:p>
      <w:pPr>
        <w:ind w:right="880" w:firstLine="510"/>
        <w:spacing w:after="0" w:line="277" w:lineRule="auto"/>
        <w:rPr>
          <w:sz w:val="20"/>
          <w:szCs w:val="20"/>
          <w:color w:val="auto"/>
        </w:rPr>
      </w:pPr>
      <w:r>
        <w:rPr>
          <w:rFonts w:ascii="Arial" w:cs="Arial" w:eastAsia="Arial" w:hAnsi="Arial"/>
          <w:sz w:val="18"/>
          <w:szCs w:val="18"/>
          <w:b w:val="1"/>
          <w:bCs w:val="1"/>
          <w:i w:val="1"/>
          <w:iCs w:val="1"/>
          <w:color w:val="auto"/>
        </w:rPr>
        <w:t>Camera manufacturers incorporate components supplied by multiple third parties, and a supply shortage or delay in delivery of these components could delay orders for our solutions by our customers.</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Our customers purchase components used in the manufacture of their cameras from various sources of supply, often involving several specialized components, including lenses, sensors,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For example, a disruption in the availability of image sensors from Sony Corporation as a result of the April 14, 2016 Kumamoto, Japan earthquake impacted our customers’ ability to build or launch cameras and, as a result, negatively impacted the timing and scope of demand for our SoCs in the second and third quarters of fiscal year 2017. The semiconductor industry is currently experiencing shortages of certain devices, which has impacted, and may continue to impact, our customers’ ability to build their products and negatively impact our customers’ demand for our solutions.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 Errors or defects within a camera system or in the manner in which the various components interact could prevent or delay production of our customers’ products, which could harm our business.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ind w:left="520"/>
        <w:spacing w:after="0"/>
        <w:rPr>
          <w:sz w:val="20"/>
          <w:szCs w:val="20"/>
          <w:color w:val="auto"/>
        </w:rPr>
      </w:pPr>
      <w:r>
        <w:rPr>
          <w:rFonts w:ascii="Arial" w:cs="Arial" w:eastAsia="Arial" w:hAnsi="Arial"/>
          <w:sz w:val="17"/>
          <w:szCs w:val="17"/>
          <w:b w:val="1"/>
          <w:bCs w:val="1"/>
          <w:i w:val="1"/>
          <w:iCs w:val="1"/>
          <w:color w:val="auto"/>
        </w:rPr>
        <w:t>If our foundry vendors do not achieve satisfactory yields or quality, our reputation and customer relationships could be harmed.</w:t>
      </w:r>
    </w:p>
    <w:p>
      <w:pPr>
        <w:spacing w:after="0" w:line="129"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73"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to keep more than minimal inventory on hand. As a result, we may not be able to meet customer needs during such a transition, which could delay shipments, cause production delays, result in a decline in our sales and damage our customer relationships.</w:t>
      </w:r>
    </w:p>
    <w:p>
      <w:pPr>
        <w:spacing w:after="0" w:line="195"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6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9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187"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170"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right="160" w:firstLine="510"/>
        <w:spacing w:after="0" w:line="277" w:lineRule="auto"/>
        <w:rPr>
          <w:sz w:val="20"/>
          <w:szCs w:val="20"/>
          <w:color w:val="auto"/>
        </w:rPr>
      </w:pPr>
      <w:r>
        <w:rPr>
          <w:rFonts w:ascii="Arial" w:cs="Arial" w:eastAsia="Arial" w:hAnsi="Arial"/>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For example, in December 2006 a major earthquake occurred in Taiwan and in March 2011 a major earthquake and tsunami occurred in Japan. Although we are not aware of any significant damage suffered by our third-party contractors as a result of those natural disasters, the occurrence of additional earthquakes or other natural disasters could result in the disruption of our foundry vendor or assembly and test capacity.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sell our products to several China customers has been restricted.</w:t>
      </w:r>
    </w:p>
    <w:p>
      <w:pPr>
        <w:spacing w:after="0" w:line="11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In October 2019, our security camera customers Hangzhou Hikvision Digital Technology Co., Ltd, or Hikvision, and Zhejiang Dahua Technology Co., Ltd., or Dahua, were added to the Entity List of the Bureau of Industry and Security, or BIS, of the U.S. Department of Commerce, or Commerce, which imposes limitations on the supply of certain U.S. items to the listed entities. In December 2020, certain affiliated entities of our customer Shenzhen Dajiang Baiwang Technology Co., Ltd., or Dajiang Baiwang, were added to the Entity List. While the addition of Hikvision, Dahua and affiliates of Dajiang Baiwang to the Entity List negatively impacts our ability to ship items subject to BIS regulations to these listed entities, we have determined that we are able to ship some SoC products to the listed entities in compliance with applicable law. Notwithstanding our ability to continue to supply some SoC products to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Hikvision, Dahua and Dajiang Baiwang, or our other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82"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b w:val="1"/>
          <w:bCs w:val="1"/>
          <w:i w:val="1"/>
          <w:iCs w:val="1"/>
          <w:color w:val="auto"/>
        </w:rPr>
        <w:t>Global economic and political conditions, including possible trade tariffs and trade restrictions, may have an impact on our business and financial condition in ways that we currently cannot predict.</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Beyond the BIS actions relating to Hikvision, Dahua and affiliates of Dajiang Baiwang, general trade tensions between the United States and China have been escalating, which has, in our view, created and will continue to create an uncertain business environment. For example, BIS has added over 150 entities related to Huawei Technologies Co., Ltd. to the Entity List and created new controls on foreign-produced items when one of these entities is a party to the transaction.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For example, H.R. 5515 - John S. McCain National Defense Authorization Act for Fiscal Year 2019 negatively impacts Hikvision and Dahua’s ability to sell products into the U.S. security camera market and could decrease their demand for our solutions. Similarly, changes in export classification requirements, such as those proposed by U.S. Congress, could impact our ability to supply our solutions to certain companies or in certain countries.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The materialization of these risks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right="340" w:firstLine="584"/>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impair our ability to compete in international markets.</w:t>
      </w:r>
    </w:p>
    <w:p>
      <w:pPr>
        <w:spacing w:after="0" w:line="62" w:lineRule="exact"/>
        <w:rPr>
          <w:sz w:val="20"/>
          <w:szCs w:val="20"/>
          <w:color w:val="auto"/>
        </w:rPr>
      </w:pPr>
    </w:p>
    <w:p>
      <w:pPr>
        <w:ind w:right="140" w:firstLine="584"/>
        <w:spacing w:after="0" w:line="255" w:lineRule="auto"/>
        <w:rPr>
          <w:sz w:val="20"/>
          <w:szCs w:val="20"/>
          <w:color w:val="auto"/>
        </w:rPr>
      </w:pPr>
      <w:r>
        <w:rPr>
          <w:rFonts w:ascii="Arial" w:cs="Arial" w:eastAsia="Arial" w:hAnsi="Arial"/>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92"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Compliance with export and import regulations have not had a significant impact on our business to date, but 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warranty and product liability claims and to product recalls.</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governmental laws, regulations and other legal obligations related to privacy and data protection.</w:t>
      </w:r>
    </w:p>
    <w:p>
      <w:pPr>
        <w:spacing w:after="0" w:line="225"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The legislative and regulatory framework for privacy and data protection issues worldwide is rapidly evolving and is likely to remain uncertain for the foreseeable future. We collect personally identifiable information, or PII, and other data as part of our business processes and activities. This data is subject to a variety of U.S. and international laws and regulations, including oversight by various regulatory or other governmental bodies. Many foreign countries and governmental bodies, including the European Union and other relevant jurisdictions where we conduct business, have laws and regulations concerning the collection and use of PII and other data obtained from their residents or by businesses operating within their jurisdictions that are currently more restrictive than those in the U.S. For example, effective May 2018, the European Union adopted the General Data Protection Regulation that imposed more stringent data protection requirements and provided for greater penalties for noncompliance. Similarly, California has adopted the California Consumer Privacy Act of 2018, or CCPA, which took effect in 2020. The CCPA gives California residents the right to access, delete and opt out of certain sharing of their information, and imposes penalties for failure to comply. Any inability, or perceived inability, to adequately address privacy and data protection concerns, even if unfounded, or to comply with applicable laws, regulations, policies, industry standards, contractual obligations or other legal obligations, could result in additional cost and liability to us, damage our reputation and adversely affect our business.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ind w:right="280" w:firstLine="510"/>
        <w:spacing w:after="0" w:line="27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70"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78"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6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6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8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185"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6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Stock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ind w:left="520"/>
        <w:spacing w:after="0"/>
        <w:rPr>
          <w:sz w:val="20"/>
          <w:szCs w:val="20"/>
          <w:color w:val="auto"/>
        </w:rPr>
      </w:pPr>
      <w:r>
        <w:rPr>
          <w:rFonts w:ascii="Arial" w:cs="Arial" w:eastAsia="Arial" w:hAnsi="Arial"/>
          <w:sz w:val="16"/>
          <w:szCs w:val="16"/>
          <w:b w:val="1"/>
          <w:bCs w:val="1"/>
          <w:i w:val="1"/>
          <w:iCs w:val="1"/>
          <w:color w:val="auto"/>
        </w:rPr>
        <w:t>Changes in effective tax rates or adverse outcomes resulting from examination of our income tax returns could adversely affect our results.</w:t>
      </w:r>
    </w:p>
    <w:p>
      <w:pPr>
        <w:spacing w:after="0" w:line="140"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tax effects of share-based compensation,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w:t>
      </w:r>
    </w:p>
    <w:p>
      <w:pPr>
        <w:spacing w:after="0" w:line="16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Further, compliance with the Tax Act and the accounting for such provisions require accumulation of information not previously required or regularly produced. While we have completed our accounting for the effects of the Tax Act, additional regulatory guidance may still be issued by the applicable taxing authorities which could materially affect our tax obligations and effective tax rate.</w:t>
      </w:r>
    </w:p>
    <w:p>
      <w:pPr>
        <w:spacing w:after="0" w:line="84" w:lineRule="exact"/>
        <w:rPr>
          <w:sz w:val="20"/>
          <w:szCs w:val="20"/>
          <w:color w:val="auto"/>
        </w:rPr>
      </w:pPr>
    </w:p>
    <w:p>
      <w:pPr>
        <w:ind w:right="240" w:firstLine="510"/>
        <w:spacing w:after="0" w:line="311" w:lineRule="auto"/>
        <w:rPr>
          <w:sz w:val="20"/>
          <w:szCs w:val="20"/>
          <w:color w:val="auto"/>
        </w:rPr>
      </w:pPr>
      <w:r>
        <w:rPr>
          <w:rFonts w:ascii="Arial" w:cs="Arial" w:eastAsia="Arial" w:hAnsi="Arial"/>
          <w:sz w:val="16"/>
          <w:szCs w:val="16"/>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49"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38"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Our operations are subject to certain taxes, such as income and transaction taxes, in the Cayman Islands, the United States, China, Hong Kong, Japan, Italy,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on October 5, 2015 the Organization for Economic Co-operation and Development, or OECD, which represents a coalition of member countries, released its final reports from the BEPS Action Plans. The final reports include recommendations covering a number of issues, including country-by-country reporting, permanent establishment rules, transfer pricing rules and tax treaties. These changes, which have been or are in the process of being adopted by numerous countries, could increase uncertainties and may adversely affect our provision for income taxes. In December 2018, the Cayman Islands passed the International Tax Co-Operation (Economic Substance) Law, 2018. Effective as of January 1, 2019, the new legislation requires Cayman Islands companies carrying one or more relevant activity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90"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1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ind w:left="520"/>
        <w:spacing w:after="0"/>
        <w:rPr>
          <w:sz w:val="20"/>
          <w:szCs w:val="20"/>
          <w:color w:val="auto"/>
        </w:rPr>
      </w:pPr>
      <w:r>
        <w:rPr>
          <w:rFonts w:ascii="Arial" w:cs="Arial" w:eastAsia="Arial" w:hAnsi="Arial"/>
          <w:sz w:val="16"/>
          <w:szCs w:val="16"/>
          <w:b w:val="1"/>
          <w:bCs w:val="1"/>
          <w:i w:val="1"/>
          <w:iCs w:val="1"/>
          <w:color w:val="auto"/>
        </w:rPr>
        <w:t>We may be classified as a passive foreign investment company which could result in adverse U.S. federal income tax consequences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ordinary shares.</w:t>
      </w:r>
    </w:p>
    <w:p>
      <w:pPr>
        <w:spacing w:after="0" w:line="103"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Based on the current and anticipated valuation of our assets and the composition of our income and assets, we do not expect to be considered a passive foreign investment company, or PFIC, for U.S. federal income tax purposes for our 2021 fiscal year or the foreseeable future. However, a separate determination must be made at the close of each taxable year as to whether we are a PFIC for that taxable year, and we cannot assure you that we will not be a PFIC for our 2022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186"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62"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The Tax Act may have changed the consequences to U.S. shareholders that own, or are considered to own, as a result of the attribution rules, ten percent or more of the voting power or value of the stock of a non-U.S. corporation (a 10% U.S. shareholder) under the U.S. Federal income tax law applicable to owners of U.S. controlled foreign corporations, or CFCs.</w:t>
      </w:r>
    </w:p>
    <w:p>
      <w:pPr>
        <w:spacing w:after="0" w:line="184"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Prior to the Tax Act, we did not believe that we, or any of our non-U.S. subsidiaries, were considered a CFC, which is a determination made daily based on whether the 10% U.S. shareholders together own, or are considered to own under the attribution rules, more than fifty percent of the voting power or value of a non-U.S. corporation. The Tax Act repealed Internal Revenue Code Section 958(b)(4), which, unless clarified in future regulations or other guidance, may result in classification of certain of the Company’s foreign subsidiaries as CFCs with respect to any single 10% U.S. shareholder. This may be the result without regard to whether 10% U.S. shareholders together own, directly or indirectly, more than fifty percent of the voting power or value of the Company as was the case under prior rules. The repeal is effective as of the last taxable year of CFCs beginning before January 1, 2018 and for the taxable year of 10% U.S. shareholders in which the CFCs' taxable year ends.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2"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 w:name="page58"/>
    <w:bookmarkEnd w:id="57"/>
    <w:p>
      <w:pPr>
        <w:ind w:right="80" w:firstLine="510"/>
        <w:spacing w:after="0" w:line="273" w:lineRule="auto"/>
        <w:rPr>
          <w:sz w:val="20"/>
          <w:szCs w:val="20"/>
          <w:color w:val="auto"/>
        </w:rPr>
      </w:pPr>
      <w:r>
        <w:rPr>
          <w:rFonts w:ascii="Arial" w:cs="Arial" w:eastAsia="Arial" w:hAnsi="Arial"/>
          <w:sz w:val="17"/>
          <w:szCs w:val="17"/>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7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62"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The semiconductor industry is characterized by vigorous protection and pursuit of intellectual property rights and positions, which has resulted in protracted and expensive litigation for many companies. Certain of our customers have received, and we expect, particularly to the extent we gain greater market visibility, that in the future we may receive, communications from others alleging our infringement of their patents, trade secrets or other intellectual property rights. In addition, certain of our end customers have been the subject of lawsuits alleging infringement of intellectual property rights by products incorporating our solutions, including the assertion that the alleged infringement may be attributable, at least in part, to our technology. Lawsuits resulting from such allegations could subject us to significant liability for damages and invalidate our proprietary rights, though this has not occurred to date. Any potential intellectual property litigation also could force us to do one or more of the following:</w:t>
      </w:r>
    </w:p>
    <w:p>
      <w:pPr>
        <w:spacing w:after="0" w:line="69" w:lineRule="exact"/>
        <w:rPr>
          <w:sz w:val="20"/>
          <w:szCs w:val="20"/>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stop selling products or using technology that contain the allegedly infringing intellectual property;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may be found to be infringing;</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w:t>
      </w:r>
    </w:p>
    <w:p>
      <w:pPr>
        <w:spacing w:after="0" w:line="117" w:lineRule="exact"/>
        <w:rPr>
          <w:rFonts w:ascii="Arial" w:cs="Arial" w:eastAsia="Arial" w:hAnsi="Arial"/>
          <w:sz w:val="18"/>
          <w:szCs w:val="18"/>
          <w:color w:val="auto"/>
        </w:rPr>
      </w:pPr>
    </w:p>
    <w:p>
      <w:pPr>
        <w:ind w:left="1520" w:right="20" w:hanging="5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 or</w:t>
      </w:r>
    </w:p>
    <w:p>
      <w:pPr>
        <w:spacing w:after="0" w:line="62" w:lineRule="exact"/>
        <w:rPr>
          <w:rFonts w:ascii="Arial" w:cs="Arial" w:eastAsia="Arial" w:hAnsi="Arial"/>
          <w:sz w:val="18"/>
          <w:szCs w:val="18"/>
          <w:color w:val="auto"/>
        </w:rPr>
      </w:pPr>
    </w:p>
    <w:p>
      <w:pPr>
        <w:ind w:left="1520" w:right="140" w:hanging="5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against others.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significant impairment of our intellectual property rights from any litigation we face could harm our business and our ability to compete.</w:t>
      </w:r>
    </w:p>
    <w:p>
      <w:pPr>
        <w:spacing w:after="0" w:line="23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62" w:lineRule="exact"/>
        <w:rPr>
          <w:sz w:val="20"/>
          <w:szCs w:val="20"/>
          <w:color w:val="auto"/>
        </w:rPr>
      </w:pPr>
    </w:p>
    <w:p>
      <w:pPr>
        <w:ind w:right="80" w:firstLine="450"/>
        <w:spacing w:after="0" w:line="287" w:lineRule="auto"/>
        <w:rPr>
          <w:sz w:val="20"/>
          <w:szCs w:val="20"/>
          <w:color w:val="auto"/>
        </w:rPr>
      </w:pPr>
      <w:r>
        <w:rPr>
          <w:rFonts w:ascii="Arial" w:cs="Arial" w:eastAsia="Arial" w:hAnsi="Arial"/>
          <w:sz w:val="16"/>
          <w:szCs w:val="16"/>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72"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8" w:name="page59"/>
    <w:bookmarkEnd w:id="58"/>
    <w:p>
      <w:pPr>
        <w:ind w:firstLine="405"/>
        <w:spacing w:after="0" w:line="296" w:lineRule="auto"/>
        <w:rPr>
          <w:sz w:val="20"/>
          <w:szCs w:val="20"/>
          <w:color w:val="auto"/>
        </w:rPr>
      </w:pPr>
      <w:r>
        <w:rPr>
          <w:rFonts w:ascii="Arial" w:cs="Arial" w:eastAsia="Arial" w:hAnsi="Arial"/>
          <w:sz w:val="16"/>
          <w:szCs w:val="16"/>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ordinary shares may be volatile, which could cause the value of your investment to decline.</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Since our initial public offering in October 2012, the market price of our ordinary shares has been highly volatile. The trading price of our ordinary shares is likely to remain volatile and could be subject to wide fluctuations in price in response to various factors, some of which are beyond our control. These factors include:</w:t>
      </w:r>
    </w:p>
    <w:p>
      <w:pPr>
        <w:spacing w:after="0" w:line="76" w:lineRule="exact"/>
        <w:rPr>
          <w:sz w:val="20"/>
          <w:szCs w:val="20"/>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including our ability to meet our future revenue and operating profit or loss projections;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operating results or those of other semiconductor or comparable companies;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fluctuations in the economic performance or market valuations of companies perceived by investors to be comparable to us;</w:t>
      </w:r>
    </w:p>
    <w:p>
      <w:pPr>
        <w:spacing w:after="0" w:line="128" w:lineRule="exact"/>
        <w:rPr>
          <w:rFonts w:ascii="Arial" w:cs="Arial" w:eastAsia="Arial" w:hAnsi="Arial"/>
          <w:sz w:val="17"/>
          <w:szCs w:val="17"/>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developments in the semiconductor industry as a whole;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including conditions caused by pandemics, and slow or negative growth of related markets;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trade and other geopolitical activities affecting markets we address;</w:t>
      </w:r>
    </w:p>
    <w:p>
      <w:pPr>
        <w:spacing w:after="0" w:line="117" w:lineRule="exact"/>
        <w:rPr>
          <w:rFonts w:ascii="Arial" w:cs="Arial" w:eastAsia="Arial" w:hAnsi="Arial"/>
          <w:sz w:val="18"/>
          <w:szCs w:val="18"/>
          <w:color w:val="auto"/>
        </w:rPr>
      </w:pPr>
    </w:p>
    <w:p>
      <w:pPr>
        <w:ind w:left="1520" w:right="280" w:hanging="500"/>
        <w:spacing w:after="0" w:line="277"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new products, significant contracts or orders, commercial relationships or capital commitments;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and market new and enhanced solutions on a timely basis;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demand for our customers’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 to our operations;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or social conditions in the markets where we sell our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225"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59" w:name="page60"/>
    <w:bookmarkEnd w:id="59"/>
    <w:p>
      <w:pPr>
        <w:ind w:right="600" w:firstLine="510"/>
        <w:spacing w:after="0" w:line="277" w:lineRule="auto"/>
        <w:rPr>
          <w:sz w:val="20"/>
          <w:szCs w:val="20"/>
          <w:color w:val="auto"/>
        </w:rPr>
      </w:pPr>
      <w:r>
        <w:rPr>
          <w:rFonts w:ascii="Arial" w:cs="Arial" w:eastAsia="Arial" w:hAnsi="Arial"/>
          <w:sz w:val="18"/>
          <w:szCs w:val="18"/>
          <w:b w:val="1"/>
          <w:bCs w:val="1"/>
          <w:i w:val="1"/>
          <w:iCs w:val="1"/>
          <w:color w:val="auto"/>
        </w:rPr>
        <w:t>Our actual operating results may not meet or exceed our guidance and investor expectations, which would likely cause our stock price to decline.</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66"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price of our ordinary shares could decrease as a result of shares being sold in the market.</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Sales of a substantial number of our ordinary shares in the public market, or the perception that these sales might occur, could cause the market price of our ordinary shares to decline. We filed registration statements on Form S-8 under the Securities Act to register shares for issuance under our 2004 Stock Plan, 2012 Equity Incentive Plan and the Amended and Restated 2012 Employee Stock Purchase Plan. Our 2012 Equity Incentive Plan and the Amended and Restated 2012 Employee Stock Purchase Plan provide for automatic increases in the shares reserved for issuance under these plans which could result in additional dilution to our shareholders. These shares can be freely sold in the public market upon issuance and vesting, subject to restrictions provided under the terms of the applicable plan and/or the option agreements entered into with option holders.</w:t>
      </w:r>
    </w:p>
    <w:p>
      <w:pPr>
        <w:spacing w:after="0" w:line="164"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24"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18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62"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62" w:lineRule="exact"/>
        <w:rPr>
          <w:sz w:val="20"/>
          <w:szCs w:val="20"/>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w:t>
      </w:r>
    </w:p>
    <w:p>
      <w:pPr>
        <w:spacing w:after="0" w:line="117" w:lineRule="exact"/>
        <w:rPr>
          <w:rFonts w:ascii="Arial" w:cs="Arial" w:eastAsia="Arial" w:hAnsi="Arial"/>
          <w:sz w:val="18"/>
          <w:szCs w:val="18"/>
          <w:color w:val="auto"/>
        </w:rPr>
      </w:pPr>
    </w:p>
    <w:p>
      <w:pPr>
        <w:ind w:left="1520" w:right="220" w:hanging="500"/>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right of our board of directors to elect a director to fill a vacancy created by the expansion of our board of directors or due to the resignation or departure of an existing board member;</w:t>
      </w:r>
    </w:p>
    <w:p>
      <w:pPr>
        <w:spacing w:after="0" w:line="62" w:lineRule="exact"/>
        <w:rPr>
          <w:rFonts w:ascii="Arial" w:cs="Arial" w:eastAsia="Arial" w:hAnsi="Arial"/>
          <w:sz w:val="18"/>
          <w:szCs w:val="18"/>
          <w:color w:val="auto"/>
        </w:rPr>
      </w:pPr>
    </w:p>
    <w:p>
      <w:pPr>
        <w:ind w:left="1520" w:right="80" w:hanging="500"/>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prohibition of cumulative voting in the election of directors which would otherwise allow less than a majority of shareholders to elect director candidates;</w:t>
      </w:r>
    </w:p>
    <w:p>
      <w:pPr>
        <w:spacing w:after="0" w:line="62" w:lineRule="exact"/>
        <w:rPr>
          <w:rFonts w:ascii="Arial" w:cs="Arial" w:eastAsia="Arial" w:hAnsi="Arial"/>
          <w:sz w:val="18"/>
          <w:szCs w:val="18"/>
          <w:color w:val="auto"/>
        </w:rPr>
      </w:pPr>
    </w:p>
    <w:p>
      <w:pPr>
        <w:ind w:left="1520" w:right="100" w:hanging="500"/>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for the advance notice of nominations for election to our board of directors or for proposing matters that can be acted upon at a shareholders’ meeting;</w:t>
      </w:r>
    </w:p>
    <w:p>
      <w:pPr>
        <w:spacing w:after="0" w:line="62" w:lineRule="exact"/>
        <w:rPr>
          <w:rFonts w:ascii="Arial" w:cs="Arial" w:eastAsia="Arial" w:hAnsi="Arial"/>
          <w:sz w:val="18"/>
          <w:szCs w:val="18"/>
          <w:color w:val="auto"/>
        </w:rPr>
      </w:pPr>
    </w:p>
    <w:p>
      <w:pPr>
        <w:jc w:val="both"/>
        <w:ind w:left="1520" w:right="20" w:hanging="500"/>
        <w:spacing w:after="0" w:line="342" w:lineRule="auto"/>
        <w:tabs>
          <w:tab w:leader="none" w:pos="1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15" w:lineRule="exact"/>
        <w:rPr>
          <w:rFonts w:ascii="Arial" w:cs="Arial" w:eastAsia="Arial" w:hAnsi="Arial"/>
          <w:sz w:val="16"/>
          <w:szCs w:val="16"/>
          <w:color w:val="auto"/>
        </w:rPr>
      </w:pPr>
    </w:p>
    <w:p>
      <w:pPr>
        <w:ind w:left="1520" w:right="100" w:hanging="500"/>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elimination of the rights of shareholders to call a special meeting of shareholders and to take action by written consent in lieu of a meeting; 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0" w:name="page61"/>
    <w:bookmarkEnd w:id="60"/>
    <w:p>
      <w:pPr>
        <w:ind w:left="1520" w:right="300" w:hanging="500"/>
        <w:spacing w:after="0" w:line="342" w:lineRule="auto"/>
        <w:tabs>
          <w:tab w:leader="none" w:pos="1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Holders of our ordinary shares may face difficulties in protecting their interests because we are incorporated under Cayman Islands law.</w:t>
      </w:r>
    </w:p>
    <w:p>
      <w:pPr>
        <w:spacing w:after="0" w:line="140"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8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Subject to limited exceptions, under Cayman Islands law, a minority shareholder may not bring a derivative action against the board of directors.</w:t>
      </w:r>
    </w:p>
    <w:p>
      <w:pPr>
        <w:spacing w:after="0" w:line="24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6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operations are interrupted, our business and reputation could suffer.</w:t>
      </w:r>
    </w:p>
    <w:p>
      <w:pPr>
        <w:spacing w:after="0" w:line="225"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Our operations and those of our manufacturers are vulnerable to interruption caused by technical breakdowns, computer hardware and software malfunctions, software viruses, infrastructure failures, regional health issues and pandemics, earthquakes, fires, severe storms, floods and other negative impacts from climate change, power losses, telecommunications failures, terrorist attacks, wars, Internet failures and other events beyond our control. Any disruption in our services or operations could result in a reduction in revenue or a claim for substantial damages against us, regardless of whether we are responsible for that failure. The outbreak of COVID-19 has resulted in significant governmental measures being implemented to control the spread of the virus, including, among others, restrictions on travel, manufacturing and the movement of employees in many regions of the world, and the imposition of remote or work from home conditions in many of our offices, including the United States and Italy. If the remote or work from home conditions continue for an extended period of time, or similar restrictions and measures are implemented in more of the locations where we have offices,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ind w:right="160" w:firstLine="510"/>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940" w:type="dxa"/>
            <w:vAlign w:val="bottom"/>
            <w:gridSpan w:val="2"/>
          </w:tcPr>
          <w:p>
            <w:pPr>
              <w:ind w:left="44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22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58"/>
        </w:trPr>
        <w:tc>
          <w:tcPr>
            <w:tcW w:w="52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522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40" w:right="720" w:hanging="953"/>
        <w:spacing w:after="0" w:line="277"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2.1(1)</w:t>
      </w:r>
      <w:r>
        <w:rPr>
          <w:sz w:val="20"/>
          <w:szCs w:val="20"/>
          <w:color w:val="auto"/>
        </w:rPr>
        <w:tab/>
      </w:r>
      <w:hyperlink r:id="rId81">
        <w:r>
          <w:rPr>
            <w:rFonts w:ascii="Arial" w:cs="Arial" w:eastAsia="Arial" w:hAnsi="Arial"/>
            <w:sz w:val="18"/>
            <w:szCs w:val="18"/>
            <w:u w:val="single" w:color="auto"/>
            <w:color w:val="0000EE"/>
          </w:rPr>
          <w:t>Agreement and Plan of Merger, dated October 26, 2021, by and among Ambarella, Inc., Ohio Merger Sub, Inc., Oculii Corp. and</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Shareholder Representative Services LLC.</w:t>
        </w:r>
      </w:hyperlink>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430"/>
              <w:spacing w:after="0"/>
              <w:rPr>
                <w:sz w:val="20"/>
                <w:szCs w:val="20"/>
                <w:color w:val="auto"/>
              </w:rPr>
            </w:pPr>
            <w:r>
              <w:rPr>
                <w:rFonts w:ascii="Arial" w:cs="Arial" w:eastAsia="Arial" w:hAnsi="Arial"/>
                <w:sz w:val="18"/>
                <w:szCs w:val="18"/>
                <w:color w:val="auto"/>
              </w:rPr>
              <w:t>3.1(2)</w:t>
            </w:r>
          </w:p>
        </w:tc>
        <w:tc>
          <w:tcPr>
            <w:tcW w:w="9420" w:type="dxa"/>
            <w:vAlign w:val="bottom"/>
            <w:tcBorders>
              <w:bottom w:val="single" w:sz="8" w:color="0000EE"/>
            </w:tcBorders>
            <w:gridSpan w:val="3"/>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Amended and Restated Memorandum of Association and Second Amended and Restated Articles of Association of the Registrant.</w:t>
              </w:r>
            </w:hyperlink>
          </w:p>
        </w:tc>
        <w:tc>
          <w:tcPr>
            <w:tcW w:w="600" w:type="dxa"/>
            <w:vAlign w:val="bottom"/>
            <w:gridSpan w:val="3"/>
          </w:tcPr>
          <w:p>
            <w:pPr>
              <w:spacing w:after="0"/>
              <w:rPr>
                <w:sz w:val="17"/>
                <w:szCs w:val="17"/>
                <w:color w:val="auto"/>
              </w:rPr>
            </w:pPr>
          </w:p>
        </w:tc>
      </w:tr>
      <w:tr>
        <w:trPr>
          <w:trHeight w:val="318"/>
        </w:trPr>
        <w:tc>
          <w:tcPr>
            <w:tcW w:w="1140" w:type="dxa"/>
            <w:vAlign w:val="bottom"/>
          </w:tcPr>
          <w:p>
            <w:pPr>
              <w:jc w:val="right"/>
              <w:ind w:right="630"/>
              <w:spacing w:after="0"/>
              <w:rPr>
                <w:sz w:val="20"/>
                <w:szCs w:val="20"/>
                <w:color w:val="auto"/>
              </w:rPr>
            </w:pPr>
            <w:r>
              <w:rPr>
                <w:rFonts w:ascii="Arial" w:cs="Arial" w:eastAsia="Arial" w:hAnsi="Arial"/>
                <w:sz w:val="18"/>
                <w:szCs w:val="18"/>
                <w:color w:val="auto"/>
              </w:rPr>
              <w:t>31.1</w:t>
            </w:r>
          </w:p>
        </w:tc>
        <w:tc>
          <w:tcPr>
            <w:tcW w:w="10020" w:type="dxa"/>
            <w:vAlign w:val="bottom"/>
            <w:gridSpan w:val="6"/>
          </w:tcPr>
          <w:p>
            <w:pPr>
              <w:spacing w:after="0"/>
              <w:rPr>
                <w:rFonts w:ascii="Arial" w:cs="Arial" w:eastAsia="Arial" w:hAnsi="Arial"/>
                <w:sz w:val="18"/>
                <w:szCs w:val="18"/>
                <w:color w:val="0000EE"/>
                <w:w w:val="95"/>
              </w:rPr>
            </w:pPr>
            <w:hyperlink w:anchor="page65">
              <w:r>
                <w:rPr>
                  <w:rFonts w:ascii="Arial" w:cs="Arial" w:eastAsia="Arial" w:hAnsi="Arial"/>
                  <w:sz w:val="18"/>
                  <w:szCs w:val="18"/>
                  <w:color w:val="0000EE"/>
                  <w:w w:val="95"/>
                </w:rPr>
                <w:t>Certification of Principal Executive Officer Required Under Rule 13a-14(a) and 15d-14(a) of the Securities Exchange Act of 1934, as</w:t>
              </w:r>
            </w:hyperlink>
          </w:p>
        </w:tc>
      </w:tr>
      <w:tr>
        <w:trPr>
          <w:trHeight w:val="196"/>
        </w:trPr>
        <w:tc>
          <w:tcPr>
            <w:tcW w:w="114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5">
              <w:r>
                <w:rPr>
                  <w:rFonts w:ascii="Arial" w:cs="Arial" w:eastAsia="Arial" w:hAnsi="Arial"/>
                  <w:sz w:val="18"/>
                  <w:szCs w:val="18"/>
                  <w:color w:val="0000EE"/>
                  <w:w w:val="84"/>
                </w:rPr>
                <w:t>amended.</w:t>
              </w:r>
            </w:hyperlink>
          </w:p>
        </w:tc>
        <w:tc>
          <w:tcPr>
            <w:tcW w:w="8920" w:type="dxa"/>
            <w:vAlign w:val="bottom"/>
            <w:tcBorders>
              <w:top w:val="single" w:sz="8" w:color="0000EE"/>
            </w:tcBorders>
            <w:gridSpan w:val="4"/>
          </w:tcPr>
          <w:p>
            <w:pPr>
              <w:spacing w:after="0"/>
              <w:rPr>
                <w:sz w:val="17"/>
                <w:szCs w:val="17"/>
                <w:color w:val="auto"/>
              </w:rPr>
            </w:pPr>
          </w:p>
        </w:tc>
        <w:tc>
          <w:tcPr>
            <w:tcW w:w="400" w:type="dxa"/>
            <w:vAlign w:val="bottom"/>
          </w:tcPr>
          <w:p>
            <w:pPr>
              <w:spacing w:after="0"/>
              <w:rPr>
                <w:sz w:val="17"/>
                <w:szCs w:val="17"/>
                <w:color w:val="auto"/>
              </w:rPr>
            </w:pPr>
          </w:p>
        </w:tc>
      </w:tr>
      <w:tr>
        <w:trPr>
          <w:trHeight w:val="318"/>
        </w:trPr>
        <w:tc>
          <w:tcPr>
            <w:tcW w:w="1140" w:type="dxa"/>
            <w:vAlign w:val="bottom"/>
          </w:tcPr>
          <w:p>
            <w:pPr>
              <w:jc w:val="right"/>
              <w:ind w:right="630"/>
              <w:spacing w:after="0"/>
              <w:rPr>
                <w:sz w:val="20"/>
                <w:szCs w:val="20"/>
                <w:color w:val="auto"/>
              </w:rPr>
            </w:pPr>
            <w:r>
              <w:rPr>
                <w:rFonts w:ascii="Arial" w:cs="Arial" w:eastAsia="Arial" w:hAnsi="Arial"/>
                <w:sz w:val="18"/>
                <w:szCs w:val="18"/>
                <w:color w:val="auto"/>
              </w:rPr>
              <w:t>31.2</w:t>
            </w:r>
          </w:p>
        </w:tc>
        <w:tc>
          <w:tcPr>
            <w:tcW w:w="95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Certification of Principal Financial Officer Required Under Rule 13a-14(a) and 15d-14(a) of the Securities Exchange Act of 1934, as</w:t>
              </w:r>
            </w:hyperlink>
          </w:p>
        </w:tc>
        <w:tc>
          <w:tcPr>
            <w:tcW w:w="4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66">
              <w:r>
                <w:rPr>
                  <w:rFonts w:ascii="Arial" w:cs="Arial" w:eastAsia="Arial" w:hAnsi="Arial"/>
                  <w:sz w:val="18"/>
                  <w:szCs w:val="18"/>
                  <w:color w:val="0000EE"/>
                  <w:w w:val="84"/>
                </w:rPr>
                <w:t>amended.</w:t>
              </w:r>
            </w:hyperlink>
          </w:p>
        </w:tc>
        <w:tc>
          <w:tcPr>
            <w:tcW w:w="9320" w:type="dxa"/>
            <w:vAlign w:val="bottom"/>
            <w:gridSpan w:val="5"/>
          </w:tcPr>
          <w:p>
            <w:pPr>
              <w:spacing w:after="0"/>
              <w:rPr>
                <w:sz w:val="17"/>
                <w:szCs w:val="17"/>
                <w:color w:val="auto"/>
              </w:rPr>
            </w:pPr>
          </w:p>
        </w:tc>
      </w:tr>
      <w:tr>
        <w:trPr>
          <w:trHeight w:val="317"/>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32.1±</w:t>
            </w:r>
          </w:p>
        </w:tc>
        <w:tc>
          <w:tcPr>
            <w:tcW w:w="100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Certification of Principal Executive Officer and Principal Financial Officer Required Under Rule 13a-14(b) of the Securities Exchange Act</w:t>
              </w:r>
            </w:hyperlink>
          </w:p>
        </w:tc>
      </w:tr>
      <w:tr>
        <w:trPr>
          <w:trHeight w:val="196"/>
        </w:trPr>
        <w:tc>
          <w:tcPr>
            <w:tcW w:w="1140" w:type="dxa"/>
            <w:vAlign w:val="bottom"/>
          </w:tcPr>
          <w:p>
            <w:pPr>
              <w:spacing w:after="0"/>
              <w:rPr>
                <w:sz w:val="17"/>
                <w:szCs w:val="17"/>
                <w:color w:val="auto"/>
              </w:rPr>
            </w:pPr>
          </w:p>
        </w:tc>
        <w:tc>
          <w:tcPr>
            <w:tcW w:w="31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of 1934, as amended, and 18 U.S.C. §1350.</w:t>
              </w:r>
            </w:hyperlink>
          </w:p>
        </w:tc>
        <w:tc>
          <w:tcPr>
            <w:tcW w:w="6880" w:type="dxa"/>
            <w:vAlign w:val="bottom"/>
            <w:gridSpan w:val="4"/>
          </w:tcPr>
          <w:p>
            <w:pPr>
              <w:spacing w:after="0"/>
              <w:rPr>
                <w:sz w:val="17"/>
                <w:szCs w:val="17"/>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6"/>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1140" w:type="dxa"/>
            <w:vAlign w:val="bottom"/>
          </w:tcPr>
          <w:p>
            <w:pPr>
              <w:spacing w:after="0"/>
              <w:rPr>
                <w:sz w:val="20"/>
                <w:szCs w:val="20"/>
                <w:color w:val="auto"/>
              </w:rPr>
            </w:pPr>
          </w:p>
        </w:tc>
        <w:tc>
          <w:tcPr>
            <w:tcW w:w="1002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6"/>
          </w:tcPr>
          <w:p>
            <w:pPr>
              <w:spacing w:after="0"/>
              <w:rPr>
                <w:sz w:val="20"/>
                <w:szCs w:val="20"/>
                <w:color w:val="auto"/>
              </w:rPr>
            </w:pPr>
            <w:r>
              <w:rPr>
                <w:rFonts w:ascii="Arial" w:cs="Arial" w:eastAsia="Arial" w:hAnsi="Arial"/>
                <w:sz w:val="18"/>
                <w:szCs w:val="18"/>
                <w:color w:val="auto"/>
              </w:rPr>
              <w:t>Inline XBRL Taxonomy Schema Linkbase Document</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6"/>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6"/>
          </w:tcPr>
          <w:p>
            <w:pPr>
              <w:spacing w:after="0"/>
              <w:rPr>
                <w:sz w:val="20"/>
                <w:szCs w:val="20"/>
                <w:color w:val="auto"/>
              </w:rPr>
            </w:pPr>
            <w:r>
              <w:rPr>
                <w:rFonts w:ascii="Arial" w:cs="Arial" w:eastAsia="Arial" w:hAnsi="Arial"/>
                <w:sz w:val="18"/>
                <w:szCs w:val="18"/>
                <w:color w:val="auto"/>
              </w:rPr>
              <w:t>Inline XBRL Taxonomy Definition Linkbase Document</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6"/>
          </w:tcPr>
          <w:p>
            <w:pPr>
              <w:spacing w:after="0"/>
              <w:rPr>
                <w:sz w:val="20"/>
                <w:szCs w:val="20"/>
                <w:color w:val="auto"/>
              </w:rPr>
            </w:pPr>
            <w:r>
              <w:rPr>
                <w:rFonts w:ascii="Arial" w:cs="Arial" w:eastAsia="Arial" w:hAnsi="Arial"/>
                <w:sz w:val="18"/>
                <w:szCs w:val="18"/>
                <w:color w:val="auto"/>
              </w:rPr>
              <w:t>Inline XBRL Taxonomy Labels Linkbase Document</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6"/>
          </w:tcPr>
          <w:p>
            <w:pPr>
              <w:spacing w:after="0"/>
              <w:rPr>
                <w:sz w:val="20"/>
                <w:szCs w:val="20"/>
                <w:color w:val="auto"/>
              </w:rPr>
            </w:pPr>
            <w:r>
              <w:rPr>
                <w:rFonts w:ascii="Arial" w:cs="Arial" w:eastAsia="Arial" w:hAnsi="Arial"/>
                <w:sz w:val="18"/>
                <w:szCs w:val="18"/>
                <w:color w:val="auto"/>
              </w:rPr>
              <w:t>Inline XBRL Taxonomy Presentation Linkbase Document</w:t>
            </w:r>
          </w:p>
        </w:tc>
      </w:tr>
    </w:tbl>
    <w:p>
      <w:pPr>
        <w:spacing w:after="0" w:line="107" w:lineRule="exact"/>
        <w:rPr>
          <w:sz w:val="20"/>
          <w:szCs w:val="20"/>
          <w:color w:val="auto"/>
        </w:rPr>
      </w:pPr>
    </w:p>
    <w:p>
      <w:pPr>
        <w:ind w:left="1140" w:right="80" w:hanging="1132"/>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October 31, 2021,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8312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04" w:lineRule="exact"/>
        <w:rPr>
          <w:sz w:val="20"/>
          <w:szCs w:val="20"/>
          <w:color w:val="auto"/>
        </w:rPr>
      </w:pPr>
    </w:p>
    <w:p>
      <w:pPr>
        <w:ind w:left="500" w:right="340" w:hanging="492"/>
        <w:spacing w:after="0" w:line="258"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Securities and Exchange Commission on October 26, 2021.</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Incorporated by reference to the Registrant’s registration statement on Form S-1 (No. 333-174838) Amendment No. 3 as filed with the Securities</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and Exchange Commission on September 12, 2012.</w:t>
      </w:r>
    </w:p>
    <w:p>
      <w:pPr>
        <w:spacing w:after="0" w:line="9" w:lineRule="exact"/>
        <w:rPr>
          <w:sz w:val="20"/>
          <w:szCs w:val="20"/>
          <w:color w:val="auto"/>
        </w:rPr>
      </w:pPr>
    </w:p>
    <w:p>
      <w:pPr>
        <w:ind w:left="500" w:hanging="492"/>
        <w:spacing w:after="0" w:line="25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63" w:name="page64"/>
    <w:bookmarkEnd w:id="63"/>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AMBARELLA, INC.</w:t>
      </w:r>
    </w:p>
    <w:p>
      <w:pPr>
        <w:spacing w:after="0" w:line="229" w:lineRule="exact"/>
        <w:rPr>
          <w:sz w:val="20"/>
          <w:szCs w:val="20"/>
          <w:color w:val="auto"/>
        </w:rPr>
      </w:pPr>
    </w:p>
    <w:p>
      <w:pPr>
        <w:spacing w:after="0"/>
        <w:tabs>
          <w:tab w:leader="none" w:pos="5760" w:val="left"/>
          <w:tab w:leader="none" w:pos="8000" w:val="left"/>
        </w:tabs>
        <w:rPr>
          <w:sz w:val="20"/>
          <w:szCs w:val="20"/>
          <w:color w:val="auto"/>
        </w:rPr>
      </w:pPr>
      <w:r>
        <w:rPr>
          <w:rFonts w:ascii="Arial" w:cs="Arial" w:eastAsia="Arial" w:hAnsi="Arial"/>
          <w:sz w:val="18"/>
          <w:szCs w:val="18"/>
          <w:color w:val="auto"/>
        </w:rPr>
        <w:t>Date: December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546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jc w:val="center"/>
        <w:ind w:left="6260"/>
        <w:spacing w:after="0"/>
        <w:rPr>
          <w:sz w:val="20"/>
          <w:szCs w:val="20"/>
          <w:color w:val="auto"/>
        </w:rPr>
      </w:pPr>
      <w:r>
        <w:rPr>
          <w:rFonts w:ascii="Arial" w:cs="Arial" w:eastAsia="Arial" w:hAnsi="Arial"/>
          <w:sz w:val="14"/>
          <w:szCs w:val="14"/>
          <w:b w:val="1"/>
          <w:bCs w:val="1"/>
          <w:color w:val="auto"/>
        </w:rPr>
        <w:t>Feng-Ming Wang</w:t>
      </w:r>
    </w:p>
    <w:p>
      <w:pPr>
        <w:jc w:val="center"/>
        <w:ind w:left="62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6" w:lineRule="exact"/>
        <w:rPr>
          <w:sz w:val="20"/>
          <w:szCs w:val="20"/>
          <w:color w:val="auto"/>
        </w:rPr>
      </w:pPr>
    </w:p>
    <w:p>
      <w:pPr>
        <w:spacing w:after="0"/>
        <w:tabs>
          <w:tab w:leader="none" w:pos="5760" w:val="left"/>
          <w:tab w:leader="none" w:pos="8200" w:val="left"/>
        </w:tabs>
        <w:rPr>
          <w:sz w:val="20"/>
          <w:szCs w:val="20"/>
          <w:color w:val="auto"/>
        </w:rPr>
      </w:pPr>
      <w:r>
        <w:rPr>
          <w:rFonts w:ascii="Arial" w:cs="Arial" w:eastAsia="Arial" w:hAnsi="Arial"/>
          <w:sz w:val="18"/>
          <w:szCs w:val="18"/>
          <w:color w:val="auto"/>
        </w:rPr>
        <w:t>Date: December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546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jc w:val="center"/>
        <w:ind w:left="6260"/>
        <w:spacing w:after="0"/>
        <w:rPr>
          <w:sz w:val="20"/>
          <w:szCs w:val="20"/>
          <w:color w:val="auto"/>
        </w:rPr>
      </w:pPr>
      <w:r>
        <w:rPr>
          <w:rFonts w:ascii="Arial" w:cs="Arial" w:eastAsia="Arial" w:hAnsi="Arial"/>
          <w:sz w:val="14"/>
          <w:szCs w:val="14"/>
          <w:b w:val="1"/>
          <w:bCs w:val="1"/>
          <w:color w:val="auto"/>
        </w:rPr>
        <w:t>John Young</w:t>
      </w:r>
    </w:p>
    <w:p>
      <w:pPr>
        <w:jc w:val="center"/>
        <w:ind w:left="6260"/>
        <w:spacing w:after="0"/>
        <w:rPr>
          <w:sz w:val="20"/>
          <w:szCs w:val="20"/>
          <w:color w:val="auto"/>
        </w:rPr>
      </w:pPr>
      <w:r>
        <w:rPr>
          <w:rFonts w:ascii="Arial" w:cs="Arial" w:eastAsia="Arial" w:hAnsi="Arial"/>
          <w:sz w:val="14"/>
          <w:szCs w:val="14"/>
          <w:b w:val="1"/>
          <w:bCs w:val="1"/>
          <w:color w:val="auto"/>
        </w:rPr>
        <w:t>Vice President, Finance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800"/>
          </w:cols>
          <w:pgMar w:left="320" w:top="121" w:right="77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1920"/>
        <w:spacing w:after="0" w:line="266" w:lineRule="auto"/>
        <w:rPr>
          <w:sz w:val="20"/>
          <w:szCs w:val="20"/>
          <w:color w:val="auto"/>
        </w:rPr>
      </w:pPr>
      <w:r>
        <w:rPr>
          <w:rFonts w:ascii="Arial" w:cs="Arial" w:eastAsia="Arial" w:hAnsi="Arial"/>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Ambarella,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18"/>
        <w:spacing w:after="0" w:line="263" w:lineRule="auto"/>
        <w:tabs>
          <w:tab w:leader="none" w:pos="76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8"/>
        <w:spacing w:after="0" w:line="342" w:lineRule="auto"/>
        <w:tabs>
          <w:tab w:leader="none" w:pos="755"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8"/>
        <w:spacing w:after="0" w:line="263" w:lineRule="auto"/>
        <w:tabs>
          <w:tab w:leader="none" w:pos="76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18"/>
        <w:spacing w:after="0" w:line="277" w:lineRule="auto"/>
        <w:tabs>
          <w:tab w:leader="none" w:pos="76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2021</w:t>
      </w:r>
    </w:p>
    <w:p>
      <w:pPr>
        <w:spacing w:after="0" w:line="23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Feng-Ming Wang</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340" w:right="1940"/>
        <w:spacing w:after="0" w:line="266" w:lineRule="auto"/>
        <w:rPr>
          <w:sz w:val="20"/>
          <w:szCs w:val="20"/>
          <w:color w:val="auto"/>
        </w:rPr>
      </w:pPr>
      <w:r>
        <w:rPr>
          <w:rFonts w:ascii="Arial" w:cs="Arial" w:eastAsia="Arial" w:hAnsi="Arial"/>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John Young,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Ambarella,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18"/>
        <w:spacing w:after="0" w:line="263" w:lineRule="auto"/>
        <w:tabs>
          <w:tab w:leader="none" w:pos="76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8"/>
        <w:spacing w:after="0" w:line="342" w:lineRule="auto"/>
        <w:tabs>
          <w:tab w:leader="none" w:pos="755"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8"/>
        <w:spacing w:after="0" w:line="263" w:lineRule="auto"/>
        <w:tabs>
          <w:tab w:leader="none" w:pos="76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18"/>
        <w:spacing w:after="0" w:line="277" w:lineRule="auto"/>
        <w:tabs>
          <w:tab w:leader="none" w:pos="76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2021</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5715</wp:posOffset>
            </wp:positionV>
            <wp:extent cx="28371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John Young</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 Feng-Ming Wang, certify, pursuant to 18 U.S.C. Section 1350, as adopted pursuant to Section 906 of the Sarbanes-Oxley Act of 2002, that the Quarterly Report of Ambarella, Inc. on Form 10-Q for the fiscal quarter ended October 31, 2021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2021</w:t>
      </w:r>
    </w:p>
    <w:p>
      <w:pPr>
        <w:spacing w:after="0" w:line="23" w:lineRule="exact"/>
        <w:rPr>
          <w:sz w:val="20"/>
          <w:szCs w:val="20"/>
          <w:color w:val="auto"/>
        </w:rPr>
      </w:pPr>
    </w:p>
    <w:tbl>
      <w:tblPr>
        <w:tblLayout w:type="fixed"/>
        <w:tblInd w:w="7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Feng-Ming Wang</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Feng-Ming Wang</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 John Young, certify, pursuant to 18 U.S.C. Section 1350, as adopted pursuant to Section 906 of the Sarbanes-Oxley Act of 2002, that the Quarterly Report of Ambarella, Inc. on Form 10-Q for the fiscal quarter ended October 31, 2021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2021</w:t>
      </w:r>
    </w:p>
    <w:p>
      <w:pPr>
        <w:spacing w:after="0" w:line="23" w:lineRule="exact"/>
        <w:rPr>
          <w:sz w:val="20"/>
          <w:szCs w:val="20"/>
          <w:color w:val="auto"/>
        </w:rPr>
      </w:pPr>
    </w:p>
    <w:tbl>
      <w:tblPr>
        <w:tblLayout w:type="fixed"/>
        <w:tblInd w:w="7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Young</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John Young</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Vice President, Finance</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3"/>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1" Type="http://schemas.openxmlformats.org/officeDocument/2006/relationships/hyperlink" Target="https://www.sec.gov/ix?doc=/Archives/edgar/data/1280263/000119312521308048/d247928d8k.htm" TargetMode="External"/><Relationship Id="rId82" Type="http://schemas.openxmlformats.org/officeDocument/2006/relationships/hyperlink" Target="http://www.sec.gov/Archives/edgar/data/0001280263/000119312512389774/d19354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2021-12-10T13:06:09Z</dcterms:created>
  <dcterms:modified xsi:type="dcterms:W3CDTF">2021-12-10T13:06:09Z</dcterms:modified>
</cp:coreProperties>
</file>