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80" w:right="180" w:hanging="572"/>
        <w:spacing w:after="0" w:line="245"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30, 2022</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80" w:right="160" w:hanging="572"/>
        <w:spacing w:after="0" w:line="262" w:lineRule="auto"/>
        <w:tabs>
          <w:tab w:leader="none" w:pos="5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5"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r>
      <w:tr>
        <w:trPr>
          <w:trHeight w:val="344"/>
        </w:trPr>
        <w:tc>
          <w:tcPr>
            <w:tcW w:w="36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Commission file number: 001-35667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AMBARELLA,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198"/>
              <w:spacing w:after="0"/>
              <w:rPr>
                <w:sz w:val="20"/>
                <w:szCs w:val="20"/>
                <w:color w:val="auto"/>
              </w:rPr>
            </w:pPr>
            <w:r>
              <w:rPr>
                <w:rFonts w:ascii="Times New Roman" w:cs="Times New Roman" w:eastAsia="Times New Roman" w:hAnsi="Times New Roman"/>
                <w:sz w:val="18"/>
                <w:szCs w:val="18"/>
                <w:b w:val="1"/>
                <w:bCs w:val="1"/>
                <w:color w:val="auto"/>
              </w:rPr>
              <w:t>98-0459628</w:t>
            </w:r>
          </w:p>
        </w:tc>
        <w:tc>
          <w:tcPr>
            <w:tcW w:w="0" w:type="dxa"/>
            <w:vAlign w:val="bottom"/>
          </w:tcPr>
          <w:p>
            <w:pPr>
              <w:spacing w:after="0"/>
              <w:rPr>
                <w:sz w:val="1"/>
                <w:szCs w:val="1"/>
                <w:color w:val="auto"/>
              </w:rPr>
            </w:pPr>
          </w:p>
        </w:tc>
      </w:tr>
      <w:tr>
        <w:trPr>
          <w:trHeight w:val="148"/>
        </w:trPr>
        <w:tc>
          <w:tcPr>
            <w:tcW w:w="4500" w:type="dxa"/>
            <w:vAlign w:val="bottom"/>
            <w:gridSpan w:val="2"/>
          </w:tcPr>
          <w:p>
            <w:pPr>
              <w:jc w:val="center"/>
              <w:ind w:left="109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700" w:type="dxa"/>
            <w:vAlign w:val="bottom"/>
          </w:tcPr>
          <w:p>
            <w:pPr>
              <w:jc w:val="center"/>
              <w:ind w:right="165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8"/>
        </w:trPr>
        <w:tc>
          <w:tcPr>
            <w:tcW w:w="4500" w:type="dxa"/>
            <w:vAlign w:val="bottom"/>
            <w:gridSpan w:val="2"/>
          </w:tcPr>
          <w:p>
            <w:pPr>
              <w:jc w:val="center"/>
              <w:ind w:left="1116"/>
              <w:spacing w:after="0"/>
              <w:rPr>
                <w:sz w:val="20"/>
                <w:szCs w:val="20"/>
                <w:color w:val="auto"/>
              </w:rPr>
            </w:pPr>
            <w:r>
              <w:rPr>
                <w:rFonts w:ascii="Times New Roman" w:cs="Times New Roman" w:eastAsia="Times New Roman" w:hAnsi="Times New Roman"/>
                <w:sz w:val="18"/>
                <w:szCs w:val="18"/>
                <w:b w:val="1"/>
                <w:bCs w:val="1"/>
                <w:color w:val="auto"/>
                <w:w w:val="99"/>
              </w:rPr>
              <w:t>3101 Jay Street</w:t>
            </w:r>
          </w:p>
        </w:tc>
        <w:tc>
          <w:tcPr>
            <w:tcW w:w="2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8"/>
                <w:szCs w:val="18"/>
                <w:b w:val="1"/>
                <w:bCs w:val="1"/>
                <w:color w:val="auto"/>
                <w:w w:val="99"/>
              </w:rPr>
              <w:t>Santa Clara, California</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398"/>
              <w:spacing w:after="0"/>
              <w:rPr>
                <w:sz w:val="20"/>
                <w:szCs w:val="20"/>
                <w:color w:val="auto"/>
              </w:rPr>
            </w:pPr>
            <w:r>
              <w:rPr>
                <w:rFonts w:ascii="Times New Roman" w:cs="Times New Roman" w:eastAsia="Times New Roman" w:hAnsi="Times New Roman"/>
                <w:sz w:val="18"/>
                <w:szCs w:val="18"/>
                <w:b w:val="1"/>
                <w:bCs w:val="1"/>
                <w:color w:val="auto"/>
              </w:rPr>
              <w:t>95054</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1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2"/>
        </w:trPr>
        <w:tc>
          <w:tcPr>
            <w:tcW w:w="3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(408) 734-8888</w:t>
            </w: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37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38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gridSpan w:val="2"/>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660" w:type="dxa"/>
            <w:vAlign w:val="bottom"/>
            <w:tcBorders>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5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$0.00045 Par Value Per Share</w:t>
            </w:r>
          </w:p>
        </w:tc>
        <w:tc>
          <w:tcPr>
            <w:tcW w:w="660" w:type="dxa"/>
            <w:vAlign w:val="bottom"/>
            <w:tcBorders>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AMBA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36"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3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63"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1580"/>
        <w:spacing w:after="0" w:line="26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ordinary shares of the Registrant outstanding as of June 1, 2022 was 38,120,104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12"/>
        </w:trPr>
        <w:tc>
          <w:tcPr>
            <w:tcW w:w="30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7060" w:type="dxa"/>
            <w:vAlign w:val="bottom"/>
            <w:gridSpan w:val="9"/>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93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Unaudited Condensed Consolidated Balance Sheets at April 30, 2022 and January 31, 2022</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82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Operations for the three months ended April 30, 2022 and 2021</w:t>
            </w:r>
          </w:p>
        </w:tc>
        <w:tc>
          <w:tcPr>
            <w:tcW w:w="1180" w:type="dxa"/>
            <w:vAlign w:val="bottom"/>
            <w:gridSpan w:val="4"/>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8"/>
        </w:trPr>
        <w:tc>
          <w:tcPr>
            <w:tcW w:w="760" w:type="dxa"/>
            <w:vAlign w:val="bottom"/>
          </w:tcPr>
          <w:p>
            <w:pPr>
              <w:spacing w:after="0"/>
              <w:rPr>
                <w:sz w:val="24"/>
                <w:szCs w:val="24"/>
                <w:color w:val="auto"/>
              </w:rPr>
            </w:pPr>
          </w:p>
        </w:tc>
        <w:tc>
          <w:tcPr>
            <w:tcW w:w="93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Unaudited Condensed Consolidated Statements of Comprehensive Loss for the three months ended April 30, 2022 and 2021</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317"/>
        </w:trPr>
        <w:tc>
          <w:tcPr>
            <w:tcW w:w="760" w:type="dxa"/>
            <w:vAlign w:val="bottom"/>
          </w:tcPr>
          <w:p>
            <w:pPr>
              <w:spacing w:after="0"/>
              <w:rPr>
                <w:sz w:val="24"/>
                <w:szCs w:val="24"/>
                <w:color w:val="auto"/>
              </w:rPr>
            </w:pPr>
          </w:p>
        </w:tc>
        <w:tc>
          <w:tcPr>
            <w:tcW w:w="89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Shareholders’ Equity for the three months ended April 30, 2022 and 2021</w:t>
            </w:r>
          </w:p>
        </w:tc>
        <w:tc>
          <w:tcPr>
            <w:tcW w:w="44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760" w:type="dxa"/>
            <w:vAlign w:val="bottom"/>
          </w:tcPr>
          <w:p>
            <w:pPr>
              <w:spacing w:after="0"/>
              <w:rPr>
                <w:sz w:val="24"/>
                <w:szCs w:val="24"/>
                <w:color w:val="auto"/>
              </w:rPr>
            </w:pPr>
          </w:p>
        </w:tc>
        <w:tc>
          <w:tcPr>
            <w:tcW w:w="82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Cash Flows for the three months ended April 30, 2022 and 2021</w:t>
            </w:r>
          </w:p>
        </w:tc>
        <w:tc>
          <w:tcPr>
            <w:tcW w:w="1120" w:type="dxa"/>
            <w:vAlign w:val="bottom"/>
            <w:gridSpan w:val="3"/>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760" w:type="dxa"/>
            <w:vAlign w:val="bottom"/>
          </w:tcPr>
          <w:p>
            <w:pPr>
              <w:spacing w:after="0"/>
              <w:rPr>
                <w:sz w:val="24"/>
                <w:szCs w:val="24"/>
                <w:color w:val="auto"/>
              </w:rPr>
            </w:pPr>
          </w:p>
        </w:tc>
        <w:tc>
          <w:tcPr>
            <w:tcW w:w="47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Notes to Unaudited Condensed Consolidated Financial Statements</w:t>
            </w:r>
          </w:p>
        </w:tc>
        <w:tc>
          <w:tcPr>
            <w:tcW w:w="4620" w:type="dxa"/>
            <w:vAlign w:val="bottom"/>
            <w:gridSpan w:val="7"/>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960" w:type="dxa"/>
            <w:vAlign w:val="bottom"/>
            <w:gridSpan w:val="6"/>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060" w:type="dxa"/>
            <w:vAlign w:val="bottom"/>
            <w:gridSpan w:val="8"/>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360" w:type="dxa"/>
            <w:vAlign w:val="bottom"/>
            <w:gridSpan w:val="10"/>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439"/>
        </w:trPr>
        <w:tc>
          <w:tcPr>
            <w:tcW w:w="27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7360" w:type="dxa"/>
            <w:vAlign w:val="bottom"/>
            <w:gridSpan w:val="10"/>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5"/>
              </w:rPr>
              <w:t>Legal Proceedings</w:t>
            </w:r>
          </w:p>
        </w:tc>
        <w:tc>
          <w:tcPr>
            <w:tcW w:w="8080" w:type="dxa"/>
            <w:vAlign w:val="bottom"/>
            <w:gridSpan w:val="13"/>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3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Exhibits</w:t>
            </w:r>
          </w:p>
        </w:tc>
        <w:tc>
          <w:tcPr>
            <w:tcW w:w="8520" w:type="dxa"/>
            <w:vAlign w:val="bottom"/>
            <w:gridSpan w:val="14"/>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20" w:type="dxa"/>
            <w:vAlign w:val="bottom"/>
            <w:gridSpan w:val="15"/>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318"/>
        </w:trPr>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212"/>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200,639</w:t>
            </w:r>
          </w:p>
        </w:tc>
        <w:tc>
          <w:tcPr>
            <w:tcW w:w="5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278,329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 non-current</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668,665</w:t>
            </w:r>
          </w:p>
        </w:tc>
        <w:tc>
          <w:tcPr>
            <w:tcW w:w="3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657,545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payable</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12,024</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94,317</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Preference shares, $0.00045 par value per share, 20,000,000 shares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authorized and no shares issued and outstanding at April 30, 2022 and</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January 31, 2022, respectively</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Ordinary shares, $0.00045 par value per share, 200,000,000 shares</w:t>
            </w: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authorized at April 30, 2022 and January 31, 2022, respectively;</w:t>
            </w: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38,082,879 shares issued and outstanding at April 30, 2022; 37,302,818</w:t>
            </w: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shares issued and outstanding at January 31, 2022</w:t>
            </w:r>
          </w:p>
        </w:tc>
        <w:tc>
          <w:tcPr>
            <w:tcW w:w="10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485,281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1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89,050</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574,348</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668,665</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657,545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83"/>
        </w:trPr>
        <w:tc>
          <w:tcPr>
            <w:tcW w:w="7780" w:type="dxa"/>
            <w:vAlign w:val="bottom"/>
            <w:tcBorders>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FF0FC"/>
            </w:tcBorders>
          </w:tcPr>
          <w:p>
            <w:pPr>
              <w:spacing w:after="0"/>
              <w:rPr>
                <w:sz w:val="15"/>
                <w:szCs w:val="15"/>
                <w:color w:val="auto"/>
              </w:rPr>
            </w:pPr>
          </w:p>
        </w:tc>
        <w:tc>
          <w:tcPr>
            <w:tcW w:w="100" w:type="dxa"/>
            <w:vAlign w:val="bottom"/>
            <w:tcBorders>
              <w:top w:val="single" w:sz="8" w:color="auto"/>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90,305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70,133</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33,758</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26,368</w:t>
            </w:r>
          </w:p>
        </w:tc>
        <w:tc>
          <w:tcPr>
            <w:tcW w:w="2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56,547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43,765</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46,690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37,874</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20,355</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16,027</w:t>
            </w:r>
          </w:p>
        </w:tc>
        <w:tc>
          <w:tcPr>
            <w:tcW w:w="2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67,045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53,901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(10,136)</w:t>
            </w: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4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(9,543)</w:t>
            </w: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(10,822)</w:t>
            </w:r>
          </w:p>
        </w:tc>
        <w:tc>
          <w:tcPr>
            <w:tcW w:w="44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(10,818)</w:t>
            </w:r>
          </w:p>
        </w:tc>
        <w:tc>
          <w:tcPr>
            <w:tcW w:w="0" w:type="dxa"/>
            <w:vAlign w:val="bottom"/>
          </w:tcPr>
          <w:p>
            <w:pPr>
              <w:spacing w:after="0"/>
              <w:rPr>
                <w:sz w:val="1"/>
                <w:szCs w:val="1"/>
                <w:color w:val="auto"/>
              </w:rPr>
            </w:pPr>
          </w:p>
        </w:tc>
      </w:tr>
      <w:tr>
        <w:trPr>
          <w:trHeight w:val="210"/>
        </w:trPr>
        <w:tc>
          <w:tcPr>
            <w:tcW w:w="7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ordinary shareholders:</w:t>
            </w: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(0.29)</w:t>
            </w:r>
          </w:p>
        </w:tc>
        <w:tc>
          <w:tcPr>
            <w:tcW w:w="44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10"/>
        </w:trPr>
        <w:tc>
          <w:tcPr>
            <w:tcW w:w="7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 ordinary shareholders:</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37,715,338</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35,940,304</w:t>
            </w:r>
          </w:p>
        </w:tc>
        <w:tc>
          <w:tcPr>
            <w:tcW w:w="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37,715,338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35,940,304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274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183"/>
        </w:trPr>
        <w:tc>
          <w:tcPr>
            <w:tcW w:w="760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r>
      <w:tr>
        <w:trPr>
          <w:trHeight w:val="223"/>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2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(10,822)</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(10,818)</w:t>
            </w:r>
          </w:p>
        </w:tc>
        <w:tc>
          <w:tcPr>
            <w:tcW w:w="300" w:type="dxa"/>
            <w:vAlign w:val="bottom"/>
            <w:shd w:val="clear" w:color="auto" w:fill="CFF0FC"/>
          </w:tcPr>
          <w:p>
            <w:pPr>
              <w:spacing w:after="0"/>
              <w:rPr>
                <w:sz w:val="19"/>
                <w:szCs w:val="19"/>
                <w:color w:val="auto"/>
              </w:rPr>
            </w:pPr>
          </w:p>
        </w:tc>
      </w:tr>
      <w:tr>
        <w:trPr>
          <w:trHeight w:val="257"/>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unrealized losses on investments</w:t>
            </w: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(427)</w:t>
            </w:r>
          </w:p>
        </w:tc>
      </w:tr>
      <w:tr>
        <w:trPr>
          <w:trHeight w:val="20"/>
        </w:trPr>
        <w:tc>
          <w:tcPr>
            <w:tcW w:w="7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(427)</w:t>
            </w:r>
          </w:p>
        </w:tc>
      </w:tr>
      <w:tr>
        <w:trPr>
          <w:trHeight w:val="223"/>
        </w:trPr>
        <w:tc>
          <w:tcPr>
            <w:tcW w:w="7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920" w:type="dxa"/>
            <w:vAlign w:val="bottom"/>
            <w:tcBorders>
              <w:top w:val="single" w:sz="8" w:color="auto"/>
              <w:bottom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(10,822)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(11,245)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780" w:type="dxa"/>
            <w:vAlign w:val="bottom"/>
            <w:gridSpan w:val="3"/>
          </w:tcPr>
          <w:p>
            <w:pPr>
              <w:jc w:val="center"/>
              <w:ind w:left="111"/>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1780" w:type="dxa"/>
            <w:vAlign w:val="bottom"/>
            <w:tcBorders>
              <w:bottom w:val="single" w:sz="8" w:color="auto"/>
            </w:tcBorders>
            <w:gridSpan w:val="3"/>
          </w:tcPr>
          <w:p>
            <w:pPr>
              <w:jc w:val="center"/>
              <w:ind w:left="131"/>
              <w:spacing w:after="0"/>
              <w:rPr>
                <w:sz w:val="20"/>
                <w:szCs w:val="20"/>
                <w:color w:val="auto"/>
              </w:rPr>
            </w:pPr>
            <w:r>
              <w:rPr>
                <w:rFonts w:ascii="Times New Roman" w:cs="Times New Roman" w:eastAsia="Times New Roman" w:hAnsi="Times New Roman"/>
                <w:sz w:val="13"/>
                <w:szCs w:val="13"/>
                <w:b w:val="1"/>
                <w:bCs w:val="1"/>
                <w:color w:val="auto"/>
                <w:w w:val="96"/>
              </w:rPr>
              <w:t>Ordinary Shares</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3"/>
                <w:szCs w:val="13"/>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0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Balance--January 31, 2022</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37,302,818</w:t>
            </w:r>
          </w:p>
        </w:tc>
        <w:tc>
          <w:tcPr>
            <w:tcW w:w="900" w:type="dxa"/>
            <w:vAlign w:val="bottom"/>
            <w:gridSpan w:val="2"/>
            <w:shd w:val="clear" w:color="auto" w:fill="CFF0FC"/>
          </w:tcPr>
          <w:p>
            <w:pPr>
              <w:jc w:val="right"/>
              <w:ind w:right="534"/>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447,287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99,872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547,176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736,516</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43,545</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(10,822)</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(10,822)</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Balance--April 30, 2022</w:t>
            </w: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vMerge w:val="continue"/>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38,082,879</w:t>
            </w:r>
          </w:p>
        </w:tc>
        <w:tc>
          <w:tcPr>
            <w:tcW w:w="900" w:type="dxa"/>
            <w:vAlign w:val="bottom"/>
            <w:gridSpan w:val="2"/>
          </w:tcPr>
          <w:p>
            <w:pPr>
              <w:jc w:val="right"/>
              <w:ind w:right="534"/>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485,281</w:t>
            </w:r>
          </w:p>
        </w:tc>
        <w:tc>
          <w:tcPr>
            <w:tcW w:w="22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89,050</w:t>
            </w:r>
          </w:p>
        </w:tc>
        <w:tc>
          <w:tcPr>
            <w:tcW w:w="220" w:type="dxa"/>
            <w:vAlign w:val="bottom"/>
          </w:tcPr>
          <w:p>
            <w:pPr>
              <w:spacing w:after="0"/>
              <w:rPr>
                <w:sz w:val="15"/>
                <w:szCs w:val="15"/>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574,348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780" w:type="dxa"/>
            <w:vAlign w:val="bottom"/>
            <w:gridSpan w:val="3"/>
          </w:tcPr>
          <w:p>
            <w:pPr>
              <w:jc w:val="center"/>
              <w:ind w:left="111"/>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1780" w:type="dxa"/>
            <w:vAlign w:val="bottom"/>
            <w:tcBorders>
              <w:bottom w:val="single" w:sz="8" w:color="auto"/>
            </w:tcBorders>
            <w:gridSpan w:val="3"/>
          </w:tcPr>
          <w:p>
            <w:pPr>
              <w:jc w:val="center"/>
              <w:ind w:left="131"/>
              <w:spacing w:after="0"/>
              <w:rPr>
                <w:sz w:val="20"/>
                <w:szCs w:val="20"/>
                <w:color w:val="auto"/>
              </w:rPr>
            </w:pPr>
            <w:r>
              <w:rPr>
                <w:rFonts w:ascii="Times New Roman" w:cs="Times New Roman" w:eastAsia="Times New Roman" w:hAnsi="Times New Roman"/>
                <w:sz w:val="13"/>
                <w:szCs w:val="13"/>
                <w:b w:val="1"/>
                <w:bCs w:val="1"/>
                <w:color w:val="auto"/>
                <w:w w:val="96"/>
              </w:rPr>
              <w:t>Ordinary Shares</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3"/>
                <w:szCs w:val="13"/>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Balance--January 31, 2021</w:t>
            </w: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3"/>
                <w:szCs w:val="13"/>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4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8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4700" w:type="dxa"/>
            <w:vAlign w:val="bottom"/>
            <w:vMerge w:val="continue"/>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35,547,440</w:t>
            </w:r>
          </w:p>
        </w:tc>
        <w:tc>
          <w:tcPr>
            <w:tcW w:w="220" w:type="dxa"/>
            <w:vAlign w:val="bottom"/>
          </w:tcPr>
          <w:p>
            <w:pPr>
              <w:spacing w:after="0"/>
              <w:rPr>
                <w:sz w:val="13"/>
                <w:szCs w:val="13"/>
                <w:color w:val="auto"/>
              </w:rPr>
            </w:pPr>
          </w:p>
        </w:tc>
        <w:tc>
          <w:tcPr>
            <w:tcW w:w="680" w:type="dxa"/>
            <w:vAlign w:val="bottom"/>
            <w:tcBorders>
              <w:top w:val="single" w:sz="8" w:color="auto"/>
            </w:tcBorders>
          </w:tcPr>
          <w:p>
            <w:pPr>
              <w:jc w:val="right"/>
              <w:ind w:right="534"/>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347,458</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1,219</w:t>
            </w:r>
          </w:p>
        </w:tc>
        <w:tc>
          <w:tcPr>
            <w:tcW w:w="200" w:type="dxa"/>
            <w:vAlign w:val="bottom"/>
          </w:tcPr>
          <w:p>
            <w:pPr>
              <w:spacing w:after="0"/>
              <w:rPr>
                <w:sz w:val="13"/>
                <w:szCs w:val="13"/>
                <w:color w:val="auto"/>
              </w:rPr>
            </w:pPr>
          </w:p>
        </w:tc>
        <w:tc>
          <w:tcPr>
            <w:tcW w:w="1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126,283</w:t>
            </w:r>
          </w:p>
        </w:tc>
        <w:tc>
          <w:tcPr>
            <w:tcW w:w="220" w:type="dxa"/>
            <w:vAlign w:val="bottom"/>
          </w:tcPr>
          <w:p>
            <w:pPr>
              <w:spacing w:after="0"/>
              <w:rPr>
                <w:sz w:val="13"/>
                <w:szCs w:val="13"/>
                <w:color w:val="auto"/>
              </w:rPr>
            </w:pPr>
          </w:p>
        </w:tc>
        <w:tc>
          <w:tcPr>
            <w:tcW w:w="18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474,976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643,120</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6,741</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6,741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82,783</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17,128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17,128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unrealized losses on investments - net of tax</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(427)</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62"/>
        </w:trPr>
        <w:tc>
          <w:tcPr>
            <w:tcW w:w="4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(10,818)</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(10,818)</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Balance--April 30, 2021</w:t>
            </w: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vMerge w:val="continue"/>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36,273,343</w:t>
            </w:r>
          </w:p>
        </w:tc>
        <w:tc>
          <w:tcPr>
            <w:tcW w:w="900" w:type="dxa"/>
            <w:vAlign w:val="bottom"/>
            <w:gridSpan w:val="2"/>
          </w:tcPr>
          <w:p>
            <w:pPr>
              <w:jc w:val="right"/>
              <w:ind w:right="534"/>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375,021</w:t>
            </w:r>
          </w:p>
        </w:tc>
        <w:tc>
          <w:tcPr>
            <w:tcW w:w="22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115,465</w:t>
            </w:r>
          </w:p>
        </w:tc>
        <w:tc>
          <w:tcPr>
            <w:tcW w:w="220" w:type="dxa"/>
            <w:vAlign w:val="bottom"/>
          </w:tcPr>
          <w:p>
            <w:pPr>
              <w:spacing w:after="0"/>
              <w:rPr>
                <w:sz w:val="15"/>
                <w:szCs w:val="15"/>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491,294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740" w:type="dxa"/>
            <w:vAlign w:val="bottom"/>
            <w:tcBorders>
              <w:bottom w:val="single" w:sz="8" w:color="auto"/>
            </w:tcBorders>
            <w:gridSpan w:val="5"/>
          </w:tcPr>
          <w:p>
            <w:pPr>
              <w:jc w:val="right"/>
              <w:ind w:right="87"/>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6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0"/>
        </w:trPr>
        <w:tc>
          <w:tcPr>
            <w:tcW w:w="6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8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9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loss</w:t>
            </w:r>
          </w:p>
        </w:tc>
        <w:tc>
          <w:tcPr>
            <w:tcW w:w="1720" w:type="dxa"/>
            <w:vAlign w:val="bottom"/>
            <w:gridSpan w:val="2"/>
          </w:tcPr>
          <w:p>
            <w:pPr>
              <w:jc w:val="right"/>
              <w:ind w:right="76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(10,822)</w:t>
            </w:r>
          </w:p>
        </w:tc>
        <w:tc>
          <w:tcPr>
            <w:tcW w:w="940" w:type="dxa"/>
            <w:vAlign w:val="bottom"/>
            <w:gridSpan w:val="2"/>
          </w:tcPr>
          <w:p>
            <w:pPr>
              <w:jc w:val="right"/>
              <w:ind w:right="80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(10,818)</w:t>
            </w:r>
          </w:p>
        </w:tc>
      </w:tr>
      <w:tr>
        <w:trPr>
          <w:trHeight w:val="216"/>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(used in) operating activities:</w:t>
            </w:r>
          </w:p>
        </w:tc>
        <w:tc>
          <w:tcPr>
            <w:tcW w:w="8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2,883</w:t>
            </w:r>
          </w:p>
        </w:tc>
        <w:tc>
          <w:tcPr>
            <w:tcW w:w="120" w:type="dxa"/>
            <w:vAlign w:val="bottom"/>
          </w:tcPr>
          <w:p>
            <w:pPr>
              <w:spacing w:after="0"/>
              <w:rPr>
                <w:sz w:val="18"/>
                <w:szCs w:val="18"/>
                <w:color w:val="auto"/>
              </w:rPr>
            </w:pPr>
          </w:p>
        </w:tc>
      </w:tr>
      <w:tr>
        <w:trPr>
          <w:trHeight w:val="216"/>
        </w:trPr>
        <w:tc>
          <w:tcPr>
            <w:tcW w:w="6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Amortization (accretion) of premium (discount) on marketable debt securities, net</w:t>
            </w:r>
          </w:p>
        </w:tc>
        <w:tc>
          <w:tcPr>
            <w:tcW w:w="8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Stock-based compensation</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27,041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18,842</w:t>
            </w:r>
          </w:p>
        </w:tc>
        <w:tc>
          <w:tcPr>
            <w:tcW w:w="120" w:type="dxa"/>
            <w:vAlign w:val="bottom"/>
          </w:tcPr>
          <w:p>
            <w:pPr>
              <w:spacing w:after="0"/>
              <w:rPr>
                <w:sz w:val="18"/>
                <w:szCs w:val="18"/>
                <w:color w:val="auto"/>
              </w:rPr>
            </w:pPr>
          </w:p>
        </w:tc>
      </w:tr>
      <w:tr>
        <w:trPr>
          <w:trHeight w:val="216"/>
        </w:trPr>
        <w:tc>
          <w:tcPr>
            <w:tcW w:w="6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Deferred income taxes</w:t>
            </w:r>
          </w:p>
        </w:tc>
        <w:tc>
          <w:tcPr>
            <w:tcW w:w="8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1,370</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Other non-cash items, net</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(190)</w:t>
            </w:r>
          </w:p>
        </w:tc>
      </w:tr>
      <w:tr>
        <w:trPr>
          <w:trHeight w:val="216"/>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8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receivable</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(9,554)</w:t>
            </w:r>
          </w:p>
        </w:tc>
      </w:tr>
      <w:tr>
        <w:trPr>
          <w:trHeight w:val="216"/>
        </w:trPr>
        <w:tc>
          <w:tcPr>
            <w:tcW w:w="6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Inventories</w:t>
            </w:r>
          </w:p>
        </w:tc>
        <w:tc>
          <w:tcPr>
            <w:tcW w:w="8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3,696</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(7,039)</w:t>
            </w:r>
          </w:p>
        </w:tc>
      </w:tr>
      <w:tr>
        <w:trPr>
          <w:trHeight w:val="216"/>
        </w:trPr>
        <w:tc>
          <w:tcPr>
            <w:tcW w:w="69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(2,731)</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20" w:type="dxa"/>
            <w:vAlign w:val="bottom"/>
          </w:tcPr>
          <w:p>
            <w:pPr>
              <w:spacing w:after="0"/>
              <w:rPr>
                <w:sz w:val="18"/>
                <w:szCs w:val="18"/>
                <w:color w:val="auto"/>
              </w:rPr>
            </w:pPr>
          </w:p>
        </w:tc>
      </w:tr>
      <w:tr>
        <w:trPr>
          <w:trHeight w:val="216"/>
        </w:trPr>
        <w:tc>
          <w:tcPr>
            <w:tcW w:w="6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Other non-current assets</w:t>
            </w:r>
          </w:p>
        </w:tc>
        <w:tc>
          <w:tcPr>
            <w:tcW w:w="8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(65)</w:t>
            </w:r>
          </w:p>
        </w:tc>
      </w:tr>
      <w:tr>
        <w:trPr>
          <w:trHeight w:val="216"/>
        </w:trPr>
        <w:tc>
          <w:tcPr>
            <w:tcW w:w="69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payable</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(2,865)</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(480)</w:t>
            </w:r>
          </w:p>
        </w:tc>
      </w:tr>
      <w:tr>
        <w:trPr>
          <w:trHeight w:val="216"/>
        </w:trPr>
        <w:tc>
          <w:tcPr>
            <w:tcW w:w="6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8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(2,515)</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Income taxes payable</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(262)</w:t>
            </w:r>
          </w:p>
        </w:tc>
      </w:tr>
      <w:tr>
        <w:trPr>
          <w:trHeight w:val="216"/>
        </w:trPr>
        <w:tc>
          <w:tcPr>
            <w:tcW w:w="6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Deferred revenue</w:t>
            </w:r>
          </w:p>
        </w:tc>
        <w:tc>
          <w:tcPr>
            <w:tcW w:w="8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(450)</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(74)</w:t>
            </w:r>
          </w:p>
        </w:tc>
      </w:tr>
      <w:tr>
        <w:trPr>
          <w:trHeight w:val="216"/>
        </w:trPr>
        <w:tc>
          <w:tcPr>
            <w:tcW w:w="69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(1,069)</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(856)</w:t>
            </w:r>
          </w:p>
        </w:tc>
      </w:tr>
      <w:tr>
        <w:trPr>
          <w:trHeight w:val="216"/>
        </w:trPr>
        <w:tc>
          <w:tcPr>
            <w:tcW w:w="6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80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shd w:val="clear" w:color="auto" w:fill="CFF0FC"/>
          </w:tcPr>
          <w:p>
            <w:pPr>
              <w:spacing w:after="0"/>
              <w:rPr>
                <w:sz w:val="18"/>
                <w:szCs w:val="18"/>
                <w:color w:val="auto"/>
              </w:rPr>
            </w:pPr>
          </w:p>
        </w:tc>
      </w:tr>
      <w:tr>
        <w:trPr>
          <w:trHeight w:val="209"/>
        </w:trPr>
        <w:tc>
          <w:tcPr>
            <w:tcW w:w="698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80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33,560</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(4,547)</w:t>
            </w:r>
          </w:p>
        </w:tc>
        <w:tc>
          <w:tcPr>
            <w:tcW w:w="120" w:type="dxa"/>
            <w:vAlign w:val="bottom"/>
            <w:tcBorders>
              <w:bottom w:val="single" w:sz="8" w:color="CFF0FC"/>
            </w:tcBorders>
          </w:tcPr>
          <w:p>
            <w:pPr>
              <w:spacing w:after="0"/>
              <w:rPr>
                <w:sz w:val="18"/>
                <w:szCs w:val="18"/>
                <w:color w:val="auto"/>
              </w:rPr>
            </w:pPr>
          </w:p>
        </w:tc>
      </w:tr>
      <w:tr>
        <w:trPr>
          <w:trHeight w:val="21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8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69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Purchase of investments</w:t>
            </w: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(57,117)</w:t>
            </w:r>
          </w:p>
        </w:tc>
      </w:tr>
      <w:tr>
        <w:trPr>
          <w:trHeight w:val="229"/>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Escrow claim associated with business acquisition</w:t>
            </w:r>
          </w:p>
        </w:tc>
        <w:tc>
          <w:tcPr>
            <w:tcW w:w="8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Sales of investments</w:t>
            </w: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18,609</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Maturities of investments</w:t>
            </w:r>
          </w:p>
        </w:tc>
        <w:tc>
          <w:tcPr>
            <w:tcW w:w="8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29,232</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Purchase of tangible and intangible assets</w:t>
            </w: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(4,701)</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(1,954)</w:t>
            </w:r>
          </w:p>
        </w:tc>
      </w:tr>
      <w:tr>
        <w:trPr>
          <w:trHeight w:val="210"/>
        </w:trPr>
        <w:tc>
          <w:tcPr>
            <w:tcW w:w="698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8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(3,952)</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9"/>
              </w:rPr>
              <w:t>(11,230)</w:t>
            </w:r>
          </w:p>
        </w:tc>
        <w:tc>
          <w:tcPr>
            <w:tcW w:w="120" w:type="dxa"/>
            <w:vAlign w:val="bottom"/>
            <w:tcBorders>
              <w:top w:val="single" w:sz="8" w:color="CFF0FC"/>
            </w:tcBorders>
            <w:shd w:val="clear" w:color="auto" w:fill="CFF0FC"/>
          </w:tcPr>
          <w:p>
            <w:pPr>
              <w:spacing w:after="0"/>
              <w:rPr>
                <w:sz w:val="18"/>
                <w:szCs w:val="18"/>
                <w:color w:val="auto"/>
              </w:rPr>
            </w:pPr>
          </w:p>
        </w:tc>
      </w:tr>
      <w:tr>
        <w:trPr>
          <w:trHeight w:val="208"/>
        </w:trPr>
        <w:tc>
          <w:tcPr>
            <w:tcW w:w="6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7"/>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Proceeds from exercise of stock options and employee stock purchase plan</w:t>
            </w:r>
          </w:p>
        </w:tc>
        <w:tc>
          <w:tcPr>
            <w:tcW w:w="8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1,876</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3,893</w:t>
            </w:r>
          </w:p>
        </w:tc>
        <w:tc>
          <w:tcPr>
            <w:tcW w:w="120" w:type="dxa"/>
            <w:vAlign w:val="bottom"/>
            <w:shd w:val="clear" w:color="auto" w:fill="CFF0FC"/>
          </w:tcPr>
          <w:p>
            <w:pPr>
              <w:spacing w:after="0"/>
              <w:rPr>
                <w:sz w:val="18"/>
                <w:szCs w:val="18"/>
                <w:color w:val="auto"/>
              </w:rPr>
            </w:pPr>
          </w:p>
        </w:tc>
      </w:tr>
      <w:tr>
        <w:trPr>
          <w:trHeight w:val="216"/>
        </w:trPr>
        <w:tc>
          <w:tcPr>
            <w:tcW w:w="69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Payment for intangible assets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(1,888)</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(1,881)</w:t>
            </w:r>
          </w:p>
        </w:tc>
      </w:tr>
      <w:tr>
        <w:trPr>
          <w:trHeight w:val="210"/>
        </w:trPr>
        <w:tc>
          <w:tcPr>
            <w:tcW w:w="698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8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29,596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(13,765)</w:t>
            </w:r>
          </w:p>
        </w:tc>
        <w:tc>
          <w:tcPr>
            <w:tcW w:w="120" w:type="dxa"/>
            <w:vAlign w:val="bottom"/>
          </w:tcPr>
          <w:p>
            <w:pPr>
              <w:spacing w:after="0"/>
              <w:rPr>
                <w:sz w:val="18"/>
                <w:szCs w:val="18"/>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80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171,053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241,284</w:t>
            </w:r>
          </w:p>
        </w:tc>
        <w:tc>
          <w:tcPr>
            <w:tcW w:w="120" w:type="dxa"/>
            <w:vAlign w:val="bottom"/>
            <w:shd w:val="clear" w:color="auto" w:fill="CFF0FC"/>
          </w:tcPr>
          <w:p>
            <w:pPr>
              <w:spacing w:after="0"/>
              <w:rPr>
                <w:sz w:val="18"/>
                <w:szCs w:val="18"/>
                <w:color w:val="auto"/>
              </w:rPr>
            </w:pPr>
          </w:p>
        </w:tc>
      </w:tr>
      <w:tr>
        <w:trPr>
          <w:trHeight w:val="250"/>
        </w:trPr>
        <w:tc>
          <w:tcPr>
            <w:tcW w:w="6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80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200,649</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jc w:val="right"/>
              <w:ind w:right="80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227,519</w:t>
            </w:r>
          </w:p>
        </w:tc>
        <w:tc>
          <w:tcPr>
            <w:tcW w:w="120" w:type="dxa"/>
            <w:vAlign w:val="bottom"/>
            <w:tcBorders>
              <w:bottom w:val="single" w:sz="8" w:color="CFF0FC"/>
            </w:tcBorders>
          </w:tcPr>
          <w:p>
            <w:pPr>
              <w:spacing w:after="0"/>
              <w:rPr>
                <w:sz w:val="21"/>
                <w:szCs w:val="21"/>
                <w:color w:val="auto"/>
              </w:rPr>
            </w:pPr>
          </w:p>
        </w:tc>
      </w:tr>
      <w:tr>
        <w:trPr>
          <w:trHeight w:val="19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8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56"/>
        </w:trPr>
        <w:tc>
          <w:tcPr>
            <w:tcW w:w="69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1720" w:type="dxa"/>
            <w:vAlign w:val="bottom"/>
            <w:gridSpan w:val="2"/>
          </w:tcPr>
          <w:p>
            <w:pPr>
              <w:jc w:val="right"/>
              <w:ind w:right="76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280" w:type="dxa"/>
            <w:vAlign w:val="bottom"/>
          </w:tcPr>
          <w:p>
            <w:pPr>
              <w:spacing w:after="0"/>
              <w:rPr>
                <w:sz w:val="22"/>
                <w:szCs w:val="22"/>
                <w:color w:val="auto"/>
              </w:rPr>
            </w:pPr>
          </w:p>
        </w:tc>
        <w:tc>
          <w:tcPr>
            <w:tcW w:w="940" w:type="dxa"/>
            <w:vAlign w:val="bottom"/>
            <w:gridSpan w:val="2"/>
          </w:tcPr>
          <w:p>
            <w:pPr>
              <w:jc w:val="right"/>
              <w:ind w:right="80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1,013</w:t>
            </w:r>
          </w:p>
        </w:tc>
        <w:tc>
          <w:tcPr>
            <w:tcW w:w="120" w:type="dxa"/>
            <w:vAlign w:val="bottom"/>
          </w:tcPr>
          <w:p>
            <w:pPr>
              <w:spacing w:after="0"/>
              <w:rPr>
                <w:sz w:val="22"/>
                <w:szCs w:val="22"/>
                <w:color w:val="auto"/>
              </w:rPr>
            </w:pPr>
          </w:p>
        </w:tc>
      </w:tr>
      <w:tr>
        <w:trPr>
          <w:trHeight w:val="196"/>
        </w:trPr>
        <w:tc>
          <w:tcPr>
            <w:tcW w:w="6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80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6"/>
        </w:trPr>
        <w:tc>
          <w:tcPr>
            <w:tcW w:w="69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Unpaid liabilities related to tangible and intangible assets purchases</w:t>
            </w:r>
          </w:p>
        </w:tc>
        <w:tc>
          <w:tcPr>
            <w:tcW w:w="1720" w:type="dxa"/>
            <w:vAlign w:val="bottom"/>
            <w:gridSpan w:val="2"/>
          </w:tcPr>
          <w:p>
            <w:pPr>
              <w:jc w:val="right"/>
              <w:ind w:right="76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1,549</w:t>
            </w:r>
          </w:p>
        </w:tc>
        <w:tc>
          <w:tcPr>
            <w:tcW w:w="280" w:type="dxa"/>
            <w:vAlign w:val="bottom"/>
          </w:tcPr>
          <w:p>
            <w:pPr>
              <w:spacing w:after="0"/>
              <w:rPr>
                <w:sz w:val="18"/>
                <w:szCs w:val="18"/>
                <w:color w:val="auto"/>
              </w:rPr>
            </w:pPr>
          </w:p>
        </w:tc>
        <w:tc>
          <w:tcPr>
            <w:tcW w:w="940" w:type="dxa"/>
            <w:vAlign w:val="bottom"/>
            <w:gridSpan w:val="2"/>
          </w:tcPr>
          <w:p>
            <w:pPr>
              <w:jc w:val="right"/>
              <w:ind w:right="80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2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ind w:left="480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Ambarella, Inc. (the “Company”) was incorporated in the Cayman Islands on January 15, 2004. The Company is a leading developer of low-power semiconductor solutions offering high-definition (HD) and Ultra HD compression, image processing, and powerful deep neural network processing.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designs fully integrate high-definition video processing, image processing, artificial intelligence (AI) computer vision algorithms, audio processing and system functions onto a single chip. These low power SoCs deliver exceptional video and image quality and can extract valuable data from high-resolution video and radar streams. The Company is currently addressing a broad range of human and computer vision applications, including video security, advanced driver assistance systems (ADAS), electronic mirrors, drive recorders, driver/cabin monitoring systems, autonomous driving, and industrial and robotic applications.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sells its solutions to leading original design manufacturers, or ODMs, and original equipment manufacturers, or OEMs, globally.</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the Company in accordance with the instructions to Form 10-Q pursuant to the rules and regulations of the Securities and Exchange Commission (“SEC”) and, therefore, do not include all information and notes normally provided in audited financial statements. The accounting policies are described in the “Notes to Consolidated Financial Statements” in the Annual Report on Form 10-K for the 2022 fiscal year filed with the SEC on April 1, 2022 (the “Form 10-K”) and updated, as necessary, in this Form 10-Q. The year-end condensed consolidated balance sheet data presented for comparative purposes was derived from audited financial statements, but does not include all disclosures required by generally accepted accounting principles in the United States (“U.S. GAAP”). In the opinion of management, all adjustments (consisting of normal recurring accruals and adjustments) considered necessary for a fair statement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the Form 10-K.</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January 31. The condensed consolidated financial statements of the Company and its subsidiaries have been prepared in conformity with U.S. GAAP. All intercompany transactions and balances have been eliminated upon consolidation.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described in Note 1 - Organization and Summary of Significant Accounting Policies, of the Notes to Consolidated Financial Statements included in the Company’s Annual Report on Form 10-K for the fiscal year ended January 31, 2022.</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jc w:val="both"/>
        <w:ind w:right="60" w:firstLine="510"/>
        <w:spacing w:after="0" w:line="266" w:lineRule="auto"/>
        <w:rPr>
          <w:sz w:val="20"/>
          <w:szCs w:val="20"/>
          <w:color w:val="auto"/>
        </w:rPr>
      </w:pPr>
      <w:r>
        <w:rPr>
          <w:rFonts w:ascii="Times New Roman" w:cs="Times New Roman" w:eastAsia="Times New Roman" w:hAnsi="Times New Roman"/>
          <w:sz w:val="18"/>
          <w:szCs w:val="18"/>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76" w:lineRule="exact"/>
        <w:rPr>
          <w:sz w:val="20"/>
          <w:szCs w:val="20"/>
          <w:color w:val="auto"/>
        </w:rPr>
      </w:pPr>
    </w:p>
    <w:p>
      <w:pPr>
        <w:ind w:right="180" w:firstLine="510"/>
        <w:spacing w:after="0" w:line="277" w:lineRule="auto"/>
        <w:rPr>
          <w:sz w:val="20"/>
          <w:szCs w:val="20"/>
          <w:color w:val="auto"/>
        </w:rPr>
      </w:pPr>
      <w:r>
        <w:rPr>
          <w:rFonts w:ascii="Times New Roman" w:cs="Times New Roman" w:eastAsia="Times New Roman" w:hAnsi="Times New Roman"/>
          <w:sz w:val="17"/>
          <w:szCs w:val="17"/>
          <w:color w:val="auto"/>
        </w:rPr>
        <w:t>A substantial portion of the Company’s revenue is derived from sales through its two major distributors, WT Microelectronics Co., Ltd., formerly Wintech Microelectronics Co., Ltd., or WT, which serves as its non-exclusive sales representative in Asia other than Japan, and Hakuto Co., Ltd., or Hakuto, a Japan distributor, and directly to one ODM customer, Chicony Electronics Co., Ltd., or Chicony. Termination of the relationships with these customers could result in a temporary or permanent loss of revenue. Furthermore, any credit issues from these customers could impair their abilities to make timely payment to the Company. See Note 13 for additional information regarding revenue and credit concentration with these customers.</w:t>
      </w: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8" w:name="page9"/>
    <w:bookmarkEnd w:id="8"/>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The cash equivalents consist primarily of money market funds which management assesses to be highly liquid. In fiscal year 2022, the Company fully liquidated its investments in debt securities to finance the acquisition of Oculii Corp, or Oculii. As of April 30, 2022 and January 31, 2022, there were no debt security investments recorded in the condensed consolidated balance sheets.</w:t>
      </w:r>
    </w:p>
    <w:p>
      <w:pPr>
        <w:spacing w:after="0" w:line="187" w:lineRule="exact"/>
        <w:rPr>
          <w:sz w:val="20"/>
          <w:szCs w:val="20"/>
          <w:color w:val="auto"/>
        </w:rPr>
      </w:pPr>
    </w:p>
    <w:p>
      <w:pPr>
        <w:ind w:right="520" w:firstLine="510"/>
        <w:spacing w:after="0" w:line="261" w:lineRule="auto"/>
        <w:rPr>
          <w:sz w:val="20"/>
          <w:szCs w:val="20"/>
          <w:color w:val="auto"/>
        </w:rPr>
      </w:pPr>
      <w:r>
        <w:rPr>
          <w:rFonts w:ascii="Times New Roman" w:cs="Times New Roman" w:eastAsia="Times New Roman" w:hAnsi="Times New Roman"/>
          <w:sz w:val="18"/>
          <w:szCs w:val="18"/>
          <w:color w:val="auto"/>
        </w:rPr>
        <w:t>The Company performs ongoing credit evaluation of its customers and adjusts credit limits based upon payment history and customers’ credit worthiness. The Company regularly monitors collections and payments from its customers.</w:t>
      </w: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99"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Amounts included in restricted cash represent those required to be set aside to secure certain transactions in a foreign entity. As of April 30, 2022 and January 31, 2022, restricted cash was immaterial, respectively. The following table presents cash, cash equivalents and restricted cash reported on the condensed consolidated balance sheets, and the totals are presented on the condensed consolidated statements of cash flows: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jc w:val="right"/>
              <w:ind w:right="239"/>
              <w:spacing w:after="0" w:line="131"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180" w:type="dxa"/>
            <w:vAlign w:val="bottom"/>
          </w:tcPr>
          <w:p>
            <w:pPr>
              <w:spacing w:after="0"/>
              <w:rPr>
                <w:sz w:val="11"/>
                <w:szCs w:val="11"/>
                <w:color w:val="auto"/>
              </w:rPr>
            </w:pPr>
          </w:p>
        </w:tc>
        <w:tc>
          <w:tcPr>
            <w:tcW w:w="12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gridSpan w:val="2"/>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12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gridSpan w:val="5"/>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3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200,639</w:t>
            </w:r>
          </w:p>
        </w:tc>
        <w:tc>
          <w:tcPr>
            <w:tcW w:w="18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171,043</w:t>
            </w:r>
          </w:p>
        </w:tc>
        <w:tc>
          <w:tcPr>
            <w:tcW w:w="4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227,509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241,274</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360" w:type="dxa"/>
            <w:vAlign w:val="bottom"/>
            <w:tcBorders>
              <w:top w:val="single" w:sz="8" w:color="CFF0FC"/>
            </w:tcBorders>
            <w:gridSpan w:val="2"/>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as presented in the condensed</w:t>
            </w:r>
          </w:p>
        </w:tc>
        <w:tc>
          <w:tcPr>
            <w:tcW w:w="4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200,649</w:t>
            </w:r>
          </w:p>
        </w:tc>
        <w:tc>
          <w:tcPr>
            <w:tcW w:w="18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171,053</w:t>
            </w:r>
          </w:p>
        </w:tc>
        <w:tc>
          <w:tcPr>
            <w:tcW w:w="4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227,519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241,284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8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50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None.</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 Inventories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40" w:type="dxa"/>
            <w:vAlign w:val="bottom"/>
            <w:gridSpan w:val="7"/>
          </w:tcPr>
          <w:p>
            <w:pPr>
              <w:ind w:left="520"/>
              <w:spacing w:after="0"/>
              <w:rPr>
                <w:sz w:val="20"/>
                <w:szCs w:val="20"/>
                <w:color w:val="auto"/>
              </w:rPr>
            </w:pPr>
            <w:r>
              <w:rPr>
                <w:rFonts w:ascii="Times New Roman" w:cs="Times New Roman" w:eastAsia="Times New Roman" w:hAnsi="Times New Roman"/>
                <w:sz w:val="18"/>
                <w:szCs w:val="18"/>
                <w:color w:val="auto"/>
              </w:rPr>
              <w:t>Inventories at April 30, 2022 and January 31, 2022 consisted of the following:</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80" w:type="dxa"/>
            <w:vAlign w:val="bottom"/>
          </w:tcPr>
          <w:p>
            <w:pPr>
              <w:spacing w:after="0"/>
              <w:rPr>
                <w:sz w:val="17"/>
                <w:szCs w:val="17"/>
                <w:color w:val="auto"/>
              </w:rPr>
            </w:pPr>
          </w:p>
        </w:tc>
        <w:tc>
          <w:tcPr>
            <w:tcW w:w="210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4"/>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32,892</w:t>
            </w:r>
          </w:p>
        </w:tc>
        <w:tc>
          <w:tcPr>
            <w:tcW w:w="880" w:type="dxa"/>
            <w:vAlign w:val="bottom"/>
            <w:gridSpan w:val="2"/>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25,844</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8,631</w:t>
            </w:r>
          </w:p>
        </w:tc>
        <w:tc>
          <w:tcPr>
            <w:tcW w:w="1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19,375</w:t>
            </w:r>
          </w:p>
        </w:tc>
        <w:tc>
          <w:tcPr>
            <w:tcW w:w="80" w:type="dxa"/>
            <w:vAlign w:val="bottom"/>
            <w:tcBorders>
              <w:bottom w:val="single" w:sz="8" w:color="CFF0FC"/>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right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41,523</w:t>
            </w:r>
          </w:p>
        </w:tc>
        <w:tc>
          <w:tcPr>
            <w:tcW w:w="1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45,219</w:t>
            </w:r>
          </w:p>
        </w:tc>
        <w:tc>
          <w:tcPr>
            <w:tcW w:w="80" w:type="dxa"/>
            <w:vAlign w:val="bottom"/>
            <w:tcBorders>
              <w:bottom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and Equipment, Net</w:t>
      </w:r>
    </w:p>
    <w:p>
      <w:pPr>
        <w:spacing w:after="0" w:line="121"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Depreciation expense was approximately $0.9 million and $0.6 million for the three months ended April 30, 2022 and 2021, respectively. Property and equipment at April 30, 2022 and January 31, 2022 consisted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740" w:type="dxa"/>
            <w:vAlign w:val="bottom"/>
            <w:tcBorders>
              <w:top w:val="single" w:sz="8" w:color="auto"/>
            </w:tcBorders>
            <w:gridSpan w:val="5"/>
          </w:tcPr>
          <w:p>
            <w:pPr>
              <w:jc w:val="right"/>
              <w:ind w:right="932"/>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17,133</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16,488</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(19,876)</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(19,131)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18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7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4. Intangible Assets, Net</w:t>
      </w:r>
    </w:p>
    <w:p>
      <w:pPr>
        <w:spacing w:after="0" w:line="121" w:lineRule="exact"/>
        <w:rPr>
          <w:sz w:val="20"/>
          <w:szCs w:val="20"/>
          <w:color w:val="auto"/>
        </w:rPr>
      </w:pPr>
    </w:p>
    <w:p>
      <w:pPr>
        <w:ind w:right="40" w:firstLine="635"/>
        <w:spacing w:after="0" w:line="282" w:lineRule="auto"/>
        <w:rPr>
          <w:sz w:val="20"/>
          <w:szCs w:val="20"/>
          <w:color w:val="auto"/>
        </w:rPr>
      </w:pPr>
      <w:r>
        <w:rPr>
          <w:rFonts w:ascii="Times New Roman" w:cs="Times New Roman" w:eastAsia="Times New Roman" w:hAnsi="Times New Roman"/>
          <w:sz w:val="18"/>
          <w:szCs w:val="18"/>
          <w:color w:val="auto"/>
        </w:rPr>
        <w:t>As of April 30, 2022, the intangible assets primarily consist of software licenses as well as developed technology, customer relationships and trade name that were acquired from business combinations.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enters into certain software license agreements with third parties from time-to-time. The software licenses consist of noncancelable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premise internal-use software and software with alternative use that is to be sold, leased or otherwise marketed as part of a product. The licenses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capitalized as intangible assets, and the corresponding future payments have been recorded as liabilities at net present value. As of April 30,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 million was recorded in accrued and other current liabilities and $0.6 million was recorded in other long-term liabilities in the condensed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sheets.</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intangible assets as of April 30, 2022 and January 31, 2022 were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As of April 30, 2022</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9"/>
          </w:tcPr>
          <w:p>
            <w:pPr>
              <w:ind w:left="500"/>
              <w:spacing w:after="0"/>
              <w:rPr>
                <w:sz w:val="20"/>
                <w:szCs w:val="20"/>
                <w:color w:val="auto"/>
              </w:rPr>
            </w:pPr>
            <w:r>
              <w:rPr>
                <w:rFonts w:ascii="Times New Roman" w:cs="Times New Roman" w:eastAsia="Times New Roman" w:hAnsi="Times New Roman"/>
                <w:sz w:val="14"/>
                <w:szCs w:val="14"/>
                <w:b w:val="1"/>
                <w:bCs w:val="1"/>
                <w:color w:val="auto"/>
              </w:rPr>
              <w:t>As of January 31, 2022</w:t>
            </w:r>
          </w:p>
        </w:tc>
        <w:tc>
          <w:tcPr>
            <w:tcW w:w="0" w:type="dxa"/>
            <w:vAlign w:val="bottom"/>
          </w:tcPr>
          <w:p>
            <w:pPr>
              <w:spacing w:after="0"/>
              <w:rPr>
                <w:sz w:val="1"/>
                <w:szCs w:val="1"/>
                <w:color w:val="auto"/>
              </w:rPr>
            </w:pPr>
          </w:p>
        </w:tc>
      </w:tr>
      <w:tr>
        <w:trPr>
          <w:trHeight w:val="131"/>
        </w:trPr>
        <w:tc>
          <w:tcPr>
            <w:tcW w:w="2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17"/>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120" w:type="dxa"/>
            <w:vAlign w:val="bottom"/>
            <w:tcBorders>
              <w:top w:val="single" w:sz="8" w:color="auto"/>
            </w:tcBorders>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120" w:type="dxa"/>
            <w:vAlign w:val="bottom"/>
            <w:tcBorders>
              <w:top w:val="single" w:sz="8" w:color="auto"/>
            </w:tcBorders>
            <w:gridSpan w:val="4"/>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1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1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4"/>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4"/>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licenses</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26,635</w:t>
            </w:r>
          </w:p>
        </w:tc>
        <w:tc>
          <w:tcPr>
            <w:tcW w:w="3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(11,331)</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63,535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58,993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(12,691</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During the three months ended April 30, 2022, there was approximately $4.9 million of software licenses purchased and approximately $0.4 million of software licenses retired. The amortization expense associated with software licenses was approximately $1.6 million and $1.5 million for the three months ended April 30, 2022 and 2021, respectively. The amortization expense associated with acquisition-related intangible assets, including developed technology, customer relationships and trade name, was approximately $1.2 million for the three months ended April 30, 2022. There was no acquisition-related amortization expense for the three months ended April 30, 2021. The expected future amortization expense related to these intangible assets as of April 30, 2022 is as follows:</w:t>
      </w:r>
    </w:p>
    <w:p>
      <w:pPr>
        <w:spacing w:after="0" w:line="4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520" w:type="dxa"/>
            <w:vAlign w:val="bottom"/>
            <w:vMerge w:val="restart"/>
          </w:tcPr>
          <w:p>
            <w:pPr>
              <w:spacing w:after="0"/>
              <w:rPr>
                <w:sz w:val="15"/>
                <w:szCs w:val="15"/>
                <w:color w:val="auto"/>
              </w:rPr>
            </w:pP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0" w:type="dxa"/>
            <w:vAlign w:val="bottom"/>
          </w:tcPr>
          <w:p>
            <w:pPr>
              <w:spacing w:after="0"/>
              <w:rPr>
                <w:sz w:val="1"/>
                <w:szCs w:val="1"/>
                <w:color w:val="auto"/>
              </w:rPr>
            </w:pPr>
          </w:p>
        </w:tc>
      </w:tr>
      <w:tr>
        <w:trPr>
          <w:trHeight w:val="147"/>
        </w:trPr>
        <w:tc>
          <w:tcPr>
            <w:tcW w:w="680" w:type="dxa"/>
            <w:vAlign w:val="bottom"/>
            <w:tcBorders>
              <w:bottom w:val="single" w:sz="8" w:color="auto"/>
            </w:tcBorders>
            <w:vMerge w:val="continue"/>
          </w:tcPr>
          <w:p>
            <w:pPr>
              <w:spacing w:after="0"/>
              <w:rPr>
                <w:sz w:val="12"/>
                <w:szCs w:val="12"/>
                <w:color w:val="auto"/>
              </w:rPr>
            </w:pPr>
          </w:p>
        </w:tc>
        <w:tc>
          <w:tcPr>
            <w:tcW w:w="4520" w:type="dxa"/>
            <w:vAlign w:val="bottom"/>
            <w:vMerge w:val="continue"/>
          </w:tcPr>
          <w:p>
            <w:pPr>
              <w:spacing w:after="0"/>
              <w:rPr>
                <w:sz w:val="12"/>
                <w:szCs w:val="12"/>
                <w:color w:val="auto"/>
              </w:rPr>
            </w:pPr>
          </w:p>
        </w:tc>
        <w:tc>
          <w:tcPr>
            <w:tcW w:w="2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center"/>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2023 (9 months remaining)</w:t>
            </w:r>
          </w:p>
        </w:tc>
        <w:tc>
          <w:tcPr>
            <w:tcW w:w="23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45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45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45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45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2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future amortization expenses:</w:t>
            </w:r>
          </w:p>
        </w:tc>
        <w:tc>
          <w:tcPr>
            <w:tcW w:w="2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0" w:firstLine="510"/>
        <w:spacing w:after="0" w:line="266" w:lineRule="auto"/>
        <w:rPr>
          <w:sz w:val="20"/>
          <w:szCs w:val="20"/>
          <w:color w:val="auto"/>
        </w:rPr>
      </w:pPr>
      <w:r>
        <w:rPr>
          <w:rFonts w:ascii="Times New Roman" w:cs="Times New Roman" w:eastAsia="Times New Roman" w:hAnsi="Times New Roman"/>
          <w:sz w:val="18"/>
          <w:szCs w:val="18"/>
          <w:color w:val="auto"/>
        </w:rPr>
        <w:t>The intangible assets are required to be tested for impairment at least annually in the fourth fiscal quarter or sooner whenever events or changes in circumstances indicate that the assets may be impaired. There were no intangible asset impairments for the three months ended April 30,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at April 30, 2022 and January 31, 2022 consisted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720" w:type="dxa"/>
            <w:vAlign w:val="bottom"/>
            <w:tcBorders>
              <w:top w:val="single" w:sz="8" w:color="auto"/>
            </w:tcBorders>
            <w:gridSpan w:val="4"/>
          </w:tcPr>
          <w:p>
            <w:pPr>
              <w:jc w:val="right"/>
              <w:ind w:right="93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30,044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 development costs</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current</w:t>
            </w: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3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39,354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52,064</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8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The timing of SoC development progress and payments to outside foundries resulted in fluctuation of the accrued product development costs. The decrease in employee compensation liabilities was primarily due to $10.9 million of annual bonus paid in the first quarter of fiscal year 2023, of which $3.2 million was paid in cash and $7.7 million was settled with restricted stock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9" w:lineRule="exact"/>
        <w:rPr>
          <w:sz w:val="20"/>
          <w:szCs w:val="20"/>
          <w:color w:val="auto"/>
        </w:rPr>
      </w:pPr>
    </w:p>
    <w:p>
      <w:pPr>
        <w:ind w:right="240" w:firstLine="468"/>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operating leases for its worldwide office facilities. The operating lease expense was approximately $0.9 million and $0.8 million for the three months ended April 30, 2022 and 2021, respectively. The Company's short-term leases and finance leases were not material as of April 30, 2022 and January 31, 2022, respectively.</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p>
      <w:pPr>
        <w:spacing w:after="0" w:line="32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6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April 30, 2022</w:t>
            </w:r>
          </w:p>
        </w:tc>
      </w:tr>
      <w:tr>
        <w:trPr>
          <w:trHeight w:val="155"/>
        </w:trPr>
        <w:tc>
          <w:tcPr>
            <w:tcW w:w="6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tcPr>
          <w:p>
            <w:pPr>
              <w:jc w:val="right"/>
              <w:ind w:right="621"/>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operating leases included in operating cash flows</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1,069</w:t>
            </w:r>
          </w:p>
        </w:tc>
      </w:tr>
      <w:tr>
        <w:trPr>
          <w:trHeight w:val="211"/>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information related to lease liabilities arising from obtaining right-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of-use assets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181"/>
              <w:spacing w:after="0"/>
              <w:rPr>
                <w:sz w:val="20"/>
                <w:szCs w:val="20"/>
                <w:color w:val="auto"/>
              </w:rPr>
            </w:pPr>
            <w:r>
              <w:rPr>
                <w:rFonts w:ascii="Times New Roman" w:cs="Times New Roman" w:eastAsia="Times New Roman" w:hAnsi="Times New Roman"/>
                <w:sz w:val="18"/>
                <w:szCs w:val="18"/>
                <w:color w:val="auto"/>
              </w:rPr>
              <w:t>87</w:t>
            </w:r>
          </w:p>
        </w:tc>
      </w:tr>
    </w:tbl>
    <w:p>
      <w:pPr>
        <w:spacing w:after="0" w:line="198" w:lineRule="exact"/>
        <w:rPr>
          <w:sz w:val="20"/>
          <w:szCs w:val="20"/>
          <w:color w:val="auto"/>
        </w:rPr>
      </w:pPr>
    </w:p>
    <w:p>
      <w:pPr>
        <w:ind w:right="560" w:firstLine="510"/>
        <w:spacing w:after="0" w:line="282" w:lineRule="auto"/>
        <w:rPr>
          <w:sz w:val="20"/>
          <w:szCs w:val="20"/>
          <w:color w:val="auto"/>
        </w:rPr>
      </w:pPr>
      <w:r>
        <w:rPr>
          <w:rFonts w:ascii="Times New Roman" w:cs="Times New Roman" w:eastAsia="Times New Roman" w:hAnsi="Times New Roman"/>
          <w:sz w:val="18"/>
          <w:szCs w:val="18"/>
          <w:color w:val="auto"/>
        </w:rPr>
        <w:t>As of April 30, 2022, the weighted average remaining lease term is 3.39 years, and the weighted average discount rate is 3.56 percent. Future minimum lease payments for the lease liabilities are as follows: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20" w:type="dxa"/>
            <w:vAlign w:val="bottom"/>
            <w:gridSpan w:val="2"/>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260" w:type="dxa"/>
            <w:vAlign w:val="bottom"/>
            <w:vMerge w:val="restart"/>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20" w:type="dxa"/>
            <w:vAlign w:val="bottom"/>
            <w:gridSpan w:val="2"/>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0" w:type="dxa"/>
            <w:vAlign w:val="bottom"/>
          </w:tcPr>
          <w:p>
            <w:pPr>
              <w:spacing w:after="0"/>
              <w:rPr>
                <w:sz w:val="1"/>
                <w:szCs w:val="1"/>
                <w:color w:val="auto"/>
              </w:rPr>
            </w:pPr>
          </w:p>
        </w:tc>
      </w:tr>
      <w:tr>
        <w:trPr>
          <w:trHeight w:val="147"/>
        </w:trPr>
        <w:tc>
          <w:tcPr>
            <w:tcW w:w="680" w:type="dxa"/>
            <w:vAlign w:val="bottom"/>
            <w:tcBorders>
              <w:bottom w:val="single" w:sz="8" w:color="auto"/>
            </w:tcBorders>
            <w:vMerge w:val="continue"/>
          </w:tcPr>
          <w:p>
            <w:pPr>
              <w:spacing w:after="0"/>
              <w:rPr>
                <w:sz w:val="12"/>
                <w:szCs w:val="12"/>
                <w:color w:val="auto"/>
              </w:rPr>
            </w:pPr>
          </w:p>
        </w:tc>
        <w:tc>
          <w:tcPr>
            <w:tcW w:w="426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tcPr>
          <w:p>
            <w:pPr>
              <w:jc w:val="right"/>
              <w:ind w:right="8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2023 (9 months remaining)</w:t>
            </w:r>
          </w:p>
        </w:tc>
        <w:tc>
          <w:tcPr>
            <w:tcW w:w="1720" w:type="dxa"/>
            <w:vAlign w:val="bottom"/>
            <w:gridSpan w:val="2"/>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4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4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4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4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12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future annual minimum lease payments</w:t>
            </w:r>
          </w:p>
        </w:tc>
        <w:tc>
          <w:tcPr>
            <w:tcW w:w="1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Less: interest</w:t>
            </w:r>
          </w:p>
        </w:tc>
        <w:tc>
          <w:tcPr>
            <w:tcW w:w="1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Long-Term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at April 30, 2022 and January 31, 2022 consisted of the following:</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37"/>
        </w:trPr>
        <w:tc>
          <w:tcPr>
            <w:tcW w:w="4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2022</w:t>
            </w:r>
          </w:p>
        </w:tc>
      </w:tr>
      <w:tr>
        <w:trPr>
          <w:trHeight w:val="155"/>
        </w:trPr>
        <w:tc>
          <w:tcPr>
            <w:tcW w:w="4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4"/>
          </w:tcPr>
          <w:p>
            <w:pPr>
              <w:jc w:val="right"/>
              <w:ind w:right="91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including interest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80" w:type="dxa"/>
            <w:vAlign w:val="bottom"/>
            <w:shd w:val="clear" w:color="auto" w:fill="CFF0FC"/>
          </w:tcPr>
          <w:p>
            <w:pPr>
              <w:spacing w:after="0"/>
              <w:rPr>
                <w:sz w:val="19"/>
                <w:szCs w:val="19"/>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non-current</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8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non-current</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80" w:type="dxa"/>
            <w:vAlign w:val="bottom"/>
            <w:shd w:val="clear" w:color="auto" w:fill="CFF0FC"/>
          </w:tcPr>
          <w:p>
            <w:pPr>
              <w:spacing w:after="0"/>
              <w:rPr>
                <w:sz w:val="19"/>
                <w:szCs w:val="19"/>
                <w:color w:val="auto"/>
              </w:rPr>
            </w:pPr>
          </w:p>
        </w:tc>
      </w:tr>
      <w:tr>
        <w:trPr>
          <w:trHeight w:val="230"/>
        </w:trPr>
        <w:tc>
          <w:tcPr>
            <w:tcW w:w="4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FF0FC"/>
            </w:tcBorders>
          </w:tcPr>
          <w:p>
            <w:pPr>
              <w:spacing w:after="0"/>
              <w:rPr>
                <w:sz w:val="19"/>
                <w:szCs w:val="19"/>
                <w:color w:val="auto"/>
              </w:rPr>
            </w:pPr>
          </w:p>
        </w:tc>
      </w:tr>
      <w:tr>
        <w:trPr>
          <w:trHeight w:val="223"/>
        </w:trPr>
        <w:tc>
          <w:tcPr>
            <w:tcW w:w="40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8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3" w:lineRule="exact"/>
        <w:rPr>
          <w:sz w:val="20"/>
          <w:szCs w:val="20"/>
          <w:color w:val="auto"/>
        </w:rPr>
      </w:pPr>
    </w:p>
    <w:p>
      <w:pPr>
        <w:ind w:left="520" w:right="9380" w:hanging="512"/>
        <w:spacing w:after="0" w:line="378" w:lineRule="auto"/>
        <w:tabs>
          <w:tab w:leader="none" w:pos="19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Stock </w:t>
      </w:r>
      <w:r>
        <w:rPr>
          <w:rFonts w:ascii="Times New Roman" w:cs="Times New Roman" w:eastAsia="Times New Roman" w:hAnsi="Times New Roman"/>
          <w:sz w:val="18"/>
          <w:szCs w:val="18"/>
          <w:b w:val="1"/>
          <w:bCs w:val="1"/>
          <w:i w:val="1"/>
          <w:iCs w:val="1"/>
          <w:color w:val="auto"/>
        </w:rPr>
        <w:t>Preference shares</w:t>
      </w:r>
    </w:p>
    <w:p>
      <w:pPr>
        <w:ind w:firstLine="510"/>
        <w:spacing w:after="0" w:line="282" w:lineRule="auto"/>
        <w:rPr>
          <w:sz w:val="20"/>
          <w:szCs w:val="20"/>
          <w:color w:val="auto"/>
        </w:rPr>
      </w:pPr>
      <w:r>
        <w:rPr>
          <w:rFonts w:ascii="Times New Roman" w:cs="Times New Roman" w:eastAsia="Times New Roman" w:hAnsi="Times New Roman"/>
          <w:sz w:val="18"/>
          <w:szCs w:val="18"/>
          <w:color w:val="auto"/>
        </w:rPr>
        <w:t>After completion of the Company’s initial public offering in 2012, a total of 20,000,000 preference shares, with a $0.00045 par value per share, were authorized. There were no preference shares issued and outstanding as of April 30, 2022 and January 31, 2022, respectively.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April 30, 2022 and January 31, 2022, a total of 200,000,000 ordinary shares were authorized.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ind w:right="240" w:firstLine="510"/>
        <w:spacing w:after="0" w:line="258" w:lineRule="auto"/>
        <w:rPr>
          <w:sz w:val="20"/>
          <w:szCs w:val="20"/>
          <w:color w:val="auto"/>
        </w:rPr>
      </w:pPr>
      <w:r>
        <w:rPr>
          <w:rFonts w:ascii="Times New Roman" w:cs="Times New Roman" w:eastAsia="Times New Roman" w:hAnsi="Times New Roman"/>
          <w:sz w:val="18"/>
          <w:szCs w:val="18"/>
          <w:color w:val="auto"/>
        </w:rPr>
        <w:t>In the first quarter of fiscal year 2023, the Company added 466,285 ordinary shares to the ordinary shares reserved for issuance, pursuant to an “evergreen” provision contained in the Amended and Restated 2012 Employee Stock Purchase Plan, or ESPP. Pursuant to such provision, for each fiscal year, the number of ordinary shares reserved for issuance under the ESPP is automatically increased by a number equal to the lesser of (i) 1,500,000 ordinary shares, (ii) one and one quarter percent (1.25%) of the aggregate number of ordinary shares outstanding on February 1st of each fiscal year, or (iii) an amount determined by the Company’s Board of Directors or a duly authorized committee of the Board of Directors.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April 30, 2022 and January 31, 2022, the following ordinary shares were reserved for future issuance under the Company’s equity plans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ESPP:</w:t>
      </w:r>
    </w:p>
    <w:p>
      <w:pPr>
        <w:spacing w:after="0" w:line="281"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64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4900" w:type="dxa"/>
            <w:vAlign w:val="bottom"/>
          </w:tcPr>
          <w:p>
            <w:pPr>
              <w:spacing w:after="0"/>
              <w:rPr>
                <w:sz w:val="13"/>
                <w:szCs w:val="13"/>
                <w:color w:val="auto"/>
              </w:rPr>
            </w:pPr>
          </w:p>
        </w:tc>
        <w:tc>
          <w:tcPr>
            <w:tcW w:w="1640" w:type="dxa"/>
            <w:vAlign w:val="bottom"/>
            <w:gridSpan w:val="3"/>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April 30, 2022</w:t>
            </w:r>
          </w:p>
        </w:tc>
        <w:tc>
          <w:tcPr>
            <w:tcW w:w="1240" w:type="dxa"/>
            <w:vAlign w:val="bottom"/>
          </w:tcPr>
          <w:p>
            <w:pPr>
              <w:jc w:val="right"/>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2022</w:t>
            </w:r>
          </w:p>
        </w:tc>
        <w:tc>
          <w:tcPr>
            <w:tcW w:w="80" w:type="dxa"/>
            <w:vAlign w:val="bottom"/>
          </w:tcPr>
          <w:p>
            <w:pPr>
              <w:spacing w:after="0"/>
              <w:rPr>
                <w:sz w:val="13"/>
                <w:szCs w:val="13"/>
                <w:color w:val="auto"/>
              </w:rPr>
            </w:pPr>
          </w:p>
        </w:tc>
      </w:tr>
      <w:tr>
        <w:trPr>
          <w:trHeight w:val="205"/>
        </w:trPr>
        <w:tc>
          <w:tcPr>
            <w:tcW w:w="490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Shares reserved for options, restricted stock and</w:t>
            </w:r>
          </w:p>
        </w:tc>
        <w:tc>
          <w:tcPr>
            <w:tcW w:w="14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34"/>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stock units under equity plans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6,724,308</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7,461,541</w:t>
            </w:r>
          </w:p>
        </w:tc>
        <w:tc>
          <w:tcPr>
            <w:tcW w:w="80" w:type="dxa"/>
            <w:vAlign w:val="bottom"/>
            <w:shd w:val="clear" w:color="auto" w:fill="CFF0FC"/>
          </w:tcPr>
          <w:p>
            <w:pPr>
              <w:spacing w:after="0"/>
              <w:rPr>
                <w:sz w:val="20"/>
                <w:szCs w:val="20"/>
                <w:color w:val="auto"/>
              </w:rPr>
            </w:pP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ESPP</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3,047,444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2,624,704</w:t>
            </w:r>
          </w:p>
        </w:tc>
        <w:tc>
          <w:tcPr>
            <w:tcW w:w="80" w:type="dxa"/>
            <w:vAlign w:val="bottom"/>
          </w:tcPr>
          <w:p>
            <w:pPr>
              <w:spacing w:after="0"/>
              <w:rPr>
                <w:sz w:val="20"/>
                <w:szCs w:val="20"/>
                <w:color w:val="auto"/>
              </w:rPr>
            </w:pPr>
          </w:p>
        </w:tc>
      </w:tr>
    </w:tbl>
    <w:p>
      <w:pPr>
        <w:spacing w:after="0" w:line="2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purchase program</w:t>
      </w:r>
    </w:p>
    <w:p>
      <w:pPr>
        <w:spacing w:after="0" w:line="229"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No ordinary shares were repurchased in the three months ended April 30, 2022. As of April 30, 2022, $49.0 million remained available for repurchases under the current repurchase program through June 30, 2022. Repurchases under the program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classification of stock-based compensation for the periods indicated:</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183"/>
        </w:trPr>
        <w:tc>
          <w:tcPr>
            <w:tcW w:w="4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r>
      <w:tr>
        <w:trPr>
          <w:trHeight w:val="155"/>
        </w:trPr>
        <w:tc>
          <w:tcPr>
            <w:tcW w:w="4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gridSpan w:val="5"/>
          </w:tcPr>
          <w:p>
            <w:pPr>
              <w:ind w:left="66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57"/>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8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tcPr>
          <w:p>
            <w:pPr>
              <w:spacing w:after="0"/>
              <w:rPr>
                <w:sz w:val="22"/>
                <w:szCs w:val="22"/>
                <w:color w:val="auto"/>
              </w:rPr>
            </w:pPr>
          </w:p>
        </w:tc>
      </w:tr>
      <w:tr>
        <w:trPr>
          <w:trHeight w:val="230"/>
        </w:trPr>
        <w:tc>
          <w:tcPr>
            <w:tcW w:w="4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11,194</w:t>
            </w:r>
          </w:p>
        </w:tc>
        <w:tc>
          <w:tcPr>
            <w:tcW w:w="200" w:type="dxa"/>
            <w:vAlign w:val="bottom"/>
            <w:shd w:val="clear" w:color="auto" w:fill="CFF0FC"/>
          </w:tcPr>
          <w:p>
            <w:pPr>
              <w:spacing w:after="0"/>
              <w:rPr>
                <w:sz w:val="19"/>
                <w:szCs w:val="19"/>
                <w:color w:val="auto"/>
              </w:rPr>
            </w:pPr>
          </w:p>
        </w:tc>
      </w:tr>
      <w:tr>
        <w:trPr>
          <w:trHeight w:val="256"/>
        </w:trPr>
        <w:tc>
          <w:tcPr>
            <w:tcW w:w="40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200" w:type="dxa"/>
            <w:vAlign w:val="bottom"/>
            <w:tcBorders>
              <w:bottom w:val="single" w:sz="8" w:color="CFF0FC"/>
            </w:tcBorders>
          </w:tcPr>
          <w:p>
            <w:pPr>
              <w:spacing w:after="0"/>
              <w:rPr>
                <w:sz w:val="22"/>
                <w:szCs w:val="22"/>
                <w:color w:val="auto"/>
              </w:rPr>
            </w:pPr>
          </w:p>
        </w:tc>
      </w:tr>
      <w:tr>
        <w:trPr>
          <w:trHeight w:val="223"/>
        </w:trPr>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27,041</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18,842</w:t>
            </w:r>
          </w:p>
        </w:tc>
        <w:tc>
          <w:tcPr>
            <w:tcW w:w="200" w:type="dxa"/>
            <w:vAlign w:val="bottom"/>
            <w:tcBorders>
              <w:bottom w:val="single" w:sz="8" w:color="CFF0FC"/>
            </w:tcBorders>
            <w:shd w:val="clear" w:color="auto" w:fill="CFF0FC"/>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10"/>
        <w:spacing w:after="0" w:line="273" w:lineRule="auto"/>
        <w:rPr>
          <w:sz w:val="20"/>
          <w:szCs w:val="20"/>
          <w:color w:val="auto"/>
        </w:rPr>
      </w:pPr>
      <w:r>
        <w:rPr>
          <w:rFonts w:ascii="Times New Roman" w:cs="Times New Roman" w:eastAsia="Times New Roman" w:hAnsi="Times New Roman"/>
          <w:sz w:val="17"/>
          <w:szCs w:val="17"/>
          <w:color w:val="auto"/>
        </w:rPr>
        <w:t>As of April 30, 2022, approximately $1.0 million of stock-based compensation expense was accrued and reflected under accrued and other current liabilities in the condensed consolidated balance sheets. Total unrecognized compensation cost related to unvested stock options at April 30, 2022 was $24.8 million and is expected to be recognized over a weighted-average period of 2.39 years. Total unrecognized compensation cost related to unvested restricted stock units at April 30, 2022 was $207.1 million and is expected to be recognized over a weighted-average period of 2.43 years. In April 2022, the Company’s Compensation Committee of the Board of Directors approved the acceleration of vesting of 35,703 shares of unvested equity awards associated with the departure of Mr. Casey Eichler, who was the Company’s Chief Financial Officer until March 2022. As a result, there was approximately $1.7 million of additional stock-based compensation expense, net related to the departure recognized during the three months ended April 30, 2022.</w:t>
      </w:r>
    </w:p>
    <w:p>
      <w:pPr>
        <w:spacing w:after="0" w:line="171"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weighted-average assumptions used to estimate the fair value of stock options and employee stock purchase plan awards for the periods indicated: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tcBorders>
              <w:bottom w:val="single" w:sz="8" w:color="auto"/>
            </w:tcBorders>
            <w:gridSpan w:val="8"/>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Volatility</w:t>
            </w: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0.99%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term (years)</w:t>
            </w: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Dividend yield</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6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Employee stock purchase plan awards:</w:t>
            </w: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Volatility</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Expected term (years)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w w:val="88"/>
              </w:rPr>
              <w:t>0.5</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 yield</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820" w:type="dxa"/>
            <w:vAlign w:val="bottom"/>
            <w:gridSpan w:val="8"/>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activities for the period indicated:</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Option Outstanding</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Intrinsic</w:t>
            </w:r>
          </w:p>
        </w:tc>
        <w:tc>
          <w:tcPr>
            <w:tcW w:w="10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0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20" w:type="dxa"/>
            <w:vAlign w:val="bottom"/>
            <w:gridSpan w:val="2"/>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gridSpan w:val="2"/>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10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20"/>
                <w:szCs w:val="20"/>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20" w:type="dxa"/>
            <w:vAlign w:val="bottom"/>
            <w:gridSpan w:val="2"/>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20"/>
                <w:szCs w:val="20"/>
                <w:color w:val="auto"/>
              </w:rPr>
            </w:pPr>
          </w:p>
        </w:tc>
        <w:tc>
          <w:tcPr>
            <w:tcW w:w="10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60" w:type="dxa"/>
            <w:vAlign w:val="bottom"/>
          </w:tcPr>
          <w:p>
            <w:pPr>
              <w:spacing w:after="0"/>
              <w:rPr>
                <w:sz w:val="20"/>
                <w:szCs w:val="20"/>
                <w:color w:val="auto"/>
              </w:rPr>
            </w:pPr>
          </w:p>
        </w:tc>
        <w:tc>
          <w:tcPr>
            <w:tcW w:w="106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31, 2022</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619,322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right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(37,536)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Expired</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43.35</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April 30, 2022</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38,249</w:t>
            </w: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April 30, 2022</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390,006</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24,711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ordinary shares on April 30, 2022 was $82.08, as reported by The NASDAQ Global Market. The intrinsic value of exercised options is calculated based on the difference between the fair market value of the Company’s ordinary shares on the exercise date and the exercise price.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units activities for the period indicated:</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73"/>
        </w:trPr>
        <w:tc>
          <w:tcPr>
            <w:tcW w:w="540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2022</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2,651,135</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615,737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80" w:type="dxa"/>
            <w:vAlign w:val="bottom"/>
          </w:tcPr>
          <w:p>
            <w:pPr>
              <w:spacing w:after="0"/>
              <w:rPr>
                <w:sz w:val="19"/>
                <w:szCs w:val="19"/>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(698,980)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80" w:type="dxa"/>
            <w:vAlign w:val="bottom"/>
            <w:shd w:val="clear" w:color="auto" w:fill="CFF0FC"/>
          </w:tcPr>
          <w:p>
            <w:pPr>
              <w:spacing w:after="0"/>
              <w:rPr>
                <w:sz w:val="19"/>
                <w:szCs w:val="19"/>
                <w:color w:val="auto"/>
              </w:rPr>
            </w:pPr>
          </w:p>
        </w:tc>
      </w:tr>
      <w:tr>
        <w:trPr>
          <w:trHeight w:val="229"/>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(68,007)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80" w:type="dxa"/>
            <w:vAlign w:val="bottom"/>
          </w:tcPr>
          <w:p>
            <w:pPr>
              <w:spacing w:after="0"/>
              <w:rPr>
                <w:sz w:val="19"/>
                <w:szCs w:val="19"/>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April 30, 2022</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2,499,885</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April 30, 2022, the aggregate intrinsic value of unvested restricted stock units was $205.2 million.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10. Net Loss Per Ordinary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ordinary share for the periods indicated:</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95"/>
        </w:trPr>
        <w:tc>
          <w:tcPr>
            <w:tcW w:w="4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40" w:type="dxa"/>
            <w:vAlign w:val="bottom"/>
            <w:gridSpan w:val="5"/>
          </w:tcPr>
          <w:p>
            <w:pPr>
              <w:jc w:val="right"/>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data)</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(10,822)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(10,818)</w:t>
            </w:r>
          </w:p>
        </w:tc>
        <w:tc>
          <w:tcPr>
            <w:tcW w:w="0" w:type="dxa"/>
            <w:vAlign w:val="bottom"/>
          </w:tcPr>
          <w:p>
            <w:pPr>
              <w:spacing w:after="0"/>
              <w:rPr>
                <w:sz w:val="1"/>
                <w:szCs w:val="1"/>
                <w:color w:val="auto"/>
              </w:rPr>
            </w:pPr>
          </w:p>
        </w:tc>
      </w:tr>
      <w:tr>
        <w:trPr>
          <w:trHeight w:val="210"/>
        </w:trPr>
        <w:tc>
          <w:tcPr>
            <w:tcW w:w="4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4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ordinary shares - basic</w:t>
            </w:r>
          </w:p>
        </w:tc>
        <w:tc>
          <w:tcPr>
            <w:tcW w:w="96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37,715,338</w:t>
            </w:r>
          </w:p>
        </w:tc>
        <w:tc>
          <w:tcPr>
            <w:tcW w:w="18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35,940,304</w:t>
            </w:r>
          </w:p>
        </w:tc>
        <w:tc>
          <w:tcPr>
            <w:tcW w:w="2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ordinary shares - diluted</w:t>
            </w:r>
          </w:p>
        </w:tc>
        <w:tc>
          <w:tcPr>
            <w:tcW w:w="9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37,715,338</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35,940,304</w:t>
            </w:r>
          </w:p>
        </w:tc>
        <w:tc>
          <w:tcPr>
            <w:tcW w:w="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ordinary share:</w:t>
            </w: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(0.29)</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(0.29)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The following weighted-average potentially dilutive securities were excluded from the computation of diluted loss per ordinary share as their effect would have been antidilutive: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506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auto"/>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411,941</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427,861</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7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Restricted stock units</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1,776,820</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1,786,252</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11,010</w:t>
            </w: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22,870</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2,199,771</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2,236,983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Income Taxes</w:t>
            </w: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7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of income taxes for the periods indicated: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17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6"/>
          </w:tcPr>
          <w:p>
            <w:pPr>
              <w:jc w:val="right"/>
              <w:ind w:right="88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(10,412)</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(9,543)</w:t>
            </w:r>
          </w:p>
        </w:tc>
        <w:tc>
          <w:tcPr>
            <w:tcW w:w="0" w:type="dxa"/>
            <w:vAlign w:val="bottom"/>
          </w:tcPr>
          <w:p>
            <w:pPr>
              <w:spacing w:after="0"/>
              <w:rPr>
                <w:sz w:val="1"/>
                <w:szCs w:val="1"/>
                <w:color w:val="auto"/>
              </w:rPr>
            </w:pPr>
          </w:p>
        </w:tc>
      </w:tr>
      <w:tr>
        <w:trPr>
          <w:trHeight w:val="256"/>
        </w:trPr>
        <w:tc>
          <w:tcPr>
            <w:tcW w:w="67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00" w:type="dxa"/>
            <w:vAlign w:val="bottom"/>
          </w:tcPr>
          <w:p>
            <w:pPr>
              <w:spacing w:after="0"/>
              <w:rPr>
                <w:sz w:val="22"/>
                <w:szCs w:val="22"/>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recorded an income tax provision of $0.4 million and $1.3 million for the three months ended April 30, 2022 and 2021,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income tax expense was primarily due to an increase in the proportion of profits generated in lower tax jurisdictions.</w:t>
      </w:r>
    </w:p>
    <w:p>
      <w:pPr>
        <w:spacing w:after="0" w:line="207"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The Company files federal and state income tax returns in the United States and in various foreign jurisdictions. The Internal Revenue Service is currently examining the Company’s U.S. federal income tax return for the fiscal year ended January 31, 2017. The tax years 2013 to 2021 remain open to examination by U.S. federal tax authorities. The tax years 2009 to 2021 remain open to examination by U.S. state tax authorities. The tax years 2015 to 2021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83"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Company regularly assesses the likelihood of adverse outcomes resulting from potential tax examinations to determine the adequacy of its provision for income taxes. These assessments can require considerable estimates and judgments. As of April 30, 2022, the gross amount of unrecognized tax benefits was approximately $31.1 million.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The Company does not anticipate significant changes to its uncertain tax positions during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ind w:left="520" w:right="7880" w:hanging="512"/>
        <w:spacing w:after="0" w:line="532" w:lineRule="auto"/>
        <w:tabs>
          <w:tab w:leader="none" w:pos="28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Contract Manufacturer Commitments</w:t>
      </w:r>
    </w:p>
    <w:p>
      <w:pPr>
        <w:spacing w:after="0" w:line="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the third-party manufacturers. These manufacturing purchase commitments typically provide the Company with flexibility to cancel, reschedule or adjust requirements based upon business needs but the Company may incur certain costs depending on the production stage of the products. As of April 30, 2022 and January 31, 2022, total manufacturing purchase commitments were approximately $66.3 million and $71.5 million, respectively. The Company also reviews and assesses the need for any expected loss liabilities on a quarterly basis for all products that it does not expect to sell for which it has committed purchases from suppliers. As of April 30, 2022 and January 31, 2022, there were no material loss liabilities recorded in the condensed consolidated balance sheets from adverse purchase commitments.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and no liabilities have been recorded for these obligations in the condensed consolidated balance sheets as of April 30, 2022 and January 31, 2022, respectively.</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121" w:lineRule="exact"/>
        <w:rPr>
          <w:sz w:val="20"/>
          <w:szCs w:val="20"/>
          <w:color w:val="auto"/>
        </w:rPr>
      </w:pPr>
    </w:p>
    <w:p>
      <w:pPr>
        <w:ind w:right="280" w:firstLine="510"/>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reportable segment related to the development and sales of low-power, high-definition (HD), Ultra HD video compression, image processing and computer vision solutions. The Chief Executive Officer of the Company has been identified as the Chief Operating Decision Maker (the “CODM”) and manages the Company’s operations as a whole. For the purpose of evaluating financial performance and allocating resources, the CODM reviews financial information presented on a consolidated basis accompanied by information by customer and geographic region.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Company’s revenue by geographic region based on bill-to location for the periods indicated:</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700" w:type="dxa"/>
            <w:vAlign w:val="bottom"/>
            <w:tcBorders>
              <w:bottom w:val="single" w:sz="8" w:color="auto"/>
            </w:tcBorders>
            <w:gridSpan w:val="5"/>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4160" w:type="dxa"/>
            <w:vAlign w:val="bottom"/>
          </w:tcPr>
          <w:p>
            <w:pPr>
              <w:spacing w:after="0"/>
              <w:rPr>
                <w:sz w:val="15"/>
                <w:szCs w:val="15"/>
                <w:color w:val="auto"/>
              </w:rPr>
            </w:pP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55"/>
        </w:trPr>
        <w:tc>
          <w:tcPr>
            <w:tcW w:w="4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4"/>
          </w:tcPr>
          <w:p>
            <w:pPr>
              <w:jc w:val="right"/>
              <w:ind w:right="464"/>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228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53,636</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44,587</w:t>
            </w:r>
          </w:p>
        </w:tc>
        <w:tc>
          <w:tcPr>
            <w:tcW w:w="240" w:type="dxa"/>
            <w:vAlign w:val="bottom"/>
            <w:shd w:val="clear" w:color="auto" w:fill="CFF0FC"/>
          </w:tcPr>
          <w:p>
            <w:pPr>
              <w:spacing w:after="0"/>
              <w:rPr>
                <w:sz w:val="19"/>
                <w:szCs w:val="19"/>
                <w:color w:val="auto"/>
              </w:rPr>
            </w:pPr>
          </w:p>
        </w:tc>
      </w:tr>
      <w:tr>
        <w:trPr>
          <w:trHeight w:val="25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21,555</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18,637</w:t>
            </w:r>
          </w:p>
        </w:tc>
        <w:tc>
          <w:tcPr>
            <w:tcW w:w="240" w:type="dxa"/>
            <w:vAlign w:val="bottom"/>
          </w:tcPr>
          <w:p>
            <w:pPr>
              <w:spacing w:after="0"/>
              <w:rPr>
                <w:sz w:val="22"/>
                <w:szCs w:val="22"/>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240" w:type="dxa"/>
            <w:vAlign w:val="bottom"/>
            <w:shd w:val="clear" w:color="auto" w:fill="CFF0FC"/>
          </w:tcPr>
          <w:p>
            <w:pPr>
              <w:spacing w:after="0"/>
              <w:rPr>
                <w:sz w:val="19"/>
                <w:szCs w:val="19"/>
                <w:color w:val="auto"/>
              </w:rPr>
            </w:pPr>
          </w:p>
        </w:tc>
      </w:tr>
      <w:tr>
        <w:trPr>
          <w:trHeight w:val="25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 other than United States</w:t>
            </w:r>
          </w:p>
        </w:tc>
        <w:tc>
          <w:tcPr>
            <w:tcW w:w="1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40" w:type="dxa"/>
            <w:vAlign w:val="bottom"/>
          </w:tcPr>
          <w:p>
            <w:pPr>
              <w:spacing w:after="0"/>
              <w:rPr>
                <w:sz w:val="22"/>
                <w:szCs w:val="22"/>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40" w:type="dxa"/>
            <w:vAlign w:val="bottom"/>
            <w:shd w:val="clear" w:color="auto" w:fill="CFF0FC"/>
          </w:tcPr>
          <w:p>
            <w:pPr>
              <w:spacing w:after="0"/>
              <w:rPr>
                <w:sz w:val="19"/>
                <w:szCs w:val="19"/>
                <w:color w:val="auto"/>
              </w:rPr>
            </w:pPr>
          </w:p>
        </w:tc>
      </w:tr>
      <w:tr>
        <w:trPr>
          <w:trHeight w:val="223"/>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320" w:type="dxa"/>
            <w:vAlign w:val="bottom"/>
          </w:tcPr>
          <w:p>
            <w:pPr>
              <w:spacing w:after="0"/>
              <w:rPr>
                <w:sz w:val="19"/>
                <w:szCs w:val="19"/>
                <w:color w:val="auto"/>
              </w:rPr>
            </w:pPr>
          </w:p>
        </w:tc>
        <w:tc>
          <w:tcPr>
            <w:tcW w:w="96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90,305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70,133</w:t>
            </w:r>
          </w:p>
        </w:tc>
        <w:tc>
          <w:tcPr>
            <w:tcW w:w="24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90"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As of April 30, 2022, substantially all of the Company’s property and equipment were located in the Asia Pacific region, United States and Europe with approximate net amounts of $5.4 million, $3.2 million and $1.5 million, respectively.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customers representing 10% or more of revenue were WT, Chicony, and Hakuto, which accounted for approximately 57%, 11%, and 10% of total revenue for the three months ended April 30, 2022, respectively. For the three months ended April 30, 2021, the customers representing 10% or more of revenue were WT and Chicony, which accounted for approximately 63% and 16% of total revenue, respectively. Accounts receivable with WT, Chicony, and Hakuto were approximately $3.1 million, $10.5 million, and $0.6 million as of April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On May 27, 2022, the Company’s Board of Directors approved an extension of the current share repurchase program for an additional twelve months ending June 30, 2023. The repurchase program does not obligate the Company to acquire any particular amount of ordinary shares, and it may be suspended at any time at the Company’s discretion. As of June 7, 2022, there was approximately $49.0 million remained available for repurchases under the repurchase program through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the consolidated financial statements and notes thereto for the fiscal year ended January 31, 2022 and management’s discussion and analysis of our financial condition and results of operations included in our Annual Report on Form 10-K for the 2022 fiscal year filed with the Securities and Exchange Commission, or SEC, on April 1, 2022.</w:t>
      </w:r>
    </w:p>
    <w:p>
      <w:pPr>
        <w:spacing w:after="0" w:line="183"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including this “Management’s Discussion and Analysis of Financial Condition and Results of Operations”, includes a number of forward-looking statements that involve many risks and uncertainties. Forward-looking statements are identified by the use of the words “would,” “could,” “will,” “may,” “expect,” “believe,” “should,” “anticipate,” “outlook,” “if,” “future,” “intend,” “plan,” “estimate,” “predict,” “potential,” “target,” “seek,” “project,” “forecast,” “continue” or “foreseeable” and similar words and phrases, including the negatives of these terms, or other variations of these terms, that denote future events. Such statements include, but are not limited to, statements concerning our market opportunity and our ability to compete in such markets, our product strategy, our ability to develop and introduce new solutions, our future financial and operating performance, our sales and marketing strategy, our investment strategy, research and development, our customer and supplier relationships and inventory levels, industry trends, our cash needs and capital requirements, our repurchase programs, our expectations about taxes, operating expenses, and cost recognition, the availability of third-party components and economic and political conditions.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Quarterly Report on Form 10-Q. These factors include, but are not limited to: risks associated with revenue being generated from new customers or design wins, neither of which is assured; our ability to retain and expand customer relationships and to achieve design wins; the ongoing and potential impact of the COVID-19 pandemic on our operations or the operations of our supply chain or our customers; risks associated with the overall economy, including escalating trade tensions between the U.S. and China; the commercial success of our customers’ products; our growth strategy; fluctuations in our operating results;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or seek to operate; our expectations regarding computer vision; our ability to effectively generate and manage growth; our ability to retain key employees; the potential for intellectual property disputes or other litigation; the risks described under Item 1A of Part II — “Risk Factors,” and Item 2 of Part I — “Management’s Discussion and Analysis of Financial Condition and Results of Operations”; the risks described elsewhere in this Quarterly Report on Form 10-Q and those discussed in other documents we file with the SEC. We make these forward-looking statements based upon information available on the date of this Quarterly Report on Form 10-Q, and we have no obligation (and expressly disclaim any such obligation) to update or alter any forward-looking statements, whether as a result of new information or otherwise except as otherwise required by securities regulations.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We are a leading developer of low-power system-on-a-chip, or SoC, semiconductors providing powerful artificial intelligence, or AI, processing, advanced image signal processing and high-resolution video compression. Since inception, we have primarily served human viewing applications with video and image processors for enterprise, public infrastructure and home applications, such as internet protocol, or IP, security cameras, sports cameras, wearables, aerial drones, and aftermarket automotive video recorders. Our recent development efforts have focused on creating advanced AI technology that enables edge devices to visually perceive the environment and make decisions based on the data collected from cameras and, most recently, other types of sensors. This category of AI technology is known as computer vision, or CV, and our CV SoCs integrate our state-of-the-art video processor technology together with our deep learning neural network processing technology, which we refer to as CVflow™. The CVflow-architecture supports a variety of CV algorithms, including object detection, classification and tracking, semantic and instance segmentation, image processing, stereo object detection, terrain mapping, and face recognition. CVflow can process other sensor modalities including lidar and radar, and allows customers to differentiate their products by porting their own, or third party, neural networks and/or classical CV algorithms to our CVflow-based SoCs. Our SoC designs fully integrate AI, computer vision functionality, HD video processing, image processing, audio processing, and system functions onto a single chip, delivering exceptional video and image quality at high compression rates, differentiated functionality and low power consumption. These CV-based technologies are allowing us to address a broader range of markets and applications requiring AI video features, including IP security cameras, a variety of automotive cameras, consumer cameras, and industrial and robotic markets and applications. We anticipate that our CV technology will also enable us to capture more content per electronic system and increase our average selling price.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ind w:firstLine="510"/>
        <w:spacing w:after="0" w:line="255" w:lineRule="auto"/>
        <w:rPr>
          <w:sz w:val="20"/>
          <w:szCs w:val="20"/>
          <w:color w:val="auto"/>
        </w:rPr>
      </w:pPr>
      <w:r>
        <w:rPr>
          <w:rFonts w:ascii="Times New Roman" w:cs="Times New Roman" w:eastAsia="Times New Roman" w:hAnsi="Times New Roman"/>
          <w:sz w:val="18"/>
          <w:szCs w:val="18"/>
          <w:color w:val="auto"/>
        </w:rPr>
        <w:t>Our development efforts are focused on SoCs that provide both human viewing and computer vision functionality. As a result, we believe that our future revenue growth, if any, will significantly depend upon our ability to expand within camera markets with our AI and computer vision technology, particularly in the professional IP security and home security and monitoring camera markets, as well as emerging markets such as AI-enabled security cameras, AI-based driving applications, including driver monitoring systems, advanced blind spot detection, object detection, and deep learning algorithms for HD mapping solutions, OEM automotive advanced driver assistance systems, or ADAS, applications, and industrial and robotics markets. We expect our research and development expenditures to increase in comparison to prior periods as we devote additional resources to the development of innovative video and image processing solutions with increased functionality, such as AI and CV capabilities, and as we target new markets.</w:t>
      </w:r>
    </w:p>
    <w:p>
      <w:pPr>
        <w:spacing w:after="0" w:line="189"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We sell our SoC solutions to leading original design manufacturers, or ODMs, and OEMs globally, and in the automotive market, we also sell to Tier-1 suppliers. We refer to ODMs and Tier-1 automotive suppliers as our customers and OEMs as our end customers, except as otherwise indicated or as the context otherwise requires.</w:t>
      </w:r>
    </w:p>
    <w:p>
      <w:pPr>
        <w:spacing w:after="0" w:line="176"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187"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Volume production may begin within 9 to 18 months after a design win, depending on the complexity of our customer’s product and other factors upon which we may have little or no influence. In general, design cycles will be longer in the OEM automotive and industrial and robotics markets than in the IP security and consumer device markets.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 portable consumer device typically has a product life cycle of 6 to 18 months, while an IP security camera typically has a product life cycle of 12 to 24 months. We anticipate that product lifecycles will typically be longer than 24 months in the OEM automotive and industrial and robotics markets, as new product introductions occur less frequently in these markets.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 and Trends</w:t>
      </w:r>
    </w:p>
    <w:p>
      <w:pPr>
        <w:spacing w:after="0" w:line="121" w:lineRule="exact"/>
        <w:rPr>
          <w:sz w:val="20"/>
          <w:szCs w:val="20"/>
          <w:color w:val="auto"/>
        </w:rPr>
      </w:pPr>
    </w:p>
    <w:p>
      <w:pPr>
        <w:ind w:left="1520" w:right="80" w:hanging="500"/>
        <w:spacing w:after="0" w:line="253" w:lineRule="auto"/>
        <w:tabs>
          <w:tab w:leader="none" w:pos="1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revenue of $90.3 million for the three months ended April 30, 2022, an increase of 28.8% as compared to the same period in the prior fiscal year. The increase was primarily attributable to higher revenue in the professional IP security and automotive OEM sensing and fleet markets. In the professional IP security market, strong growth in the North America and Asia regions other than China, together with continued sales penetration into the Europe region, resulted in a significant revenue increase in this market. In the automotive markets, continued demand for our SoCs and applications in the automotive OEM sensing and fleet markets contributed to an increase in revenue. The increased revenue was partially offset by decreased revenue in consumer-related markets, including home IP security, automotive aftermarket and consumer markets, primarily due to decreased consumer demand from the impact of pandemic lockdowns in China. Despite lower demand from the China region, our computer vision-based solutions demonstrated a strong revenue growth in the first quarter of fiscal year 2023, representing continued adoption of our CV-based solutions by customers.</w:t>
      </w:r>
    </w:p>
    <w:p>
      <w:pPr>
        <w:spacing w:after="0" w:line="86" w:lineRule="exact"/>
        <w:rPr>
          <w:rFonts w:ascii="Times New Roman" w:cs="Times New Roman" w:eastAsia="Times New Roman" w:hAnsi="Times New Roman"/>
          <w:sz w:val="18"/>
          <w:szCs w:val="18"/>
          <w:color w:val="auto"/>
        </w:rPr>
      </w:pPr>
    </w:p>
    <w:p>
      <w:pPr>
        <w:ind w:left="1520" w:right="120" w:hanging="500"/>
        <w:spacing w:after="0" w:line="256" w:lineRule="auto"/>
        <w:tabs>
          <w:tab w:leader="none" w:pos="1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an operating loss of $10.5 million for the three months ended April 30, 2022, as compared to an operating loss of $10.1 million for the three months ended April 30, 2021. The increased operating loss was primarily due to increased operating expenses, partially offset by increased revenue and gross profit. The increased operating expenses primarily related to increased personnel costs associated with headcount growth and benefit programs, as well as increased engineering-related costs for supporting automotive, robotic and industrial applications of our CV-based solutions, partially offset by decreased chip tape-out costs due to the timing and number of chips in development.</w:t>
      </w:r>
    </w:p>
    <w:p>
      <w:pPr>
        <w:spacing w:after="0" w:line="79" w:lineRule="exact"/>
        <w:rPr>
          <w:rFonts w:ascii="Times New Roman" w:cs="Times New Roman" w:eastAsia="Times New Roman" w:hAnsi="Times New Roman"/>
          <w:sz w:val="18"/>
          <w:szCs w:val="18"/>
          <w:color w:val="auto"/>
        </w:rPr>
      </w:pPr>
    </w:p>
    <w:p>
      <w:pPr>
        <w:ind w:left="1520" w:right="60" w:hanging="500"/>
        <w:spacing w:after="0" w:line="258" w:lineRule="auto"/>
        <w:tabs>
          <w:tab w:leader="none" w:pos="1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cash inflows from operating activities of $33.6 million for the three months ended April 30, 2022, as compared to cash outflows from operating activities of $4.5 million for the three months ended April 30, 2021. The increased cash flows from operating activities were primarily related to decreased accounts receivable associated with the timing of sales and lower inventory purchases due to pandemic lockdowns in China resulting in disrupted orders and shipments throughout the Asia supply chain, partially offset by decreased liabilities associated with employee benefit payments and the timing of payments to our suppliers.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7"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Impact of COVID-19 on our Business. </w:t>
      </w:r>
      <w:r>
        <w:rPr>
          <w:rFonts w:ascii="Times New Roman" w:cs="Times New Roman" w:eastAsia="Times New Roman" w:hAnsi="Times New Roman"/>
          <w:sz w:val="18"/>
          <w:szCs w:val="18"/>
          <w:color w:val="auto"/>
        </w:rPr>
        <w:t>The COVID-19 pandemic has resulted in significant governmental measures being implemented to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spread of the virus, including, among others, restrictions on travel and the imposition of remote or work from home conditions in many of the locations where we have offices, including our Shanghai office in April and May of 2022. We have experienced a significant disruption of orders and logistics throughout the Asia supply chain as a result of the COVID-19 pandemic, and if the remote or work from home conditions in any of our locations continues for an extended period of time, we may experience delays in product development, a decreased ability to support our customers, reduced design win activity, and overall lack of productivity. We are also experiencing significantly longer manufacturing times that, if they persist or worsen, could impact our ability to meet our customers’ demand for our solutions and negatively impact our revenue. As a result of these factors we have reduced our inventory purchases in the near term. Moreover, if there is a significant COVID-19 outbreak that impacts Samsung Electronic Corporation’s ability to manufacture our SoCs or our third-party contractors’ ability to assemble, test and ship our products, we could experience delays or reductions in our ability to ship products to our customers. The pandemic may also impact our customers’ ability to manufacture their products, support their customers or reduce or delay demand for their products, which could, in turn, reduce such demand for our solutions. While we cannot quantify specific impacts of the COVID-19 pandemic or actions taken by governments and businesses in response thereto, our results of operations and financial condition may be negatively affected if we encounter significant supply chain problems, reductions in demand due to our customers or end customers having problems, or other unexpected COVID-19 ramifications.</w:t>
      </w:r>
    </w:p>
    <w:p>
      <w:pPr>
        <w:spacing w:after="0" w:line="185"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i w:val="1"/>
          <w:iCs w:val="1"/>
          <w:color w:val="auto"/>
        </w:rPr>
        <w:t>Ability to Capitalize on AI and Computer Vision Trends</w:t>
      </w:r>
      <w:r>
        <w:rPr>
          <w:rFonts w:ascii="Times New Roman" w:cs="Times New Roman" w:eastAsia="Times New Roman" w:hAnsi="Times New Roman"/>
          <w:sz w:val="18"/>
          <w:szCs w:val="18"/>
          <w:color w:val="auto"/>
        </w:rPr>
        <w:t>. We expect that AI and computer vision functionality will become an increasingly important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 in many of our current and future markets, including IP security, automotive, industrial and robotics, and certain consumer markets. As a result, we believe that our ability to develop advanced AI computer vision technology, enable and support customer product development in emerging applications, such as ADAS, advanced blind spot detection, object detection, classification and tracking, people recognition, retail analytics, and machine learning, and gain customer acceptance of our technology platform and solutions will be critical to our future success. Moreover, achieving design wins, particularly for computer vision-centric applications in the IP security, automotive, industrial and robotics markets, is vital to our ability to generate revenue growth. As such, we closely monitor design wins by customer and end market. However, a design win may not successfully materialize into revenue, and even if it does result in revenue, the amount generated by each design win can vary significantly.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ind w:right="20"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Ability to Develop and Introduce New or Enhanced Solutions</w:t>
      </w:r>
      <w:r>
        <w:rPr>
          <w:rFonts w:ascii="Times New Roman" w:cs="Times New Roman" w:eastAsia="Times New Roman" w:hAnsi="Times New Roman"/>
          <w:sz w:val="18"/>
          <w:szCs w:val="18"/>
          <w:color w:val="auto"/>
        </w:rPr>
        <w:t>. We operate in a dynamic environment characterized by rapidly changing technologies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technological obsolescence. To compete successfully, we must design, develop, market and sell enhanced solutions with increased levels of performance and functionality that meet the expectations of our customers. As such, we continuously invest in our research and development projects, especially AI and computer vision technologies. However, failure to anticipate or timely develop new or enhanced solutions in response to technology shifts and trends could result in decreased revenue and our competitors achieving design wins we sought. Moreover, any reliability or quality problems with our solutions could harm our reputation, increase additional development and replacement costs, and prevent us from retaining existing customers and attracting new customers.</w:t>
      </w:r>
    </w:p>
    <w:p>
      <w:pPr>
        <w:spacing w:after="0" w:line="183" w:lineRule="exact"/>
        <w:rPr>
          <w:sz w:val="20"/>
          <w:szCs w:val="20"/>
          <w:color w:val="auto"/>
        </w:rPr>
      </w:pPr>
    </w:p>
    <w:p>
      <w:pPr>
        <w:ind w:right="2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Pricing, Product Cost and Margin</w:t>
      </w:r>
      <w:r>
        <w:rPr>
          <w:rFonts w:ascii="Times New Roman" w:cs="Times New Roman" w:eastAsia="Times New Roman" w:hAnsi="Times New Roman"/>
          <w:sz w:val="18"/>
          <w:szCs w:val="18"/>
          <w:color w:val="auto"/>
        </w:rPr>
        <w:t>. Our pricing and margins depend on the volumes and features of the solutions we provide to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pacing w:after="0" w:line="184"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60" w:lineRule="exact"/>
        <w:rPr>
          <w:sz w:val="20"/>
          <w:szCs w:val="20"/>
          <w:color w:val="auto"/>
        </w:rPr>
      </w:pPr>
    </w:p>
    <w:p>
      <w:pPr>
        <w:ind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Shifting Consumer Preferences. </w:t>
      </w:r>
      <w:r>
        <w:rPr>
          <w:rFonts w:ascii="Times New Roman" w:cs="Times New Roman" w:eastAsia="Times New Roman" w:hAnsi="Times New Roman"/>
          <w:sz w:val="18"/>
          <w:szCs w:val="18"/>
          <w:color w:val="auto"/>
        </w:rPr>
        <w:t>Our revenue is also subject to consumer preferences, regarding form factor and functionality, and how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preferences impact the video and image capture electronics that we support. For example, improved smartphone video capture capabilities led to the decline of video cameras aimed at the video and image capture market. The current video and image capture market is now characterized by a greater volume of more specialized video and image capture devices that are less likely to be replaced with smartphones, such as wearable, IP security, aerial drone and automotive cameras. This increasing specialization of video capture devices has changed our customer base and end markets and has impacted our revenue. In the future, we expect further changes will continue to impact our business performance in those markets.</w:t>
      </w:r>
    </w:p>
    <w:p>
      <w:pPr>
        <w:spacing w:after="0" w:line="182"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i w:val="1"/>
          <w:iCs w:val="1"/>
          <w:color w:val="auto"/>
        </w:rPr>
        <w:t>Continued Concentration of Revenue by End Market</w:t>
      </w:r>
      <w:r>
        <w:rPr>
          <w:rFonts w:ascii="Times New Roman" w:cs="Times New Roman" w:eastAsia="Times New Roman" w:hAnsi="Times New Roman"/>
          <w:sz w:val="18"/>
          <w:szCs w:val="18"/>
          <w:color w:val="auto"/>
        </w:rPr>
        <w:t>. Historically, our revenue has been significantly concentrated in a small number of end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 developed technologies to provide solutions for new markets as they emerged, such as the sports camera, IP security, aerial drone and automotive video recorder camera markets. Since fiscal year 2018, the professional and consumer IP security camera markets and automotive markets, including the OEM and aftermarket video recorder market,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AI and computer vision functionalities for AI-enabled security cameras, AI-based driving applications and industrial and robotics markets. While we will continue to seek to expand our end market exposure, we anticipate that sales to a limited number of end markets will continue to account for a significant percentage of our total revenue for the foreseeable future. Our end market concentration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187"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i w:val="1"/>
          <w:iCs w:val="1"/>
          <w:color w:val="auto"/>
        </w:rPr>
        <w:t>Ability to Capitalize on Connectivity Trends</w:t>
      </w:r>
      <w:r>
        <w:rPr>
          <w:rFonts w:ascii="Times New Roman" w:cs="Times New Roman" w:eastAsia="Times New Roman" w:hAnsi="Times New Roman"/>
          <w:sz w:val="18"/>
          <w:szCs w:val="18"/>
          <w:color w:val="auto"/>
        </w:rPr>
        <w:t>. Mobile connected devices are ubiquitous today and play an increasingly prominent role in consumers’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lives. The constant connectivity provided by these devices has created a demand for connected electronic peripherals such as video and image capture devices. Our ability to capitalize on these trends by supporting our end customers in the development of connected peripherals that seamlessly cooperate with other connected devices and allow consumers to distribute and share video and images with online media platforms is critical for our success. We incorporate wireless communication functionality into our solutions for wearable, IP security, aerial drone and automotive video recorder cameras. The combination of our compression technology with wireless connectivity enables wireless video streaming and uploading of videos and images to the Internet. Our solutions enable IP security camera systems to stream video content to either cloud infrastructure or connected mobile devices, and our solutions for wearable and aerial drone cameras allow consumers to quickly stream or upload video and images to social media platforms.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20" w:name="page21"/>
    <w:bookmarkEnd w:id="20"/>
    <w:p>
      <w:pPr>
        <w:ind w:right="40"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Sales Volume</w:t>
      </w:r>
      <w:r>
        <w:rPr>
          <w:rFonts w:ascii="Times New Roman" w:cs="Times New Roman" w:eastAsia="Times New Roman" w:hAnsi="Times New Roman"/>
          <w:sz w:val="18"/>
          <w:szCs w:val="18"/>
          <w:color w:val="auto"/>
        </w:rPr>
        <w:t>. A typical design win that successfully launches into the marketplace can generate a wide range of sales volumes for our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183" w:lineRule="exact"/>
        <w:rPr>
          <w:sz w:val="20"/>
          <w:szCs w:val="20"/>
          <w:color w:val="auto"/>
        </w:rPr>
      </w:pPr>
    </w:p>
    <w:p>
      <w:pPr>
        <w:ind w:right="6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Customer Product Life Cycle. </w:t>
      </w:r>
      <w:r>
        <w:rPr>
          <w:rFonts w:ascii="Times New Roman" w:cs="Times New Roman" w:eastAsia="Times New Roman" w:hAnsi="Times New Roman"/>
          <w:sz w:val="18"/>
          <w:szCs w:val="18"/>
          <w:color w:val="auto"/>
        </w:rPr>
        <w:t>We estimate our customers’ product life cycles based on the customer, type of product and end market. We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 commercial shipments from 9 to 18 months following a design win; however, in some markets, lengthier product and development cycles are possible, depending on the scope and nature of the project, such as in the automotive OEM market. A portable consumer device typically has a product life cycle of 6 to 18 months, and an IP security camera typically has a product life cycle of 12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 of operations for the periods indicated:</w:t>
      </w:r>
    </w:p>
    <w:p>
      <w:pPr>
        <w:spacing w:after="0" w:line="327"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7620</wp:posOffset>
            </wp:positionV>
            <wp:extent cx="1517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2" w:lineRule="exact"/>
        <w:rPr>
          <w:sz w:val="20"/>
          <w:szCs w:val="20"/>
          <w:color w:val="auto"/>
        </w:rPr>
      </w:pPr>
    </w:p>
    <w:p>
      <w:pPr>
        <w:ind w:left="7360"/>
        <w:spacing w:after="0"/>
        <w:tabs>
          <w:tab w:leader="none" w:pos="86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7620</wp:posOffset>
            </wp:positionV>
            <wp:extent cx="16459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-635</wp:posOffset>
            </wp:positionV>
            <wp:extent cx="498919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p>
      <w:pPr>
        <w:spacing w:after="0" w:line="1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Revenue</w:t>
      </w:r>
    </w:p>
    <w:p>
      <w:pPr>
        <w:spacing w:after="0" w:line="7" w:lineRule="exact"/>
        <w:rPr>
          <w:sz w:val="20"/>
          <w:szCs w:val="20"/>
          <w:color w:val="auto"/>
        </w:rPr>
      </w:pPr>
    </w:p>
    <w:p>
      <w:pPr>
        <w:jc w:val="right"/>
        <w:ind w:right="3400"/>
        <w:spacing w:after="0"/>
        <w:rPr>
          <w:sz w:val="20"/>
          <w:szCs w:val="20"/>
          <w:color w:val="auto"/>
        </w:rPr>
      </w:pPr>
      <w:r>
        <w:rPr>
          <w:rFonts w:ascii="Times New Roman" w:cs="Times New Roman" w:eastAsia="Times New Roman" w:hAnsi="Times New Roman"/>
          <w:sz w:val="17"/>
          <w:szCs w:val="17"/>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38735</wp:posOffset>
            </wp:positionV>
            <wp:extent cx="498919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50" w:lineRule="exact"/>
        <w:rPr>
          <w:sz w:val="20"/>
          <w:szCs w:val="20"/>
          <w:color w:val="auto"/>
        </w:rPr>
      </w:pPr>
    </w:p>
    <w:p>
      <w:pPr>
        <w:jc w:val="right"/>
        <w:ind w:right="3440"/>
        <w:spacing w:after="0"/>
        <w:rPr>
          <w:sz w:val="20"/>
          <w:szCs w:val="20"/>
          <w:color w:val="auto"/>
        </w:rPr>
      </w:pPr>
      <w:r>
        <w:rPr>
          <w:rFonts w:ascii="Times New Roman" w:cs="Times New Roman" w:eastAsia="Times New Roman" w:hAnsi="Times New Roman"/>
          <w:sz w:val="18"/>
          <w:szCs w:val="18"/>
          <w:color w:val="auto"/>
        </w:rPr>
        <w:t>Gross profit</w:t>
      </w:r>
    </w:p>
    <w:p>
      <w:pPr>
        <w:spacing w:after="0" w:line="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5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498919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20" w:lineRule="exact"/>
        <w:rPr>
          <w:sz w:val="20"/>
          <w:szCs w:val="20"/>
          <w:color w:val="auto"/>
        </w:rPr>
      </w:pPr>
      <w:r>
        <w:rPr>
          <w:sz w:val="20"/>
          <w:szCs w:val="20"/>
          <w:color w:val="auto"/>
        </w:rPr>
        <w:br w:type="column"/>
      </w:r>
    </w:p>
    <w:p>
      <w:pPr>
        <w:spacing w:after="0"/>
        <w:tabs>
          <w:tab w:leader="none" w:pos="560" w:val="left"/>
          <w:tab w:leader="none" w:pos="1280" w:val="left"/>
          <w:tab w:leader="none" w:pos="18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90,305</w:t>
        <w:tab/>
        <w:t>$</w:t>
      </w:r>
      <w:r>
        <w:rPr>
          <w:sz w:val="20"/>
          <w:szCs w:val="20"/>
          <w:color w:val="auto"/>
        </w:rPr>
        <w:tab/>
      </w:r>
      <w:r>
        <w:rPr>
          <w:rFonts w:ascii="Times New Roman" w:cs="Times New Roman" w:eastAsia="Times New Roman" w:hAnsi="Times New Roman"/>
          <w:sz w:val="18"/>
          <w:szCs w:val="18"/>
          <w:color w:val="auto"/>
        </w:rPr>
        <w:t>70,133</w:t>
      </w:r>
    </w:p>
    <w:p>
      <w:pPr>
        <w:spacing w:after="0" w:line="30" w:lineRule="exact"/>
        <w:rPr>
          <w:sz w:val="20"/>
          <w:szCs w:val="20"/>
          <w:color w:val="auto"/>
        </w:rPr>
      </w:pPr>
    </w:p>
    <w:p>
      <w:pPr>
        <w:jc w:val="both"/>
        <w:ind w:left="580"/>
        <w:spacing w:after="0"/>
        <w:tabs>
          <w:tab w:leader="none" w:pos="1860" w:val="left"/>
        </w:tabs>
        <w:rPr>
          <w:sz w:val="20"/>
          <w:szCs w:val="20"/>
          <w:color w:val="auto"/>
        </w:rPr>
      </w:pPr>
      <w:r>
        <w:rPr>
          <w:rFonts w:ascii="Times New Roman" w:cs="Times New Roman" w:eastAsia="Times New Roman" w:hAnsi="Times New Roman"/>
          <w:sz w:val="18"/>
          <w:szCs w:val="18"/>
          <w:color w:val="auto"/>
        </w:rPr>
        <w:t>33,758</w:t>
      </w:r>
      <w:r>
        <w:rPr>
          <w:sz w:val="20"/>
          <w:szCs w:val="20"/>
          <w:color w:val="auto"/>
        </w:rPr>
        <w:tab/>
      </w:r>
      <w:r>
        <w:rPr>
          <w:rFonts w:ascii="Times New Roman" w:cs="Times New Roman" w:eastAsia="Times New Roman" w:hAnsi="Times New Roman"/>
          <w:sz w:val="18"/>
          <w:szCs w:val="18"/>
          <w:color w:val="auto"/>
        </w:rPr>
        <w:t>26,368</w:t>
      </w:r>
    </w:p>
    <w:p>
      <w:pPr>
        <w:spacing w:after="0" w:line="36" w:lineRule="exact"/>
        <w:rPr>
          <w:sz w:val="20"/>
          <w:szCs w:val="20"/>
          <w:color w:val="auto"/>
        </w:rPr>
      </w:pPr>
    </w:p>
    <w:p>
      <w:pPr>
        <w:jc w:val="both"/>
        <w:ind w:left="580"/>
        <w:spacing w:after="0"/>
        <w:tabs>
          <w:tab w:leader="none" w:pos="1860" w:val="left"/>
        </w:tabs>
        <w:rPr>
          <w:sz w:val="20"/>
          <w:szCs w:val="20"/>
          <w:color w:val="auto"/>
        </w:rPr>
      </w:pPr>
      <w:r>
        <w:rPr>
          <w:rFonts w:ascii="Times New Roman" w:cs="Times New Roman" w:eastAsia="Times New Roman" w:hAnsi="Times New Roman"/>
          <w:sz w:val="18"/>
          <w:szCs w:val="18"/>
          <w:color w:val="auto"/>
        </w:rPr>
        <w:t>56,547</w:t>
      </w:r>
      <w:r>
        <w:rPr>
          <w:sz w:val="20"/>
          <w:szCs w:val="20"/>
          <w:color w:val="auto"/>
        </w:rPr>
        <w:tab/>
      </w:r>
      <w:r>
        <w:rPr>
          <w:rFonts w:ascii="Times New Roman" w:cs="Times New Roman" w:eastAsia="Times New Roman" w:hAnsi="Times New Roman"/>
          <w:sz w:val="18"/>
          <w:szCs w:val="18"/>
          <w:color w:val="auto"/>
        </w:rPr>
        <w:t>43,765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5170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73" w:lineRule="exact"/>
        <w:rPr>
          <w:sz w:val="20"/>
          <w:szCs w:val="20"/>
          <w:color w:val="auto"/>
        </w:rPr>
      </w:pPr>
    </w:p>
    <w:p>
      <w:pPr>
        <w:jc w:val="both"/>
        <w:ind w:left="580"/>
        <w:spacing w:after="0"/>
        <w:tabs>
          <w:tab w:leader="none" w:pos="1860" w:val="left"/>
        </w:tabs>
        <w:rPr>
          <w:sz w:val="20"/>
          <w:szCs w:val="20"/>
          <w:color w:val="auto"/>
        </w:rPr>
      </w:pPr>
      <w:r>
        <w:rPr>
          <w:rFonts w:ascii="Times New Roman" w:cs="Times New Roman" w:eastAsia="Times New Roman" w:hAnsi="Times New Roman"/>
          <w:sz w:val="18"/>
          <w:szCs w:val="18"/>
          <w:color w:val="auto"/>
        </w:rPr>
        <w:t>46,690</w:t>
      </w:r>
      <w:r>
        <w:rPr>
          <w:sz w:val="20"/>
          <w:szCs w:val="20"/>
          <w:color w:val="auto"/>
        </w:rPr>
        <w:tab/>
      </w:r>
      <w:r>
        <w:rPr>
          <w:rFonts w:ascii="Times New Roman" w:cs="Times New Roman" w:eastAsia="Times New Roman" w:hAnsi="Times New Roman"/>
          <w:sz w:val="18"/>
          <w:szCs w:val="18"/>
          <w:color w:val="auto"/>
        </w:rPr>
        <w:t>37,874</w:t>
      </w:r>
    </w:p>
    <w:p>
      <w:pPr>
        <w:spacing w:after="0" w:line="50" w:lineRule="exact"/>
        <w:rPr>
          <w:sz w:val="20"/>
          <w:szCs w:val="20"/>
          <w:color w:val="auto"/>
        </w:rPr>
      </w:pPr>
    </w:p>
    <w:p>
      <w:pPr>
        <w:jc w:val="both"/>
        <w:ind w:left="580"/>
        <w:spacing w:after="0"/>
        <w:tabs>
          <w:tab w:leader="none" w:pos="1860" w:val="left"/>
        </w:tabs>
        <w:rPr>
          <w:sz w:val="20"/>
          <w:szCs w:val="20"/>
          <w:color w:val="auto"/>
        </w:rPr>
      </w:pPr>
      <w:r>
        <w:rPr>
          <w:rFonts w:ascii="Times New Roman" w:cs="Times New Roman" w:eastAsia="Times New Roman" w:hAnsi="Times New Roman"/>
          <w:sz w:val="18"/>
          <w:szCs w:val="18"/>
          <w:color w:val="auto"/>
        </w:rPr>
        <w:t>20,355</w:t>
      </w:r>
      <w:r>
        <w:rPr>
          <w:sz w:val="20"/>
          <w:szCs w:val="20"/>
          <w:color w:val="auto"/>
        </w:rPr>
        <w:tab/>
      </w:r>
      <w:r>
        <w:rPr>
          <w:rFonts w:ascii="Times New Roman" w:cs="Times New Roman" w:eastAsia="Times New Roman" w:hAnsi="Times New Roman"/>
          <w:sz w:val="18"/>
          <w:szCs w:val="18"/>
          <w:color w:val="auto"/>
        </w:rPr>
        <w:t>16,027</w:t>
      </w:r>
    </w:p>
    <w:p>
      <w:pPr>
        <w:spacing w:after="0" w:line="25" w:lineRule="exact"/>
        <w:rPr>
          <w:sz w:val="20"/>
          <w:szCs w:val="20"/>
          <w:color w:val="auto"/>
        </w:rPr>
      </w:pPr>
    </w:p>
    <w:p>
      <w:pPr>
        <w:sectPr>
          <w:pgSz w:w="11900" w:h="16838" w:orient="portrait"/>
          <w:cols w:equalWidth="0" w:num="2">
            <w:col w:w="6240" w:space="720"/>
            <w:col w:w="4280"/>
          </w:cols>
          <w:pgMar w:left="320" w:top="335" w:right="339" w:bottom="1440" w:gutter="0" w:footer="0" w:header="0"/>
          <w:type w:val="continuous"/>
        </w:sectPr>
      </w:pPr>
    </w:p>
    <w:tbl>
      <w:tblPr>
        <w:tblLayout w:type="fixed"/>
        <w:tblInd w:w="1700" w:type="dxa"/>
        <w:tblCellMar>
          <w:top w:w="0" w:type="dxa"/>
          <w:left w:w="0" w:type="dxa"/>
          <w:bottom w:w="0" w:type="dxa"/>
          <w:right w:w="0" w:type="dxa"/>
        </w:tblCellMar>
      </w:tblPr>
      <w:tr>
        <w:trPr>
          <w:trHeight w:val="225"/>
        </w:trPr>
        <w:tc>
          <w:tcPr>
            <w:tcW w:w="380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67,045</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53,901</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50"/>
        </w:trPr>
        <w:tc>
          <w:tcPr>
            <w:tcW w:w="3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from operations</w:t>
            </w: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(10,498)</w:t>
            </w:r>
          </w:p>
        </w:tc>
        <w:tc>
          <w:tcPr>
            <w:tcW w:w="30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(10,136)</w:t>
            </w:r>
          </w:p>
        </w:tc>
        <w:tc>
          <w:tcPr>
            <w:tcW w:w="120" w:type="dxa"/>
            <w:vAlign w:val="bottom"/>
          </w:tcPr>
          <w:p>
            <w:pPr>
              <w:spacing w:after="0"/>
              <w:rPr>
                <w:sz w:val="21"/>
                <w:szCs w:val="21"/>
                <w:color w:val="auto"/>
              </w:rPr>
            </w:pP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r>
      <w:tr>
        <w:trPr>
          <w:trHeight w:val="250"/>
        </w:trPr>
        <w:tc>
          <w:tcPr>
            <w:tcW w:w="3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(10,412)</w:t>
            </w:r>
          </w:p>
        </w:tc>
        <w:tc>
          <w:tcPr>
            <w:tcW w:w="30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(9,543)</w:t>
            </w:r>
          </w:p>
        </w:tc>
        <w:tc>
          <w:tcPr>
            <w:tcW w:w="120" w:type="dxa"/>
            <w:vAlign w:val="bottom"/>
          </w:tcPr>
          <w:p>
            <w:pPr>
              <w:spacing w:after="0"/>
              <w:rPr>
                <w:sz w:val="21"/>
                <w:szCs w:val="21"/>
                <w:color w:val="auto"/>
              </w:rPr>
            </w:pP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50"/>
        </w:trPr>
        <w:tc>
          <w:tcPr>
            <w:tcW w:w="3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loss</w:t>
            </w: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(10,822)</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(10,818)</w:t>
            </w:r>
          </w:p>
        </w:tc>
        <w:tc>
          <w:tcPr>
            <w:tcW w:w="120" w:type="dxa"/>
            <w:vAlign w:val="bottom"/>
          </w:tcPr>
          <w:p>
            <w:pPr>
              <w:spacing w:after="0"/>
              <w:rPr>
                <w:sz w:val="21"/>
                <w:szCs w:val="21"/>
                <w:color w:val="auto"/>
              </w:rPr>
            </w:pPr>
          </w:p>
        </w:tc>
      </w:tr>
      <w:tr>
        <w:trPr>
          <w:trHeight w:val="20"/>
        </w:trPr>
        <w:tc>
          <w:tcPr>
            <w:tcW w:w="3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operating results as a percentage of revenue of each line item for the periods indicated: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400" w:type="dxa"/>
            <w:vAlign w:val="bottom"/>
            <w:tcBorders>
              <w:bottom w:val="single" w:sz="8" w:color="auto"/>
            </w:tcBorders>
            <w:gridSpan w:val="5"/>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16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8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16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2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from operations</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21</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86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type w:val="continuous"/>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derive substantially all of our revenue from the sale of HD and Ultra HD video and image processing SoC solutions to IP security camera OEMs, IP security camera ODMs, OEM or Tier-1 automotive suppliers, and consumer camera OEMs, either directly or through our distributors. In recent years, our SoC solutions have been primarily used in camera markets, such as IP security, automotive video recorder, drone and wearable cameras. Although we expect these human viewing camera markets, in particular the IP security and automotive video recorder markets, to continue to generate revenue for the foreseeable future, we have recently introduced new SoCs targeting emerging AI and computer vision applications in the IP security camera, OEM automotive, industrial and robotics markets. We derive a substantial portion of our revenue from sales made indirectly through our two major distributors, WT Microelectronics Co., Ltd., formerly Wintech Microelectronics Co., Ltd., or WT, and Hakuto Co., Ltd., or Hakuto, a Japan distributor, and directly to one of our ODM customers, Chicony Electronics Co., Ltd., or Chicony.</w:t>
      </w:r>
    </w:p>
    <w:p>
      <w:pPr>
        <w:spacing w:after="0" w:line="192"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have historically experienced seasonal fluctuations in our quarterly revenue with our third fiscal quarter normally being a higher revenue quarter. This fluctuation has been driven primarily by increased sales in IP security and consumer camera markets as our customers build inventories in preparation for the holiday shopping season. As we transition away from consumer markets, seasonal impact has decreased. In addition, the continued effects of the COVID-19 pandemic and persistent supply chain challenges may negatively affect our normal seasonality this year. Our average selling prices fluctuate based on the mix of our solutions sold in a period which reflects the impact of both changes in unit sales of existing solutions as well as the introduction and sales of new solutions. Our solutions are typically characterized by a life cycle that begins with higher average selling prices and lower volumes, followed by broader market adoption, higher volumes and average selling prices that are lower than initial levels.</w:t>
      </w:r>
    </w:p>
    <w:p>
      <w:pPr>
        <w:spacing w:after="0" w:line="189"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The end markets into which we sell our products have seen significant changes as consumer preferences have evolved in response to new technologies. As a result, the composition and timing of our revenue may differ meaningfully during periods of technology or consumer preference changes. We expect shifts in consumer use of video capture to continue to change over time, as AI and computer vision specialized use cases emerge and video capture continues to proliferate.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229" w:lineRule="exact"/>
        <w:rPr>
          <w:sz w:val="20"/>
          <w:szCs w:val="20"/>
          <w:color w:val="auto"/>
        </w:rPr>
      </w:pPr>
    </w:p>
    <w:p>
      <w:pPr>
        <w:jc w:val="both"/>
        <w:ind w:right="240" w:firstLine="510"/>
        <w:spacing w:after="0" w:line="266" w:lineRule="auto"/>
        <w:rPr>
          <w:sz w:val="20"/>
          <w:szCs w:val="20"/>
          <w:color w:val="auto"/>
        </w:rPr>
      </w:pPr>
      <w:r>
        <w:rPr>
          <w:rFonts w:ascii="Times New Roman" w:cs="Times New Roman" w:eastAsia="Times New Roman" w:hAnsi="Times New Roman"/>
          <w:sz w:val="18"/>
          <w:szCs w:val="18"/>
          <w:color w:val="auto"/>
        </w:rPr>
        <w:t>Cost of revenue includes the cost of materials, such as wafers processed by third-party foundries, costs associated with packaging, assembly and testing, and our manufacturing support operations, such as logistics, planning and quality assurance. Cost of revenue also includes indirect costs, such as warranty, inventory valuation reserves, amortization of developed technology and other general overhead costs.</w:t>
      </w:r>
    </w:p>
    <w:p>
      <w:pPr>
        <w:spacing w:after="0" w:line="176"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expect that our gross margin may fluctuate from period to period as a result of changes in customer mix,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costs of fabrication of mask sets for prototype products, equipment expenses, outside services and allocated depreciation and facility expenses, net of any research and development grants. All research and development costs are expensed as incurred. We expect our research and development expense to increase in absolute dollars as we continue to enhance and expand our product features and offerings and increase headcount for new SoC development and development of computer vision technology, especially for the OEM automotive market.</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firstLine="510"/>
        <w:spacing w:after="0" w:line="277" w:lineRule="auto"/>
        <w:rPr>
          <w:sz w:val="20"/>
          <w:szCs w:val="20"/>
          <w:color w:val="auto"/>
        </w:rPr>
      </w:pPr>
      <w:r>
        <w:rPr>
          <w:rFonts w:ascii="Times New Roman" w:cs="Times New Roman" w:eastAsia="Times New Roman" w:hAnsi="Times New Roman"/>
          <w:sz w:val="17"/>
          <w:szCs w:val="17"/>
          <w:color w:val="auto"/>
        </w:rPr>
        <w:t>Selling, general and administrative expense consists primarily of personnel costs, including salaries, stock-based compensation and employee benefits for our sales, marketing, finance, human resources, information technology and administrative personnel. The expense also includes amortization of trade name and customer relationships, professional service costs related to accounting, tax,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computer vision technology.</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interests and yields from debt security investments and cash deposits with financial institutions, as well as miscellaneous subsidies granted from a foreign government.</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60" w:firstLine="478"/>
        <w:spacing w:after="0" w:line="254" w:lineRule="auto"/>
        <w:rPr>
          <w:sz w:val="20"/>
          <w:szCs w:val="20"/>
          <w:color w:val="auto"/>
        </w:rPr>
      </w:pPr>
      <w:r>
        <w:rPr>
          <w:rFonts w:ascii="Times New Roman" w:cs="Times New Roman" w:eastAsia="Times New Roman" w:hAnsi="Times New Roman"/>
          <w:sz w:val="18"/>
          <w:szCs w:val="18"/>
          <w:color w:val="auto"/>
        </w:rPr>
        <w:t>We are incorporated and domiciled in the Cayman Islands and our operations are subject to income taxes in the United States, China, Hong Kong, Germany, Italy, Japan, South Korea, Taiwan and other jurisdictions in which we do business.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were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84"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provision for income taxes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uncertain tax position reserves and changes to reserves that are considered appropriate, as well as the related net interest and penalties.</w:t>
      </w:r>
    </w:p>
    <w:p>
      <w:pPr>
        <w:spacing w:after="0" w:line="79" w:lineRule="exact"/>
        <w:rPr>
          <w:sz w:val="20"/>
          <w:szCs w:val="20"/>
          <w:color w:val="auto"/>
        </w:rPr>
      </w:pPr>
    </w:p>
    <w:p>
      <w:pPr>
        <w:ind w:right="160" w:firstLine="478"/>
        <w:spacing w:after="0" w:line="261" w:lineRule="auto"/>
        <w:rPr>
          <w:sz w:val="20"/>
          <w:szCs w:val="20"/>
          <w:color w:val="auto"/>
        </w:rPr>
      </w:pPr>
      <w:r>
        <w:rPr>
          <w:rFonts w:ascii="Times New Roman" w:cs="Times New Roman" w:eastAsia="Times New Roman" w:hAnsi="Times New Roman"/>
          <w:sz w:val="18"/>
          <w:szCs w:val="18"/>
          <w:color w:val="auto"/>
        </w:rPr>
        <w:t>Significant judgment is also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April 30, 2022 and 2021</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0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1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r>
      <w:tr>
        <w:trPr>
          <w:trHeight w:val="169"/>
        </w:trPr>
        <w:tc>
          <w:tcPr>
            <w:tcW w:w="198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jc w:val="right"/>
              <w:ind w:right="10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4"/>
                <w:szCs w:val="14"/>
                <w:color w:val="auto"/>
              </w:rPr>
            </w:pPr>
          </w:p>
        </w:tc>
      </w:tr>
      <w:tr>
        <w:trPr>
          <w:trHeight w:val="156"/>
        </w:trPr>
        <w:tc>
          <w:tcPr>
            <w:tcW w:w="1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840" w:type="dxa"/>
            <w:vAlign w:val="bottom"/>
            <w:tcBorders>
              <w:top w:val="single" w:sz="8" w:color="auto"/>
            </w:tcBorders>
            <w:gridSpan w:val="4"/>
          </w:tcPr>
          <w:p>
            <w:pPr>
              <w:jc w:val="center"/>
              <w:ind w:right="110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r>
      <w:tr>
        <w:trPr>
          <w:trHeight w:val="229"/>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90,305</w:t>
            </w:r>
          </w:p>
        </w:tc>
        <w:tc>
          <w:tcPr>
            <w:tcW w:w="102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70,133</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8"/>
                <w:szCs w:val="18"/>
                <w:color w:val="auto"/>
              </w:rPr>
              <w:t>20,172</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28.8%</w:t>
            </w:r>
          </w:p>
        </w:tc>
      </w:tr>
    </w:tbl>
    <w:p>
      <w:pPr>
        <w:spacing w:after="0" w:line="198"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The increased revenue for the three months ended April 30, 2022, as compared to the same period in the prior fiscal year, was primarily attributable to higher revenue in the professional IP security and automotive OEM sensing and fleet markets. In the professional IP security market, strong growth in the North America and Asia regions other than China, together with continued sales penetration into the Europe region, resulted in a significant revenue increase in this market. In the automotive markets, continued demand for our SoCs and applications in the automotive OEM sensing and fleet markets contributed to an increase in revenue. The increased revenue was partially offset by decreased revenue in consumer-related markets, including home IP security, automotive aftermarket and consumer markets, primarily due to decreased consumer demand from the impact of pandemic lockdowns in China. Despite lower demand from the China region, our computer vision-based solutions demonstrated a strong revenue growth in the first quarter of fiscal year 2023, representing continued adoption of our CV-based solutions by customers.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69"/>
        </w:trPr>
        <w:tc>
          <w:tcPr>
            <w:tcW w:w="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right"/>
              <w:ind w:right="9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880" w:type="dxa"/>
            <w:vAlign w:val="bottom"/>
            <w:tcBorders>
              <w:top w:val="single" w:sz="8" w:color="auto"/>
            </w:tcBorders>
            <w:gridSpan w:val="5"/>
          </w:tcPr>
          <w:p>
            <w:pPr>
              <w:jc w:val="right"/>
              <w:ind w:right="1317"/>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90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33,758</w:t>
            </w:r>
          </w:p>
        </w:tc>
        <w:tc>
          <w:tcPr>
            <w:tcW w:w="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26,368</w:t>
            </w:r>
          </w:p>
        </w:tc>
        <w:tc>
          <w:tcPr>
            <w:tcW w:w="2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537"/>
              <w:spacing w:after="0"/>
              <w:rPr>
                <w:sz w:val="20"/>
                <w:szCs w:val="20"/>
                <w:color w:val="auto"/>
              </w:rPr>
            </w:pPr>
            <w:r>
              <w:rPr>
                <w:rFonts w:ascii="Times New Roman" w:cs="Times New Roman" w:eastAsia="Times New Roman" w:hAnsi="Times New Roman"/>
                <w:sz w:val="18"/>
                <w:szCs w:val="18"/>
                <w:color w:val="auto"/>
              </w:rPr>
              <w:t>7,390</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28.0%</w:t>
            </w:r>
          </w:p>
        </w:tc>
        <w:tc>
          <w:tcPr>
            <w:tcW w:w="560" w:type="dxa"/>
            <w:vAlign w:val="bottom"/>
          </w:tcPr>
          <w:p>
            <w:pPr>
              <w:spacing w:after="0"/>
              <w:rPr>
                <w:sz w:val="19"/>
                <w:szCs w:val="19"/>
                <w:color w:val="auto"/>
              </w:rPr>
            </w:pPr>
          </w:p>
        </w:tc>
      </w:tr>
      <w:tr>
        <w:trPr>
          <w:trHeight w:val="257"/>
        </w:trPr>
        <w:tc>
          <w:tcPr>
            <w:tcW w:w="580" w:type="dxa"/>
            <w:vAlign w:val="bottom"/>
          </w:tcPr>
          <w:p>
            <w:pPr>
              <w:spacing w:after="0"/>
              <w:rPr>
                <w:sz w:val="22"/>
                <w:szCs w:val="22"/>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56,547</w:t>
            </w:r>
          </w:p>
        </w:tc>
        <w:tc>
          <w:tcPr>
            <w:tcW w:w="9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43,765</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40" w:type="dxa"/>
            <w:vAlign w:val="bottom"/>
          </w:tcPr>
          <w:p>
            <w:pPr>
              <w:jc w:val="right"/>
              <w:ind w:right="537"/>
              <w:spacing w:after="0"/>
              <w:rPr>
                <w:sz w:val="20"/>
                <w:szCs w:val="20"/>
                <w:color w:val="auto"/>
              </w:rPr>
            </w:pPr>
            <w:r>
              <w:rPr>
                <w:rFonts w:ascii="Times New Roman" w:cs="Times New Roman" w:eastAsia="Times New Roman" w:hAnsi="Times New Roman"/>
                <w:sz w:val="18"/>
                <w:szCs w:val="18"/>
                <w:color w:val="auto"/>
              </w:rPr>
              <w:t>12,782</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w:t>
            </w:r>
          </w:p>
        </w:tc>
        <w:tc>
          <w:tcPr>
            <w:tcW w:w="560" w:type="dxa"/>
            <w:vAlign w:val="bottom"/>
          </w:tcPr>
          <w:p>
            <w:pPr>
              <w:spacing w:after="0"/>
              <w:rPr>
                <w:sz w:val="22"/>
                <w:szCs w:val="22"/>
                <w:color w:val="auto"/>
              </w:rPr>
            </w:pPr>
          </w:p>
        </w:tc>
      </w:tr>
      <w:tr>
        <w:trPr>
          <w:trHeight w:val="229"/>
        </w:trPr>
        <w:tc>
          <w:tcPr>
            <w:tcW w:w="580" w:type="dxa"/>
            <w:vAlign w:val="bottom"/>
          </w:tcPr>
          <w:p>
            <w:pPr>
              <w:spacing w:after="0"/>
              <w:rPr>
                <w:sz w:val="19"/>
                <w:szCs w:val="19"/>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9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537"/>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560" w:type="dxa"/>
            <w:vAlign w:val="bottom"/>
          </w:tcPr>
          <w:p>
            <w:pPr>
              <w:spacing w:after="0"/>
              <w:rPr>
                <w:sz w:val="19"/>
                <w:szCs w:val="19"/>
                <w:color w:val="auto"/>
              </w:rPr>
            </w:pPr>
          </w:p>
        </w:tc>
      </w:tr>
      <w:tr>
        <w:trPr>
          <w:trHeight w:val="864"/>
        </w:trPr>
        <w:tc>
          <w:tcPr>
            <w:tcW w:w="5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3" w:name="page24"/>
    <w:bookmarkEnd w:id="23"/>
    <w:p>
      <w:pPr>
        <w:ind w:right="540" w:firstLine="510"/>
        <w:spacing w:after="0" w:line="282" w:lineRule="auto"/>
        <w:rPr>
          <w:sz w:val="20"/>
          <w:szCs w:val="20"/>
          <w:color w:val="auto"/>
        </w:rPr>
      </w:pPr>
      <w:r>
        <w:rPr>
          <w:rFonts w:ascii="Times New Roman" w:cs="Times New Roman" w:eastAsia="Times New Roman" w:hAnsi="Times New Roman"/>
          <w:sz w:val="18"/>
          <w:szCs w:val="18"/>
          <w:color w:val="auto"/>
        </w:rPr>
        <w:t>Cost of revenue increased for the three months ended April 30, 2022, as compared to the same period in the prior fiscal year, primarily due to increased revenue.</w:t>
      </w:r>
    </w:p>
    <w:p>
      <w:pPr>
        <w:spacing w:after="0" w:line="162"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Gross margin increased for the three months ended April 30, 2022, as compared to the same period in the prior fiscal year, primarily due to an increase in the percentage of our total revenue that was derived from higher gross margin CV-based solutions and automotive markets. A customer concentration shift from the China region to the North America and Asia regions other than China in the professional IP security camera market also contributed an improvement in gross margin for the three months ended April 30, 2022. The increased gross margin was partially offset by an increase in inventory reserves due to a decrease in demand in the China region.</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30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r>
      <w:tr>
        <w:trPr>
          <w:trHeight w:val="169"/>
        </w:trPr>
        <w:tc>
          <w:tcPr>
            <w:tcW w:w="264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spacing w:after="0"/>
              <w:rPr>
                <w:sz w:val="14"/>
                <w:szCs w:val="14"/>
                <w:color w:val="auto"/>
              </w:rPr>
            </w:pPr>
          </w:p>
        </w:tc>
        <w:tc>
          <w:tcPr>
            <w:tcW w:w="104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4"/>
                <w:szCs w:val="14"/>
                <w:color w:val="auto"/>
              </w:rPr>
            </w:pPr>
          </w:p>
        </w:tc>
      </w:tr>
      <w:tr>
        <w:trPr>
          <w:trHeight w:val="155"/>
        </w:trPr>
        <w:tc>
          <w:tcPr>
            <w:tcW w:w="2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3"/>
          </w:tcPr>
          <w:p>
            <w:pPr>
              <w:jc w:val="center"/>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r>
      <w:tr>
        <w:trPr>
          <w:trHeight w:val="230"/>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6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46,690</w:t>
            </w:r>
          </w:p>
        </w:tc>
        <w:tc>
          <w:tcPr>
            <w:tcW w:w="102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37,874</w:t>
            </w:r>
          </w:p>
        </w:tc>
        <w:tc>
          <w:tcPr>
            <w:tcW w:w="124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98"/>
              </w:rPr>
              <w:t>8,816</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23.3%</w:t>
            </w:r>
          </w:p>
        </w:tc>
      </w:tr>
    </w:tbl>
    <w:p>
      <w:pPr>
        <w:spacing w:after="0" w:line="198"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increased for the three months ended April 30, 2022, as compared to the same period in the prior fiscal year, primarily due to increased personnel costs and engineering-related expenses. Personnel costs increased by approximately $8.5 million as a result of issuance of stock awards, employee benefit programs and an increase of 93 in headcount, including 44 engineering headcount added from our acquisition of Oculii Corp, or Oculii, in the fourth quarter of fiscal year 2022. Engineering-related expenses, including equipment and tool cost, outside services and facility related expenses in support of new SoCs and related applications, increased by approximately $1.4 million. The increase was partially offset by decreased SoC development cost due to the timing and number of chips in development. During the three months ended April 30, 2022, SoC development cost decreased by approximately $1.1 million.</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30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r>
      <w:tr>
        <w:trPr>
          <w:trHeight w:val="169"/>
        </w:trPr>
        <w:tc>
          <w:tcPr>
            <w:tcW w:w="29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spacing w:after="0"/>
              <w:rPr>
                <w:sz w:val="14"/>
                <w:szCs w:val="14"/>
                <w:color w:val="auto"/>
              </w:rPr>
            </w:pPr>
          </w:p>
        </w:tc>
        <w:tc>
          <w:tcPr>
            <w:tcW w:w="104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4"/>
                <w:szCs w:val="14"/>
                <w:color w:val="auto"/>
              </w:rPr>
            </w:pPr>
          </w:p>
        </w:tc>
      </w:tr>
      <w:tr>
        <w:trPr>
          <w:trHeight w:val="156"/>
        </w:trPr>
        <w:tc>
          <w:tcPr>
            <w:tcW w:w="2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3"/>
          </w:tcPr>
          <w:p>
            <w:pPr>
              <w:jc w:val="center"/>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r>
      <w:tr>
        <w:trPr>
          <w:trHeight w:val="230"/>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20,355</w:t>
            </w:r>
          </w:p>
        </w:tc>
        <w:tc>
          <w:tcPr>
            <w:tcW w:w="102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16,027</w:t>
            </w:r>
          </w:p>
        </w:tc>
        <w:tc>
          <w:tcPr>
            <w:tcW w:w="124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98"/>
              </w:rPr>
              <w:t>4,328</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27.0%</w:t>
            </w:r>
          </w:p>
        </w:tc>
      </w:tr>
    </w:tbl>
    <w:p>
      <w:pPr>
        <w:spacing w:after="0" w:line="198"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increased for the three months ended April 30, 2022, as compared to the same period in the prior fiscal year, primarily due to increased personnel costs and professional service expenses. Personnel costs increased by approximately $3.5 million as a result of issuance of stock awards, stock acceleration and employee benefit programs. The increase was also attributable to approximately $0.6 million of additional professional service expenses to support our business development in the IP security, automotive and robotics markets.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30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r>
      <w:tr>
        <w:trPr>
          <w:trHeight w:val="169"/>
        </w:trPr>
        <w:tc>
          <w:tcPr>
            <w:tcW w:w="2280" w:type="dxa"/>
            <w:vAlign w:val="bottom"/>
          </w:tcPr>
          <w:p>
            <w:pPr>
              <w:spacing w:after="0"/>
              <w:rPr>
                <w:sz w:val="14"/>
                <w:szCs w:val="14"/>
                <w:color w:val="auto"/>
              </w:rPr>
            </w:pPr>
          </w:p>
        </w:tc>
        <w:tc>
          <w:tcPr>
            <w:tcW w:w="20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4"/>
                <w:szCs w:val="14"/>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spacing w:after="0"/>
              <w:rPr>
                <w:sz w:val="14"/>
                <w:szCs w:val="14"/>
                <w:color w:val="auto"/>
              </w:rPr>
            </w:pPr>
          </w:p>
        </w:tc>
        <w:tc>
          <w:tcPr>
            <w:tcW w:w="104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4"/>
                <w:szCs w:val="14"/>
                <w:color w:val="auto"/>
              </w:rPr>
            </w:pPr>
          </w:p>
        </w:tc>
      </w:tr>
      <w:tr>
        <w:trPr>
          <w:trHeight w:val="155"/>
        </w:trPr>
        <w:tc>
          <w:tcPr>
            <w:tcW w:w="2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3"/>
          </w:tcPr>
          <w:p>
            <w:pPr>
              <w:jc w:val="center"/>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r>
      <w:tr>
        <w:trPr>
          <w:trHeight w:val="230"/>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4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c>
          <w:tcPr>
            <w:tcW w:w="108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479"/>
              <w:spacing w:after="0"/>
              <w:rPr>
                <w:sz w:val="20"/>
                <w:szCs w:val="20"/>
                <w:color w:val="auto"/>
              </w:rPr>
            </w:pPr>
            <w:r>
              <w:rPr>
                <w:rFonts w:ascii="Times New Roman" w:cs="Times New Roman" w:eastAsia="Times New Roman" w:hAnsi="Times New Roman"/>
                <w:sz w:val="18"/>
                <w:szCs w:val="18"/>
                <w:color w:val="auto"/>
              </w:rPr>
              <w:t>(507)</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(85.5)%</w:t>
            </w:r>
          </w:p>
        </w:tc>
      </w:tr>
    </w:tbl>
    <w:p>
      <w:pPr>
        <w:spacing w:after="0" w:line="198"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The decrease in other income, net, for the three months ended April 30, 2022, as compared to the same period in the prior fiscal year, was primarily due to the full liquidation of our debt security investments in fiscal year 2022 to finance the acquisition of Oculii, resulting in reduced yields from investments.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560" w:type="dxa"/>
            <w:vAlign w:val="bottom"/>
            <w:gridSpan w:val="3"/>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5"/>
                <w:szCs w:val="15"/>
                <w:color w:val="auto"/>
              </w:rPr>
            </w:pPr>
          </w:p>
        </w:tc>
      </w:tr>
      <w:tr>
        <w:trPr>
          <w:trHeight w:val="183"/>
        </w:trPr>
        <w:tc>
          <w:tcPr>
            <w:tcW w:w="5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top w:val="single" w:sz="8" w:color="auto"/>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Borders>
              <w:top w:val="single" w:sz="8" w:color="auto"/>
              <w:bottom w:val="single" w:sz="8" w:color="auto"/>
            </w:tcBorders>
          </w:tcPr>
          <w:p>
            <w:pPr>
              <w:spacing w:after="0"/>
              <w:rPr>
                <w:sz w:val="15"/>
                <w:szCs w:val="15"/>
                <w:color w:val="auto"/>
              </w:rPr>
            </w:pPr>
          </w:p>
        </w:tc>
        <w:tc>
          <w:tcPr>
            <w:tcW w:w="196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0" w:type="dxa"/>
            <w:vAlign w:val="bottom"/>
            <w:gridSpan w:val="3"/>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29"/>
        </w:trPr>
        <w:tc>
          <w:tcPr>
            <w:tcW w:w="58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shd w:val="clear" w:color="auto" w:fill="CFF0FC"/>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160" w:type="dxa"/>
            <w:vAlign w:val="bottom"/>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30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6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56"/>
        </w:trPr>
        <w:tc>
          <w:tcPr>
            <w:tcW w:w="580" w:type="dxa"/>
            <w:vAlign w:val="bottom"/>
          </w:tcPr>
          <w:p>
            <w:pPr>
              <w:spacing w:after="0"/>
              <w:rPr>
                <w:sz w:val="22"/>
                <w:szCs w:val="22"/>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9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1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2"/>
                <w:szCs w:val="22"/>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9.5</w:t>
            </w:r>
            <w:r>
              <w:rPr>
                <w:rFonts w:ascii="Calibri" w:cs="Calibri" w:eastAsia="Calibri" w:hAnsi="Calibri"/>
                <w:sz w:val="19"/>
                <w:szCs w:val="19"/>
                <w:color w:val="auto"/>
              </w:rPr>
              <w:t>%</w:t>
            </w: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864"/>
        </w:trPr>
        <w:tc>
          <w:tcPr>
            <w:tcW w:w="5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ind w:firstLine="510"/>
        <w:spacing w:after="0" w:line="261" w:lineRule="auto"/>
        <w:rPr>
          <w:sz w:val="20"/>
          <w:szCs w:val="20"/>
          <w:color w:val="auto"/>
        </w:rPr>
      </w:pPr>
      <w:r>
        <w:rPr>
          <w:rFonts w:ascii="Times New Roman" w:cs="Times New Roman" w:eastAsia="Times New Roman" w:hAnsi="Times New Roman"/>
          <w:sz w:val="18"/>
          <w:szCs w:val="18"/>
          <w:color w:val="auto"/>
        </w:rPr>
        <w:t>The quarterly income taxes reflect an estimate of the corresponding fiscal year’s annual effective tax rate and include, when applicable, adjustments from discrete tax items arising in that quarter. We update our estimate of the annual effective tax rate each quarter, and if the estimated annual tax rate changes, a cumulative adjustment is made in that quarter. This could result in a higher or lower effective tax rate during a particular quarter, based on the mix and timing of actual earnings or losses versus annual projections.</w:t>
      </w:r>
    </w:p>
    <w:p>
      <w:pPr>
        <w:spacing w:after="0" w:line="180" w:lineRule="exact"/>
        <w:rPr>
          <w:sz w:val="20"/>
          <w:szCs w:val="20"/>
          <w:color w:val="auto"/>
        </w:rPr>
      </w:pPr>
    </w:p>
    <w:p>
      <w:pPr>
        <w:ind w:right="620" w:firstLine="510"/>
        <w:spacing w:after="0" w:line="282" w:lineRule="auto"/>
        <w:rPr>
          <w:sz w:val="20"/>
          <w:szCs w:val="20"/>
          <w:color w:val="auto"/>
        </w:rPr>
      </w:pPr>
      <w:r>
        <w:rPr>
          <w:rFonts w:ascii="Times New Roman" w:cs="Times New Roman" w:eastAsia="Times New Roman" w:hAnsi="Times New Roman"/>
          <w:sz w:val="18"/>
          <w:szCs w:val="18"/>
          <w:color w:val="auto"/>
        </w:rPr>
        <w:t>The decrease in income tax expense for the three months ended April 30, 2022, as compared to the same period in the prior fiscal year, was primarily due to an increase in the proportion of profits generated in lower-tax jurisdictions.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As of April 30, 2022 and January 31, 2022, we had cash and cash equivalents of approximately $200.6 million and $171.0 million, respectively. After a full liquidation of our debt security investments in fiscal year 2022 to finance the acquisition of Oculii, there were no debt security investments as of April 30, 2022.</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8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155"/>
        </w:trPr>
        <w:tc>
          <w:tcPr>
            <w:tcW w:w="4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3"/>
                <w:szCs w:val="13"/>
                <w:color w:val="auto"/>
              </w:rPr>
            </w:pPr>
          </w:p>
        </w:tc>
      </w:tr>
      <w:tr>
        <w:trPr>
          <w:trHeight w:val="156"/>
        </w:trPr>
        <w:tc>
          <w:tcPr>
            <w:tcW w:w="4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60" w:type="dxa"/>
            <w:vAlign w:val="bottom"/>
            <w:gridSpan w:val="3"/>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33,560</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(4,547)</w:t>
            </w: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(3,952)</w:t>
            </w:r>
          </w:p>
        </w:tc>
        <w:tc>
          <w:tcPr>
            <w:tcW w:w="4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(11,230)</w:t>
            </w:r>
          </w:p>
        </w:tc>
      </w:tr>
      <w:tr>
        <w:trPr>
          <w:trHeight w:val="22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shd w:val="clear" w:color="auto" w:fill="CFF0FC"/>
          </w:tcPr>
          <w:p>
            <w:pPr>
              <w:spacing w:after="0"/>
              <w:rPr>
                <w:sz w:val="19"/>
                <w:szCs w:val="19"/>
                <w:color w:val="auto"/>
              </w:rPr>
            </w:pPr>
          </w:p>
        </w:tc>
      </w:tr>
      <w:tr>
        <w:trPr>
          <w:trHeight w:val="205"/>
        </w:trPr>
        <w:tc>
          <w:tcPr>
            <w:tcW w:w="4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w:t>
            </w:r>
          </w:p>
        </w:tc>
        <w:tc>
          <w:tcPr>
            <w:tcW w:w="1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00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29,596</w:t>
            </w:r>
          </w:p>
        </w:tc>
        <w:tc>
          <w:tcPr>
            <w:tcW w:w="1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(13,765)</w:t>
            </w:r>
          </w:p>
        </w:tc>
      </w:tr>
      <w:tr>
        <w:trPr>
          <w:trHeight w:val="20"/>
        </w:trPr>
        <w:tc>
          <w:tcPr>
            <w:tcW w:w="4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(Used in) Operating Activities</w:t>
      </w:r>
    </w:p>
    <w:p>
      <w:pPr>
        <w:spacing w:after="0" w:line="119"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increased for the three months ended April 30, 2022, as compared to the same period in the prior fiscal year, primarily related to decreased accounts receivable associated with the timing of sales and lower inventory purchases due to pandemic lockdowns in China resulting in disrupted orders and shipments throughout the Asia supply chain, partially offset by decreased liabilities associated with employee benefit payments and the timing of payments to our suppliers.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decreased for the three months ended April 30, 2022, as compared to the same period in the prior fiscal year, primarily due to approximately $9.3 million less of net investments in debt securities as a result of the full liquidation of investments in fiscal year 2022 as well as an approximately $0.7 million claim from an escrow account associated with the acquisition of Oculii, partially offset by approximately $2.7 million of net cash payments for long-lived assets.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119"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decreased for the three months ended April 30, 2022, as compared to the same period in the prior fiscal year, primarily due to approximately $2.0 million less cash proceeds from option exercises and employee stock purchase withholdings.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No ordinary shares were repurchased in the three months ended April 30, 2022. As of April 30, 2022, $49.0 million remained available for repurchases under the current repurchase program. In May 2022, the Company’s Board of Directors approved an extension of this repurchase program through June 30, 2023. Repurchases under the program may be made from time-to-time through open market purchases, 10b5-1 plans or privately negotiated transactions subject to market conditions, applicable legal requirements and other relevant factors. The repurchase program does not obligate us to acquire any particular amount of ordinary shares, and it may be suspended at any time at the company's discretion. Repurchases are funded using working capital and any repurchased shares are recorded as authorized but unissued shares.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i w:val="1"/>
          <w:iCs w:val="1"/>
          <w:color w:val="auto"/>
        </w:rPr>
        <w:t>Operating and Capital Expenditure Requirements</w:t>
      </w:r>
    </w:p>
    <w:p>
      <w:pPr>
        <w:spacing w:after="0" w:line="119"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As of April 30, 2022, we had cash and cash equivalents of approximately $200.6 million. We believe that our existing cash balances will be sufficient to meet our anticipated cash requirements through at least the next 12 months. In the future, we expect our operating and capital expenditures to increase as we increase headcount, expand our business activities, and implement and enhance our information technology platforms. As we expand our operations, we may require more working capital. If our available cash balances are insufficient to satisfy our future liquidity requirements, we may seek to sell equity or convertible debt securities or borrow funds commercially. The sale of equity and convertible debt securities may result in dilution to our shareholders, and those securities may have rights senior to those of our ordinary shares. If we raise additional funds through the issuance of convertible debt securities or borrowing funds commercially, we may become subject to covenants that would restrict our operations. We may require additional capital beyond our currently anticipated amounts. Additional capital may not be available to us on reasonable terms, or at all.</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short- term and long-term capital requirements will depend on many factors, including the following:</w:t>
      </w:r>
    </w:p>
    <w:p>
      <w:pPr>
        <w:spacing w:after="0" w:line="117" w:lineRule="exact"/>
        <w:rPr>
          <w:sz w:val="20"/>
          <w:szCs w:val="20"/>
          <w:color w:val="auto"/>
        </w:rPr>
      </w:pPr>
    </w:p>
    <w:p>
      <w:pPr>
        <w:ind w:left="1520" w:hanging="500"/>
        <w:spacing w:after="0"/>
        <w:tabs>
          <w:tab w:leader="none" w:pos="1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from operations;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our costs;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our research and development of new technologies and products to address new markets and applications;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and duration of COVID-19 impact, as well as measures implemented to control the spread of the virus;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technologies or products;</w:t>
      </w:r>
    </w:p>
    <w:p>
      <w:pPr>
        <w:spacing w:after="0" w:line="117" w:lineRule="exact"/>
        <w:rPr>
          <w:rFonts w:ascii="Times New Roman" w:cs="Times New Roman" w:eastAsia="Times New Roman" w:hAnsi="Times New Roman"/>
          <w:sz w:val="18"/>
          <w:szCs w:val="18"/>
          <w:color w:val="auto"/>
        </w:rPr>
      </w:pPr>
    </w:p>
    <w:p>
      <w:pPr>
        <w:ind w:left="1520" w:right="380" w:hanging="500"/>
        <w:spacing w:after="0" w:line="282" w:lineRule="auto"/>
        <w:tabs>
          <w:tab w:leader="none" w:pos="1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or participating in litigation-related activities; and</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complementary businesses, products and technologies.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Purchase Obligations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April 30, 2022, we had purchase obligations with our independent contract manufacturers of $66.3 million.</w:t>
      </w:r>
    </w:p>
    <w:p>
      <w:pPr>
        <w:spacing w:after="0" w:line="225"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Except as described above with respect to the manufacturing purchase obligations, there were no other material changes in our contractual obligations, commitments and contingencies from those disclosed in our Annual Report on Form 10-K for the fiscal year ended January 31, 2022. Please see Item 7, “Management’s Discussion and Analysis of Financial Condition and Results of Operations – Contractual Obligations, Commitments and Contingencies” in our Annual Report on Form 10-K for the fiscal year ended January 31, 2022 for a description of our contractual obligations.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As of April 30, 2022, we did not engage in any off-balance sheet arrangements, including the use of structured finance, special purpose entities or variable interest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Authoritative Accounting Guidance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 of Notes to Condensed Consolidated Financial Statements for information regarding recently issued accounting pronouncements.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21" w:lineRule="exact"/>
        <w:rPr>
          <w:sz w:val="20"/>
          <w:szCs w:val="20"/>
          <w:color w:val="auto"/>
        </w:rPr>
      </w:pPr>
    </w:p>
    <w:p>
      <w:pPr>
        <w:ind w:right="100" w:firstLine="57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Annual Report on Form 10-K for the 2022 fiscal year filed with the SEC on April 1, 2022.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As of April 30, 2022 and January 31, 2022, we had cash and cash equivalents totaling $200.6 million and $171.0 million, respectively. Our cash is deposited in checking accounts with reputable financial institutions and is held for working capital purposes.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To date, all of our product sales and inventory purchases have been denominated in U.S. dollars. We therefore have not had any foreign currency risk associated with these two activities. The functional currency of all of our entities is the U.S. dollar. Our operations outside of the United States incur operating expenses and hold assets and liabilities denominated in foreign currencies, principally the New Taiwan Dollar, the Chinese Yuan Renminbi and the Eurozone Euro. Our results of operations and cash flows are subject to fluctuations due to changes in foreign currency exchange rates. As we grow our operations, our exposure to foreign currency risk could become more significant. To date, we have not entered into any foreign currency exchange contracts and currently do not expect to enter into foreign currency exchange contracts for trading or speculative purposes.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the end of the period covered by this Quarterly Report on Form 10-Q. The term “disclosure controls and procedures” (as defined in Rules 13a- 15(e) and 15d- 15(e))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ind w:right="740" w:firstLine="510"/>
        <w:spacing w:after="0" w:line="282" w:lineRule="auto"/>
        <w:rPr>
          <w:sz w:val="20"/>
          <w:szCs w:val="20"/>
          <w:color w:val="auto"/>
        </w:rPr>
      </w:pPr>
      <w:r>
        <w:rPr>
          <w:rFonts w:ascii="Times New Roman" w:cs="Times New Roman" w:eastAsia="Times New Roman" w:hAnsi="Times New Roman"/>
          <w:sz w:val="18"/>
          <w:szCs w:val="18"/>
          <w:color w:val="auto"/>
        </w:rPr>
        <w:t>Based upon such evaluation, our Principal Executive Officer and Principal Financial Officer have concluded that, as of April 30, 2022, our disclosure controls and procedures were effective at the reasonable assurance level.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Company’s fiscal quarter ended April 30, 2022 that have materially affected, or are reasonably likely to materially affect, the Company’s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Disclosure Controls and Internal Control over Financial Reporting</w:t>
      </w:r>
    </w:p>
    <w:p>
      <w:pPr>
        <w:spacing w:after="0" w:line="121"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engaged in any material legal proceedings at this time.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6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business and our industry is subject to numerous risks and uncertainties, including those described in the following Risk Factors. These risks include, but are not limited to, the following:</w:t>
      </w:r>
    </w:p>
    <w:p>
      <w:pPr>
        <w:spacing w:after="0" w:line="162" w:lineRule="exact"/>
        <w:rPr>
          <w:sz w:val="20"/>
          <w:szCs w:val="20"/>
          <w:color w:val="auto"/>
        </w:rPr>
      </w:pPr>
    </w:p>
    <w:p>
      <w:pPr>
        <w:ind w:left="740" w:right="120" w:hanging="368"/>
        <w:spacing w:after="0" w:line="282"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could adversely affect our business in a material way, including closure of our offices or the facilities of our suppliers or customers.</w:t>
      </w:r>
    </w:p>
    <w:p>
      <w:pPr>
        <w:spacing w:after="0" w:line="161" w:lineRule="exact"/>
        <w:rPr>
          <w:rFonts w:ascii="Times New Roman" w:cs="Times New Roman" w:eastAsia="Times New Roman" w:hAnsi="Times New Roman"/>
          <w:sz w:val="18"/>
          <w:szCs w:val="18"/>
          <w:color w:val="auto"/>
        </w:rPr>
      </w:pPr>
    </w:p>
    <w:p>
      <w:pPr>
        <w:ind w:left="740" w:right="140" w:hanging="368"/>
        <w:spacing w:after="0" w:line="282"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incorporate components supplied by multiple third parties, and a supply shortage or delay in delivery of these components could delay orders for our solutions by our customers.</w:t>
      </w:r>
    </w:p>
    <w:p>
      <w:pPr>
        <w:spacing w:after="0" w:line="161"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in, or increased costs of, wafers and materials could increase the manufacturing times for our products and adversely impact our ability to meet customer demand, reduce our gross margins and lead to reduced revenues.</w:t>
      </w:r>
    </w:p>
    <w:p>
      <w:pPr>
        <w:spacing w:after="0" w:line="161" w:lineRule="exact"/>
        <w:rPr>
          <w:rFonts w:ascii="Times New Roman" w:cs="Times New Roman" w:eastAsia="Times New Roman" w:hAnsi="Times New Roman"/>
          <w:sz w:val="18"/>
          <w:szCs w:val="18"/>
          <w:color w:val="auto"/>
        </w:rPr>
      </w:pPr>
    </w:p>
    <w:p>
      <w:pPr>
        <w:ind w:left="740" w:hanging="368"/>
        <w:spacing w:after="0" w:line="312" w:lineRule="auto"/>
        <w:tabs>
          <w:tab w:leader="none" w:pos="7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39" w:lineRule="exact"/>
        <w:rPr>
          <w:rFonts w:ascii="Times New Roman" w:cs="Times New Roman" w:eastAsia="Times New Roman" w:hAnsi="Times New Roman"/>
          <w:sz w:val="17"/>
          <w:szCs w:val="17"/>
          <w:color w:val="auto"/>
        </w:rPr>
      </w:pPr>
    </w:p>
    <w:p>
      <w:pPr>
        <w:ind w:left="740" w:right="340" w:hanging="368"/>
        <w:spacing w:after="0" w:line="282"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long-term supply contracts with our third-party manufacturing vendors, and they may not allocate sufficient capacity to us at reasonable prices to meet future demands for our solutions.</w:t>
      </w:r>
    </w:p>
    <w:p>
      <w:pPr>
        <w:spacing w:after="0" w:line="161" w:lineRule="exact"/>
        <w:rPr>
          <w:rFonts w:ascii="Times New Roman" w:cs="Times New Roman" w:eastAsia="Times New Roman" w:hAnsi="Times New Roman"/>
          <w:sz w:val="18"/>
          <w:szCs w:val="18"/>
          <w:color w:val="auto"/>
        </w:rPr>
      </w:pPr>
    </w:p>
    <w:p>
      <w:pPr>
        <w:ind w:left="740" w:right="120" w:hanging="368"/>
        <w:spacing w:after="0" w:line="282"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customers do not design our solutions into their product offerings, or if our customers’ product offerings are not commercially successful, our business would suffer.</w:t>
      </w:r>
    </w:p>
    <w:p>
      <w:pPr>
        <w:spacing w:after="0" w:line="161" w:lineRule="exact"/>
        <w:rPr>
          <w:rFonts w:ascii="Times New Roman" w:cs="Times New Roman" w:eastAsia="Times New Roman" w:hAnsi="Times New Roman"/>
          <w:sz w:val="18"/>
          <w:szCs w:val="18"/>
          <w:color w:val="auto"/>
        </w:rPr>
      </w:pPr>
    </w:p>
    <w:p>
      <w:pPr>
        <w:ind w:left="740" w:right="260" w:hanging="368"/>
        <w:spacing w:after="0" w:line="282"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introduce new or enhanced solutions that meet market requirements on a timely basis, our ability to attract and retain customers could be impaired and our competitive position could be harmed.</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penetrate new markets, including the automotive OEM ADAS market, our revenue and financial condition could be harmed.</w:t>
      </w:r>
    </w:p>
    <w:p>
      <w:pPr>
        <w:spacing w:after="0" w:line="225" w:lineRule="exact"/>
        <w:rPr>
          <w:rFonts w:ascii="Times New Roman" w:cs="Times New Roman" w:eastAsia="Times New Roman" w:hAnsi="Times New Roman"/>
          <w:sz w:val="18"/>
          <w:szCs w:val="18"/>
          <w:color w:val="auto"/>
        </w:rPr>
      </w:pPr>
    </w:p>
    <w:p>
      <w:pPr>
        <w:ind w:left="740" w:right="520" w:hanging="368"/>
        <w:spacing w:after="0" w:line="282"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 markets may not grow or develop as we currently expect and are subject to market risks, any of which could harm our business, revenue and operating results.</w:t>
      </w:r>
    </w:p>
    <w:p>
      <w:pPr>
        <w:spacing w:after="0" w:line="161" w:lineRule="exact"/>
        <w:rPr>
          <w:rFonts w:ascii="Times New Roman" w:cs="Times New Roman" w:eastAsia="Times New Roman" w:hAnsi="Times New Roman"/>
          <w:sz w:val="18"/>
          <w:szCs w:val="18"/>
          <w:color w:val="auto"/>
        </w:rPr>
      </w:pPr>
    </w:p>
    <w:p>
      <w:pPr>
        <w:ind w:left="740" w:right="320" w:hanging="368"/>
        <w:spacing w:after="0" w:line="282"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our products to certain China customers has been restricted. In addition, we are subject to governmental export and import controls that could subject us to liability or impair our ability to compete in international markets, including China.</w:t>
      </w:r>
    </w:p>
    <w:p>
      <w:pPr>
        <w:spacing w:after="0" w:line="161" w:lineRule="exact"/>
        <w:rPr>
          <w:rFonts w:ascii="Times New Roman" w:cs="Times New Roman" w:eastAsia="Times New Roman" w:hAnsi="Times New Roman"/>
          <w:sz w:val="18"/>
          <w:szCs w:val="18"/>
          <w:color w:val="auto"/>
        </w:rPr>
      </w:pPr>
    </w:p>
    <w:p>
      <w:pPr>
        <w:ind w:left="740" w:hanging="368"/>
        <w:spacing w:after="0" w:line="266"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including possible trade tariffs and trade restrictions, may have an impact on our business and financial condition in ways that we currently cannot predict. Our primary inventory warehouse is located in Hong Kong and may be affected by political, social and economic conditions in Hong Kong.</w:t>
      </w:r>
    </w:p>
    <w:p>
      <w:pPr>
        <w:spacing w:after="0" w:line="17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political and other risks conducting business in Taiwan, particularly due to its relationship with China.</w:t>
      </w:r>
    </w:p>
    <w:p>
      <w:pPr>
        <w:spacing w:after="0" w:line="225" w:lineRule="exact"/>
        <w:rPr>
          <w:rFonts w:ascii="Times New Roman" w:cs="Times New Roman" w:eastAsia="Times New Roman" w:hAnsi="Times New Roman"/>
          <w:sz w:val="18"/>
          <w:szCs w:val="18"/>
          <w:color w:val="auto"/>
        </w:rPr>
      </w:pPr>
    </w:p>
    <w:p>
      <w:pPr>
        <w:ind w:left="740" w:right="120" w:hanging="368"/>
        <w:spacing w:after="0" w:line="282"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61" w:lineRule="exact"/>
        <w:rPr>
          <w:rFonts w:ascii="Times New Roman" w:cs="Times New Roman" w:eastAsia="Times New Roman" w:hAnsi="Times New Roman"/>
          <w:sz w:val="18"/>
          <w:szCs w:val="18"/>
          <w:color w:val="auto"/>
        </w:rPr>
      </w:pPr>
    </w:p>
    <w:p>
      <w:pPr>
        <w:ind w:left="740" w:right="600" w:hanging="368"/>
        <w:spacing w:after="0" w:line="282"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cancel their orders, change production quantities or delay production. If we fail to accurately forecast demand for our solutions, revenue shortfalls and/or excess, obsolete or insufficient inventory could result.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8" w:name="page29"/>
    <w:bookmarkEnd w:id="28"/>
    <w:p>
      <w:pPr>
        <w:ind w:left="368" w:right="520"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customers and end customers for a significant portion of our revenue. If we fail to retain or expand our customer relationships, our revenue could decline.</w:t>
      </w:r>
    </w:p>
    <w:p>
      <w:pPr>
        <w:spacing w:after="0" w:line="161" w:lineRule="exact"/>
        <w:rPr>
          <w:rFonts w:ascii="Times New Roman" w:cs="Times New Roman" w:eastAsia="Times New Roman" w:hAnsi="Times New Roman"/>
          <w:sz w:val="18"/>
          <w:szCs w:val="18"/>
          <w:color w:val="auto"/>
        </w:rPr>
      </w:pPr>
    </w:p>
    <w:p>
      <w:pPr>
        <w:ind w:left="368"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our ability to successfully integrate and to realize anticipated synergies, on a timely basis or at all, in connection with the Oculii Corp. merger and other strategic transactions we may undertake.</w:t>
      </w:r>
    </w:p>
    <w:p>
      <w:pPr>
        <w:spacing w:after="0" w:line="161" w:lineRule="exact"/>
        <w:rPr>
          <w:rFonts w:ascii="Times New Roman" w:cs="Times New Roman" w:eastAsia="Times New Roman" w:hAnsi="Times New Roman"/>
          <w:sz w:val="18"/>
          <w:szCs w:val="18"/>
          <w:color w:val="auto"/>
        </w:rPr>
      </w:pPr>
    </w:p>
    <w:p>
      <w:pPr>
        <w:ind w:left="368" w:right="420"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and import controls that could subject us to liability or impair our ability to compete in international markets.</w:t>
      </w:r>
    </w:p>
    <w:p>
      <w:pPr>
        <w:spacing w:after="0" w:line="161"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competition to increase in the future, which could have an adverse effect on our revenue and market share.</w:t>
      </w:r>
    </w:p>
    <w:p>
      <w:pPr>
        <w:spacing w:after="0" w:line="225"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on a quarterly and annual basis could cause the market price of our ordinary shares to decline.</w:t>
      </w:r>
    </w:p>
    <w:p>
      <w:pPr>
        <w:spacing w:after="0" w:line="225"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our security systems may have a material adverse effect on our business.</w:t>
      </w:r>
    </w:p>
    <w:p>
      <w:pPr>
        <w:spacing w:after="0" w:line="225" w:lineRule="exact"/>
        <w:rPr>
          <w:rFonts w:ascii="Times New Roman" w:cs="Times New Roman" w:eastAsia="Times New Roman" w:hAnsi="Times New Roman"/>
          <w:sz w:val="18"/>
          <w:szCs w:val="18"/>
          <w:color w:val="auto"/>
        </w:rPr>
      </w:pPr>
    </w:p>
    <w:p>
      <w:pPr>
        <w:ind w:left="368" w:right="480"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and, if we are unable to hire, retain or motivate key personnel, we may not be able to grow effectively. Similarly, the loss of any of our key personnel could seriously harm our business.</w:t>
      </w:r>
    </w:p>
    <w:p>
      <w:pPr>
        <w:spacing w:after="0" w:line="161" w:lineRule="exact"/>
        <w:rPr>
          <w:rFonts w:ascii="Times New Roman" w:cs="Times New Roman" w:eastAsia="Times New Roman" w:hAnsi="Times New Roman"/>
          <w:sz w:val="18"/>
          <w:szCs w:val="18"/>
          <w:color w:val="auto"/>
        </w:rPr>
      </w:pPr>
    </w:p>
    <w:p>
      <w:pPr>
        <w:ind w:left="368" w:right="240"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intend to continue to invest in research and development, we may be unable to make the substantial investments that are required to remain competitive in our business.</w:t>
      </w:r>
    </w:p>
    <w:p>
      <w:pPr>
        <w:spacing w:after="0" w:line="161" w:lineRule="exact"/>
        <w:rPr>
          <w:rFonts w:ascii="Times New Roman" w:cs="Times New Roman" w:eastAsia="Times New Roman" w:hAnsi="Times New Roman"/>
          <w:sz w:val="18"/>
          <w:szCs w:val="18"/>
          <w:color w:val="auto"/>
        </w:rPr>
      </w:pPr>
    </w:p>
    <w:p>
      <w:pPr>
        <w:ind w:left="368" w:right="40"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161" w:lineRule="exact"/>
        <w:rPr>
          <w:rFonts w:ascii="Times New Roman" w:cs="Times New Roman" w:eastAsia="Times New Roman" w:hAnsi="Times New Roman"/>
          <w:sz w:val="18"/>
          <w:szCs w:val="18"/>
          <w:color w:val="auto"/>
        </w:rPr>
      </w:pPr>
    </w:p>
    <w:p>
      <w:pPr>
        <w:ind w:left="368" w:right="60"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of video and image processing solutions in our target markets have historically decreased over time and will likely do so in the future, which could harm our revenue and gross margins.</w:t>
      </w:r>
    </w:p>
    <w:p>
      <w:pPr>
        <w:spacing w:after="0" w:line="161"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generate revenue growth, we may not be able to execute our business plan and our operating results could suffer.</w:t>
      </w:r>
    </w:p>
    <w:p>
      <w:pPr>
        <w:spacing w:after="0" w:line="225" w:lineRule="exact"/>
        <w:rPr>
          <w:rFonts w:ascii="Times New Roman" w:cs="Times New Roman" w:eastAsia="Times New Roman" w:hAnsi="Times New Roman"/>
          <w:sz w:val="18"/>
          <w:szCs w:val="18"/>
          <w:color w:val="auto"/>
        </w:rPr>
      </w:pPr>
    </w:p>
    <w:p>
      <w:pPr>
        <w:ind w:left="368" w:right="640"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cyclical nature of the semiconductor industry. We may have difficulty accurately predicting our future revenue and appropriately budgeting our expenses.</w:t>
      </w:r>
    </w:p>
    <w:p>
      <w:pPr>
        <w:spacing w:after="0" w:line="161" w:lineRule="exact"/>
        <w:rPr>
          <w:rFonts w:ascii="Times New Roman" w:cs="Times New Roman" w:eastAsia="Times New Roman" w:hAnsi="Times New Roman"/>
          <w:sz w:val="18"/>
          <w:szCs w:val="18"/>
          <w:color w:val="auto"/>
        </w:rPr>
      </w:pPr>
    </w:p>
    <w:p>
      <w:pPr>
        <w:ind w:left="368" w:right="60" w:hanging="368"/>
        <w:spacing w:after="0" w:line="266"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175"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warranty and product liability claims and to product recalls which could adversely affect our business.</w:t>
      </w:r>
    </w:p>
    <w:p>
      <w:pPr>
        <w:spacing w:after="0" w:line="225" w:lineRule="exact"/>
        <w:rPr>
          <w:rFonts w:ascii="Times New Roman" w:cs="Times New Roman" w:eastAsia="Times New Roman" w:hAnsi="Times New Roman"/>
          <w:sz w:val="18"/>
          <w:szCs w:val="18"/>
          <w:color w:val="auto"/>
        </w:rPr>
      </w:pPr>
    </w:p>
    <w:p>
      <w:pPr>
        <w:ind w:left="368" w:right="20"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 is processed through a single distributor and the loss of this distributor, or our inability to collect from them, may cause disruptions in our shipments, which may adversely affect our operations and financial condition.</w:t>
      </w:r>
    </w:p>
    <w:p>
      <w:pPr>
        <w:spacing w:after="0" w:line="161"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our distributors' product inventories.</w:t>
      </w:r>
    </w:p>
    <w:p>
      <w:pPr>
        <w:spacing w:after="0" w:line="225"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financial conditions of our customers could adversely affect our operating results.</w:t>
      </w:r>
    </w:p>
    <w:p>
      <w:pPr>
        <w:spacing w:after="0" w:line="225" w:lineRule="exact"/>
        <w:rPr>
          <w:rFonts w:ascii="Times New Roman" w:cs="Times New Roman" w:eastAsia="Times New Roman" w:hAnsi="Times New Roman"/>
          <w:sz w:val="18"/>
          <w:szCs w:val="18"/>
          <w:color w:val="auto"/>
        </w:rPr>
      </w:pPr>
    </w:p>
    <w:p>
      <w:pPr>
        <w:ind w:left="368" w:right="280" w:hanging="368"/>
        <w:spacing w:after="0" w:line="266"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assertions of infringement of their intellectual property rights could result in our having to incur significant costs and cause our operating results to suffer. Any potential dispute involving our patents or other intellectual property could affect our customers, which could trigger our indemnification obligations to them and result in substantial expense to us.</w:t>
      </w:r>
    </w:p>
    <w:p>
      <w:pPr>
        <w:spacing w:after="0" w:line="175" w:lineRule="exact"/>
        <w:rPr>
          <w:rFonts w:ascii="Times New Roman" w:cs="Times New Roman" w:eastAsia="Times New Roman" w:hAnsi="Times New Roman"/>
          <w:sz w:val="18"/>
          <w:szCs w:val="18"/>
          <w:color w:val="auto"/>
        </w:rPr>
      </w:pPr>
    </w:p>
    <w:p>
      <w:pPr>
        <w:ind w:left="368"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61" w:lineRule="exact"/>
        <w:rPr>
          <w:rFonts w:ascii="Times New Roman" w:cs="Times New Roman" w:eastAsia="Times New Roman" w:hAnsi="Times New Roman"/>
          <w:sz w:val="18"/>
          <w:szCs w:val="18"/>
          <w:color w:val="auto"/>
        </w:rPr>
      </w:pPr>
    </w:p>
    <w:p>
      <w:pPr>
        <w:ind w:left="368" w:right="40"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378"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8"/>
          </w:cols>
          <w:pgMar w:left="692" w:top="337" w:right="399" w:bottom="1440" w:gutter="0" w:footer="0" w:header="0"/>
        </w:sectPr>
      </w:pPr>
    </w:p>
    <w:bookmarkStart w:id="29" w:name="page30"/>
    <w:bookmarkEnd w:id="29"/>
    <w:p>
      <w:pPr>
        <w:ind w:left="740" w:right="760" w:hanging="368"/>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numerous regulatory compliance requirements, which are costly to comply with, and our failure to comply with these requirements could harm our business and operating results.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could adversely affect our business in a material way.</w:t>
      </w:r>
    </w:p>
    <w:p>
      <w:pPr>
        <w:spacing w:after="0" w:line="121"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The global COVID-19 pandemic has significantly affected the populations and businesses of many countries. Our business has been, and is expected to continue to be, adversely impacted by the effects of the COVID-19 pandemic. In addition to global macroeconomic effects, the COVID-19 pandemic and related adverse public health developments have been causing, and are expected to continue to cause, disruption to our operations. We have had to impose remote or work from home conditions for varying periods of time in many of our offices, including the United States, China, Italy, Japan, South Korea and Taiwan. If such remote or work from home conditions continue for an extended period of time, we may experience delays in product development, a decreased ability to support our customers, reduced design win activity, and overall lack of productivity, which could harm our financial results. Approximately 350 of our employees are located in Taiwan and approximately 200 employees are located in China, and lengthy closures of these offices could significantly disrupt our software engineering and customer support operations. In addition, we and our suppliers, third-party distributors and customers have been, and are expected to continue to be, disrupted by quarantines and restrictions on certain employees’ ability to perform their jobs, office closures or restrictions, disruptions to shipping infrastructure, or other travel or health-related restrictions. In the first quarter of fiscal year 2023, we have experienced, and we expect to continue to experience, a significant disruption of orders by customers, as well as logistics throughout the Asia supply chain, as a result of the COVID-19 pandemic and measures taken to control spread of the virus. Depending on the continuing magnitude of such effects on the operations of our suppliers, third-party distributors and our supply chain, our product shipments could be delayed, which could materially adversely affect our business, results of operations and financial condition. Such continuing disruptions may also adversely affect our customers’ ability to manufacture their products, which in turn could reduce their demand for our products. In addition, decreased consumer demand from the impact of pandemic lockdowns in China has contributed to decreased revenue in consumer-related markets, including home IP security, automotive aftermarket and consumer markets.</w:t>
      </w:r>
    </w:p>
    <w:p>
      <w:pPr>
        <w:spacing w:after="0" w:line="87"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The semiconductor industry in general is currently experiencing significant shortages of capacity, due in part to COVID-19, which has resulted in a lengthening of the manufacturing lead time for our products and could be impacting the normal forecasting and ordering patterns of our customers. Moreover, if there is a significant COVID-19 outbreak that impacts Samsung Electronic Corporation’s ability to manufacture our SoCs or our third-party contractors’ ability to assemble, test and ship our products, we could experience delays or reductions in our ability to ship products to our customers. There can be no assurance that any decrease in sales resulting from the COVID-19 pandemic will be offset by increased sales in subsequent periods. These effects, alone or taken together, could have a material adverse effect on our business, results of operations, legal exposure, or financial condition. The extent of the COVID-19 pandemic’s effect on our operational and financial performance will depend on future developments, including the duration, spread and intensity of the pandemic, all of which are uncertain and difficult to predict. Due to the constantly evolving global conditions, we are not able at this time to estimate the long-term effect of these factors on our business, but the adverse impact on our business, results of operations, financial condition and cash flows could be material.</w:t>
      </w:r>
    </w:p>
    <w:p>
      <w:pPr>
        <w:spacing w:after="0" w:line="190" w:lineRule="exact"/>
        <w:rPr>
          <w:sz w:val="20"/>
          <w:szCs w:val="20"/>
          <w:color w:val="auto"/>
        </w:rPr>
      </w:pPr>
    </w:p>
    <w:p>
      <w:pPr>
        <w:ind w:right="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37" w:lineRule="exact"/>
        <w:rPr>
          <w:sz w:val="20"/>
          <w:szCs w:val="20"/>
          <w:color w:val="auto"/>
        </w:rPr>
      </w:pPr>
    </w:p>
    <w:p>
      <w:pPr>
        <w:ind w:right="40" w:firstLine="510"/>
        <w:spacing w:after="0" w:line="248" w:lineRule="auto"/>
        <w:rPr>
          <w:sz w:val="20"/>
          <w:szCs w:val="20"/>
          <w:color w:val="auto"/>
        </w:rPr>
      </w:pPr>
      <w:r>
        <w:rPr>
          <w:rFonts w:ascii="Times New Roman" w:cs="Times New Roman" w:eastAsia="Times New Roman" w:hAnsi="Times New Roman"/>
          <w:sz w:val="17"/>
          <w:szCs w:val="17"/>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computer vision, video and image processing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In addition, trade tensions between the United States and China and potential new export restrictions, as discussed in subsequent risk factors, may make it more difficult to secure future design wins with China customers.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ind w:right="80" w:firstLine="510"/>
        <w:spacing w:after="0" w:line="239" w:lineRule="auto"/>
        <w:rPr>
          <w:sz w:val="20"/>
          <w:szCs w:val="20"/>
          <w:color w:val="auto"/>
        </w:rPr>
      </w:pPr>
      <w:r>
        <w:rPr>
          <w:rFonts w:ascii="Times New Roman" w:cs="Times New Roman" w:eastAsia="Times New Roman" w:hAnsi="Times New Roman"/>
          <w:sz w:val="18"/>
          <w:szCs w:val="18"/>
          <w:color w:val="auto"/>
        </w:rPr>
        <w:t>Even if an OEM designs one of our SoC solutions into its product, we cannot be assured that the OEM’s product will be commercially successful over time or at all. For example, in the past we have secured design wins for camera products that were never commercially released by our customer or did not sell in volumes initially forecast by the customer, as a result of factors beyond our control. If products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penetrate new markets, our revenue and financial condition could be harmed.</w:t>
      </w:r>
    </w:p>
    <w:p>
      <w:pPr>
        <w:spacing w:after="0" w:line="12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believe that our future revenue growth, if any, will significantly depend on our ability to expand within the Intelligence of Things, or IoT, camera markets with our new artificial intelligence, or AI, computer vision SoC solutions, and the OEM automotive, robotics and industrial markets. Each of these markets presents distinct and substantial risks and, in many cases, requires us to develop new functionality or software to address the particular requirements of that market. If any of these markets do not develop as we currently anticipate, the technical requirements of these markets evolve in ways we do not anticipate, the development of such markets is delayed or impacted by factors outside of our control, such as the COVID-19 pandemic, or if we are unable to penetrate them successfully with our solutions, our revenue could decline and our financial condition would be negatively impacted. 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will require a substantial investment of our time and resources and we cannot assure you that we will secure design wins from these or other companies or that we will achieve meaningful revenue from the sales of our solutions into these markets. We anticipate that as we continue to move into new markets, such as the OEM automotive, robotics and industrial markets, we will face competition from larger competitors with greater resources and more history in these markets. If we fail to penetrate these or other new markets we are targeting, our financial condition would likely suffer. Moreover, if we are successful in achieving design wins in these new markets, it will likely take longer to generate revenue from such design wins than in our current markets.</w:t>
      </w:r>
    </w:p>
    <w:p>
      <w:pPr>
        <w:spacing w:after="0" w:line="183" w:lineRule="exact"/>
        <w:rPr>
          <w:sz w:val="20"/>
          <w:szCs w:val="20"/>
          <w:color w:val="auto"/>
        </w:rPr>
      </w:pPr>
    </w:p>
    <w:p>
      <w:pPr>
        <w:ind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introduce new or enhanced solutions on a timely basis, our ability to attract and retain customers could be impaired and our competitive position could be harmed.</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operate in a dynamic environment characterized by rapidly changing technologies. To compete successfully, we must design, develop, market and sell enhanced solutions that provide increasingly higher levels of performance and functionality and that meet the technical and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applicable to our solutions; or the requirement of additional functionality included in video processors. In addition, some of the markets for our solutions are characterized by frequent introduction of next-generation and new products, short product life cycles, increasing demand for added functionality and significant price competition. As we develop and introduce new solutions, we face the risk that customers may not value or be willing to bear the cost of incorporating these newer solutions into their products, particularly if they believe their customers are satisfied with current solutions. Regardless of the improved features or superior performance of the newer solutions, customers may be unwilling to adopt our new solutions due to design or pricing constraints. If we or our customers are unable to manage product transitions in a timely and cost-effective manner, our business and results of operations would suffer.</w:t>
      </w:r>
    </w:p>
    <w:p>
      <w:pPr>
        <w:spacing w:after="0" w:line="84"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need to establish and maintain relationships with third-party suppliers or software providers in order to effectively market our solutions to end-customers. Failure to establish these relationships could harm our ability to achieve design wins. Delays in product development could impair our relationships with our customers and negatively impact sales of our solutions under development. If we fail to introduce new or enhanced solutions that meet the needs of our customers or penetrate new markets in a timely fashion, we will lose market share, and our operating results will be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Shortages in, or increased costs of, wafers and materials could adversely impact our gross margins and lead to reduced revenues.</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Worldwide manufacturing capacity for silicon wafers is relatively inelastic. If the demand for silicon wafers or assembly material exceeds market supply, our supply of silicon wafers or assembly material could quickly become limited or prohibitively expensive. The semiconductor industry is currently experiencing significant shortages of manufacturing capacity, which has resulted in a lengthening of the manufacturing lead time for our products. If this capacity shortage continues for an extensive period of time, it could negatively impact our ability to meet our customer’s demand for our products and have an adverse impact on our revenue, results of operations and customer relationships. In addition, silicon wafers constitute a material portion of our product cost. If we are unable to purchase wafers at favorable prices, our results of operations and financial condition will be adversely affected. It is also possible during this time of supply chain capacity shortage that customers may place orders for our products that exceed their actual demand, which may lead to us manufacturing a surplus of products and could have a negative impact on our results of operations and cash reserves.</w:t>
      </w:r>
    </w:p>
    <w:p>
      <w:pPr>
        <w:spacing w:after="0" w:line="188" w:lineRule="exact"/>
        <w:rPr>
          <w:sz w:val="20"/>
          <w:szCs w:val="20"/>
          <w:color w:val="auto"/>
        </w:rPr>
      </w:pPr>
    </w:p>
    <w:p>
      <w:pPr>
        <w:ind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primary inventory warehouse is located in Hong Kong and may be affected by continued political, social, health and economic conditions in Hong Kong.</w:t>
      </w:r>
    </w:p>
    <w:p>
      <w:pPr>
        <w:spacing w:after="0" w:line="51"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We operate a warehouse facility in Hong Kong through which the substantial majority of our finished SoCs are shipped to customers or logistic partners. Hong Kong has experienced, and continues to experience, political unrest and social strife in addition to the impact of ongoing COVID-19 pandemic and measures to control spread of the virus. In response to national security legislation adopted by the Chinese government, the U.S. Secretary of State certified to the U.S. Congress in May 2020 that Hong Kong no longer maintains a sufficient degree of autonomy from China to warrant special treatment by the U.S. While such certification does not have an immediate impact on Hong Kong for trade or other purposes, this action represents an escalation in political and trade tensions involving the U.S, China and Hong Kong. In addition, the Bureau of Industry and Security, or BIS, has imposed additional restrictions on exports and reexports of U.S.-controlled items to Hong Kong by removing preferential treatment that Hong Kong used to receive and imposing more stringent licensing requirements similar to those applicable to China. It is possible that the U.S. government may take future measures to impose stricter export controls or duties on shipments made to Hong Kong, which could harm our business, increase the cost of conducting our operations in Hong Kong or result in retaliatory actions against U.S. interests. Further, Hong Kong has been impacted by the COVID-19 pandemic and office closures or other restrictions in light of the pandemic may harm our business or increase the cost of conducting our operations in Hong Kong.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such an eventuality, we could be forced to relocate our warehouse operations, either temporarily or permanently, to another potentially costlier location (or a location resulting in higher tax costs) or find alternative potentially costlier methods of shipping our finished SoCs to customers and logistic partners.</w:t>
      </w:r>
    </w:p>
    <w:p>
      <w:pPr>
        <w:spacing w:after="0" w:line="189" w:lineRule="exact"/>
        <w:rPr>
          <w:sz w:val="20"/>
          <w:szCs w:val="20"/>
          <w:color w:val="auto"/>
        </w:rPr>
      </w:pPr>
    </w:p>
    <w:p>
      <w:pPr>
        <w:ind w:right="4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5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We are focusing our development resources on addressing computer vision applications, primarily in the professional IP security and home security and monitoring camera markets, the OEM automotive and robotics markets, with our computer vision solutions. The application of computer vision functionality in these markets is relatively new, and we may be unable to predict the timing or development of these markets with accuracy. For example, a slower than expected adoption rate for computer vision technology in the IP security camera market could slow the demand for our new solutions. Similarly, a slower than anticipated adoption of electronic mirrors, advanced driving assistance systems and autonomous driving functionality could reduce demand for our new computer vision solutions. The COVID-19 pandemic has had a negative impact on the global economy and may decrease or delay development of new markets and new programs in emerging markets. If our key target markets, such as automotive cameras, IP security cameras and cameras for robotic applications, do not grow, grow slower, or do not develop in ways that we currently expect, demand for our computer vision, video and image processing SoCs may not materialize as expected, and our business and operating results could suffer.</w:t>
      </w:r>
    </w:p>
    <w:p>
      <w:pPr>
        <w:spacing w:after="0" w:line="184" w:lineRule="exact"/>
        <w:rPr>
          <w:sz w:val="20"/>
          <w:szCs w:val="20"/>
          <w:color w:val="auto"/>
        </w:rPr>
      </w:pPr>
    </w:p>
    <w:p>
      <w:pPr>
        <w:ind w:right="4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5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Our customers typically do not provide us with firm, long-term purchase commitments. A substantial majority of our sales are made on a purchase order basis, which permits our customers to cancel, change or delay their product purchase commitments with little or no notice to us and often without penalty to them. Because production lead times often exceed the amount of time required by our customers to fill their orders, we often must build SoCs in advance of receiving orders from customers, relying on an imperfect demand forecast to project volumes and product mix. As a result of a number of factors, including longer manufacturing times for our products and increased demand from customers, we have increased our inventory levels in the near term.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2" w:name="page33"/>
    <w:bookmarkEnd w:id="32"/>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miscalculations by our customers of their inventory requirements, changes in market conditions including reductions in market activity due to the COVID-19 pandemic, adverse changes in our product order mix and fluctuating demand for our customers’ products. Even after an order is received, our customers may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 This risk may be exacerbated during the current period of supply chain constraints by customers placing orders with us that could exceed their actual demand for our solutions.</w:t>
      </w:r>
    </w:p>
    <w:p>
      <w:pPr>
        <w:spacing w:after="0" w:line="192" w:lineRule="exact"/>
        <w:rPr>
          <w:sz w:val="20"/>
          <w:szCs w:val="20"/>
          <w:color w:val="auto"/>
        </w:rPr>
      </w:pPr>
    </w:p>
    <w:p>
      <w:pPr>
        <w:ind w:right="220" w:firstLine="510"/>
        <w:spacing w:after="0" w:line="258" w:lineRule="auto"/>
        <w:rPr>
          <w:sz w:val="20"/>
          <w:szCs w:val="20"/>
          <w:color w:val="auto"/>
        </w:rPr>
      </w:pPr>
      <w:r>
        <w:rPr>
          <w:rFonts w:ascii="Times New Roman" w:cs="Times New Roman" w:eastAsia="Times New Roman" w:hAnsi="Times New Roman"/>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w:t>
      </w:r>
    </w:p>
    <w:p>
      <w:pPr>
        <w:spacing w:after="0" w:line="179" w:lineRule="exact"/>
        <w:rPr>
          <w:sz w:val="20"/>
          <w:szCs w:val="20"/>
          <w:color w:val="auto"/>
        </w:rPr>
      </w:pPr>
    </w:p>
    <w:p>
      <w:pPr>
        <w:ind w:right="4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51"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2022, the customers representing 10% or more of our revenue were WT Microelectronics Co., Ltd., formerly Wintech Microelectronics Co., Ltd., or WT, our distributor, and Chicony Electronics Co., Ltd., or Chicony, a direct ODM customer, which accounted for approximately 62% and 13% of total revenue, respectively. For the three months ended April 30, 2022, the customers representing 10% or more of revenue were WT, Chicony, and Hakuto Co., Ltd., or Hakuto, a Japan distributor, which accounted for approximately 57%, 11%, and 10% of total revenue, respectively. We believe that our operating results for the foreseeable future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which has happened in the past.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w:t>
      </w:r>
    </w:p>
    <w:p>
      <w:pPr>
        <w:spacing w:after="0" w:line="183" w:lineRule="exact"/>
        <w:rPr>
          <w:sz w:val="20"/>
          <w:szCs w:val="20"/>
          <w:color w:val="auto"/>
        </w:rPr>
      </w:pPr>
    </w:p>
    <w:p>
      <w:pPr>
        <w:ind w:right="1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are focused on selling our computer vision, video and image processing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192"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Our customers generally take a considerable amount of time to evaluate our solutions. The typical time from early engagement by our sales force to actual product introduction runs from nine to 12 months for IoT markets and potentially significantly longer in the OEM automotive, robotics and industrial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175"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333333"/>
        </w:rPr>
        <w:t>Prior to purchasing our products, some of our customers, particularly in the automotive market, may require that our products and our third-party contractors undergo extensive qualification processes, which involve testing of our products in the customers’ systems, as well as testing for reliability. This qualification process may take several months and qualification of a product by a customer does not assure any sales of the product to that customer. Even after successful qualification and sales of a product to a customer, a subsequent revision in our third party contractors’ manufacturing process or our selection of a new supplier may require a new qualification process,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 our products with customers in anticipation of sales. If we are unsuccessful or delayed in qualifying these products with a customer, sales of the products to the customer may be precluded or delayed, which may impede our growth and cause our business to suffer.</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expect competition to increase in the future, which could have an adverse effect on our revenue and market share.</w:t>
      </w:r>
    </w:p>
    <w:p>
      <w:pPr>
        <w:spacing w:after="0" w:line="121"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The global semiconductor market in general, and the computer vision and video/image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longer histories in these markets. Increased competition could result in price pressure, reduced profitability and loss of market share, any of which could harm our business, revenue and operating results.</w:t>
      </w:r>
    </w:p>
    <w:p>
      <w:pPr>
        <w:spacing w:after="0" w:line="188"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Our competitors range from large, international companies with greater resources offering a wide range of semiconductor products to smaller, nimble companies specializing in narrow markets. In the IoT market, our primary competitors include AMLogic Inc., Fuzhou Rockchip Electronics Co., Ltd., HiSilicon Technologies Co., Ltd., or HiSilicon, which is owned by Huawei Technologies Co., Ingenic Semiconductor Co., Ltd., Novatek Microelectronics Corp., or Novatek, NVIDIA Corporation, or NVIDIA, OmniVision Technologies, Inc., Qualcomm Incorporated, or Qualcomm, SigmaStar Technology Corp., and Socionext Inc. In the automotive camera market, we compete against Allwinner Technology Co., Ltd., Horizon Robotics Inc., iCatch Technology, Inc., Mobileye, a subsidiary of Intel Corporation, Novatek, NVIDIA, NXP Semiconductors N.V., Qualcomm, Renesas Electronics Corporation, and Texas Instruments. 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194"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75" w:lineRule="exact"/>
        <w:rPr>
          <w:sz w:val="20"/>
          <w:szCs w:val="20"/>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market and technology trends and successfully develop solutions that meet market needs;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identifying and penetrating new markets, applications and customers;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understand the price points and performance metrics of competing products in the marketplace;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performance and cost-effectiveness relative to that of competing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access to leading design tools and product specifications at the same time as our competitors;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relationships with key OEMs and ODMs;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effective implementation of video processing or radar standards;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 operations in a timely and cost-efficient manner;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4" w:name="page35"/>
    <w:bookmarkEnd w:id="34"/>
    <w:p>
      <w:pPr>
        <w:ind w:left="1520" w:hanging="500"/>
        <w:spacing w:after="0"/>
        <w:tabs>
          <w:tab w:leader="none" w:pos="1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products in volume on a timely basis at competitive prices;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support our customers’ incorporation of our solutions into their products; and</w:t>
      </w:r>
    </w:p>
    <w:p>
      <w:pPr>
        <w:spacing w:after="0" w:line="117" w:lineRule="exact"/>
        <w:rPr>
          <w:rFonts w:ascii="Times New Roman" w:cs="Times New Roman" w:eastAsia="Times New Roman" w:hAnsi="Times New Roman"/>
          <w:sz w:val="18"/>
          <w:szCs w:val="18"/>
          <w:color w:val="auto"/>
        </w:rPr>
      </w:pPr>
    </w:p>
    <w:p>
      <w:pPr>
        <w:ind w:left="1520" w:right="80" w:hanging="500"/>
        <w:spacing w:after="0" w:line="282" w:lineRule="auto"/>
        <w:tabs>
          <w:tab w:leader="none" w:pos="1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design and application engineers with expertise in computer vision, video and image processing technologies and sales and marketing personnel.</w:t>
      </w:r>
    </w:p>
    <w:p>
      <w:pPr>
        <w:spacing w:after="0" w:line="162" w:lineRule="exact"/>
        <w:rPr>
          <w:sz w:val="20"/>
          <w:szCs w:val="20"/>
          <w:color w:val="auto"/>
        </w:rPr>
      </w:pPr>
    </w:p>
    <w:p>
      <w:pPr>
        <w:ind w:right="440" w:firstLine="510"/>
        <w:spacing w:after="0" w:line="266" w:lineRule="auto"/>
        <w:rPr>
          <w:sz w:val="20"/>
          <w:szCs w:val="20"/>
          <w:color w:val="auto"/>
        </w:rPr>
      </w:pPr>
      <w:r>
        <w:rPr>
          <w:rFonts w:ascii="Times New Roman" w:cs="Times New Roman" w:eastAsia="Times New Roman" w:hAnsi="Times New Roman"/>
          <w:sz w:val="18"/>
          <w:szCs w:val="18"/>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breach of our security systems may have a material adverse effect on our business.</w:t>
      </w:r>
    </w:p>
    <w:p>
      <w:pPr>
        <w:spacing w:after="0" w:line="229"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Our security systems are designed to maintain the physical security of our facilities and information systems and protect our customers’, suppliers’ and employees’ confidential information. Accidental or willful security breaches or other unauthorized access by third parties to our facilities or our information systems or the existence of computer viruses in our data or software could expose us to a risk of information loss and misappropriation of proprietary and confidential information. The costs to us to eliminate or alleviate cyber or other security problems, bugs, viruses, malicious software programs and security vulnerabilities could be significant, and our efforts to address these problems may not be successful and could result in interruptions and delays that may impede our sales, product distribution, financial reporting or other critical functions. In addition, we could incur significant costs in notifying affected persons and entities and otherwise complying with the multitude of foreign, federal, state and local laws and regulations relating to the unauthorized access to, or use or disclosure of, personal information.</w:t>
      </w:r>
    </w:p>
    <w:p>
      <w:pPr>
        <w:spacing w:after="0" w:line="192"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Security breaches, computer malware and computer hacking attacks have become more prevalent and sophisticated. These threats are constantly evolving, making it increasingly difficult to successfully defend against or implement adequate preventive measures. Moreover, as a result of the COVID-19 pandemic, the need for remote work and remote access to our systems has increased significantly, which also increases our cybersecurity risk profile. Experienced computer programmers and hackers may be able to penetrate our security controls and misappropriate or compromise our confidential information or that of third parties or create system disruptions. Computer programmers and hackers also may be able to develop and deploy viruses, worms and other malicious software programs that attack our information systems and cause disruptions of our business. For portions of our IT infrastructure, we rely on products and services provided by third parties. These third-party providers may also experience breaches and attacks to their products, which could impact our systems. For example, in 2020, SolarWinds Corp., one of our third-party IT infrastructure software providers, was subject to a data security breach. Our investigation of the breach, which was supported by a third-party security expert, has not identified any adverse impact to our business or operations, but there can be no guarantee we will not experience such an impact. Data security breaches may also result from non-technical means, for example, actions by an employee. Any theft or misuse of this information could result in, among other things, damage to our reputation, allegations by our customers that we have not performed our contractual obligations, litigation by affected parties and possible financial obligations for liabilities and damages related to the theft or misuse of this information, any of which could have a material adverse effect on our business, financial condition, our reputation, and our relationships with our customers and partners. We may also encounter errors in corruption or loss of data, an inability to accurately process or record transactions, and security or technical reliability issues. All of these could harm our ability to conduct core operating functions such as processing purchase orders and invoices, product distribution, recording and reporting financial and management information on a timely and accurate basis, and could impact our internal control compliance efforts.</w:t>
      </w:r>
    </w:p>
    <w:p>
      <w:pPr>
        <w:spacing w:after="0" w:line="193"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Any security breaches or other unauthorized access by third parties to the systems of our cloud-based service providers or the existence of computer viruses in their data or software could expose us to a risk of information loss and misappropriation of confidential information.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ind w:right="2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159"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The semiconductor industry requires substantial investment in research and development in order to bring to market new and enhanced solutions. Our research and development expense was $167.3 million, $140.8 million and $129.7 million in fiscal years 2022, 2021 and 2020, respectively. For the three months ended April 30, 2022, our research and development expense was $46.7 million. We expect to increase our research and development expenditures as compared to prior periods as part of our strategy of focusing on the development of innovative computer vision, video and image processing solutions with increased functionality, and as we target new markets, such as the automotive OEM and robotics markets. We are unable to predict whether we will have sufficient resources to achieve the level of investment in research and development required to remain competitive. For example, development in the latest process nodes, such as 5 nanometer, or nm, or smaller, costs significantly more than required to develop in larger process nodes, such as 14 or 10nm.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of our key personnel could seriously harm our business.</w:t>
      </w:r>
    </w:p>
    <w:p>
      <w:pPr>
        <w:spacing w:after="0" w:line="121"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We believe our future success depends in large part upon the continuing services of the members of our senior management team and various engineering and other technical personnel. If one or more of our senior executives or other key personnel are unable or unwilling to continue in their present positions, we may not be able to replace them easily or at all, our business may be disrupted, and our financial condition and results of operations may be materially and adversely affected. In addition, if any member of our senior management team or any of our other key personnel joins a competitor or forms a competing company, we may experience material disruption of our operations and development plans and lose customers, know-how and key professionals and staff members, and we may incur increased operating expenses as the attention of other senior executives is diverted to recruit replacements for key personnel.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hire, retain or motivate key personnel, we may not be able to grow effectively.</w:t>
      </w:r>
    </w:p>
    <w:p>
      <w:pPr>
        <w:spacing w:after="0" w:line="12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Our performance largely depends on the talents and efforts of highly skilled individuals. Our future success depends on our continuing ability to identify, hire, develop, motivate, and retain highly skilled personnel for all areas of our organization. Our industry is characterized by high demand and intense competition for talent, particularly for engineering personnel. The pool of qualified candidates is limited, particularly in Silicon Valley and parts of Asia for very-large-scale integration, or VLSI, and artificial intelligence and computer vision engineers, and certain of our competitors and potential competitors with greater resources have directly targeted our employees. In addition, we also face competition in hiring artificial intelligence engineers, including from companies with which we do not directly compete. Our compensation arrangements, such as our equity award programs, may not always be successful in attracting new employees and retaining and motivating our existing employees. Our continued ability to compete effectively, and to grow our business, depends on our ability to attract new employees and to retain and motivate our existing employees.</w:t>
      </w:r>
    </w:p>
    <w:p>
      <w:pPr>
        <w:spacing w:after="0" w:line="188" w:lineRule="exact"/>
        <w:rPr>
          <w:sz w:val="20"/>
          <w:szCs w:val="20"/>
          <w:color w:val="auto"/>
        </w:rPr>
      </w:pPr>
    </w:p>
    <w:p>
      <w:pPr>
        <w:ind w:right="1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video and image processing solutions in our target markets have typically decreased over time and will likely do so in the future, which could harm our revenue and gross margins.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Average selling prices of semiconductor products in the markets we serve have historically decreased over time, and we expect such declines to occur for our solutions over time. Our gross margins and financial results will suffer if we are unable to offset reductions in our average selling prices by reducing our costs, developing new or enhanced SoC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w:t>
      </w:r>
    </w:p>
    <w:p>
      <w:pPr>
        <w:spacing w:after="0" w:line="5"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factors. We expect that we will have to address pricing pressures again in the future, particularly in markets experiencing consolidation, which could require us to reduce the prices of our SoC solutions and harm our operating results.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any future growth, we may not be able to execute our business plan and our operating results could suffer.</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Our business has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 To manage growth successfully, we believe we must effectively, among other things:</w:t>
      </w:r>
    </w:p>
    <w:p>
      <w:pPr>
        <w:spacing w:after="0" w:line="72" w:lineRule="exact"/>
        <w:rPr>
          <w:sz w:val="20"/>
          <w:szCs w:val="20"/>
          <w:color w:val="auto"/>
        </w:rPr>
      </w:pPr>
    </w:p>
    <w:p>
      <w:pPr>
        <w:ind w:left="1520" w:right="80" w:hanging="500"/>
        <w:spacing w:after="0" w:line="282" w:lineRule="auto"/>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hire, train and manage additional qualified engineers for our research and development activities, particularly for the positions of semiconductor design and systems, AI computer vision development and applications engineering;</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sales and business development personnel;</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improve our administrative, financial and operational systems, procedures and controls;</w:t>
      </w:r>
    </w:p>
    <w:p>
      <w:pPr>
        <w:spacing w:after="0" w:line="117" w:lineRule="exact"/>
        <w:rPr>
          <w:rFonts w:ascii="Times New Roman" w:cs="Times New Roman" w:eastAsia="Times New Roman" w:hAnsi="Times New Roman"/>
          <w:sz w:val="18"/>
          <w:szCs w:val="18"/>
          <w:color w:val="auto"/>
        </w:rPr>
      </w:pPr>
    </w:p>
    <w:p>
      <w:pPr>
        <w:ind w:left="1520" w:right="200" w:hanging="500"/>
        <w:spacing w:after="0" w:line="282" w:lineRule="auto"/>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information technology support for enterprise resource planning and design engineering by adapting and expanding our systems and tool capabilities, and properly training new hires as to their use; and</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able to secure sufficient manufacturing capacity.</w:t>
      </w:r>
    </w:p>
    <w:p>
      <w:pPr>
        <w:spacing w:after="0" w:line="225"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We are likely to incur the costs associated with these increased investments earlier than some of the anticipated benefits, and the return on these investments, if any, may be lower, may develop more slowly than we expect or may not materialize. 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Deterioration of the financial conditions of our customers could adversely affect our operating results.</w:t>
      </w:r>
    </w:p>
    <w:p>
      <w:pPr>
        <w:spacing w:after="0" w:line="12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Deterioration of the financial condition of our distributors or customers could adversely impact our collection of accounts receivable. For the three months ended April 30, 2022, the customers representing 10% or more of revenue were WT, Chicony, and Hakuto, which accounted for approximately 57%, 11%, and 10% of total revenue, respectively. As of April 30, 2022, accounts receivable with WT, Chicony, and Hakuto were approximately $3.1 million, $10.5 million, and $0.6 million respectively. We regularly review the collectability and creditworthiness of our distributors and customers to determine an appropriate allowance for credit losses. Based on our review of our distributors and customers, we currently have only immaterial reserves for uncollectible accounts. If our uncollectible accounts, however, were to exceed our current or future allowance for credit losses, our operating results would be negatively impacted.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semiconductor industry.</w:t>
      </w:r>
    </w:p>
    <w:p>
      <w:pPr>
        <w:spacing w:after="0" w:line="12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the 2008-2009 global recession. These downturns have been characterized by diminished product demand, production overcapacity, high inventory levels and accelerated erosion of average selling prices. Any future downturns could harm our business and operating results. Recently, the semiconductor industry has experienced increased competition for access to third-party foundry and assembly capacity. We are dependent on the availability of this capacity to manufacture and assemble our SoC solutions. None of our third-party foundry or assembly contractors has provided assurances that adequate capacity will be available to us in the future. The semiconductor industry is currently experiencing significant shortages of capacity, which has resulted in a lengthening of the manufacturing lead time for our products. This capacity shortage has negatively impacted our ability to meet our customers’ demand, and if this capacity shortage continues for an extensive period of time, it could further negatively impact our ability to meet our customers’ demand for our products and have an adverse impact on our revenue, results of operations and customer relationships. In addition, it is possible during this time of supply chain capacity shortage that customers may place orders for our products that exceed their actual demand, which may lead to us manufacturing a surplus of products, which could have a negative impact on our results or operations and cash reserves.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both"/>
        <w:ind w:right="180"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6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184" w:lineRule="exact"/>
        <w:rPr>
          <w:sz w:val="20"/>
          <w:szCs w:val="20"/>
          <w:color w:val="auto"/>
        </w:rPr>
      </w:pPr>
    </w:p>
    <w:p>
      <w:pPr>
        <w:ind w:right="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We may face difficulties, delays and increased expense as we transition our products to new processes, such as the 4nm or 3nm process nodes, and potentially to new foundries. We currently depend on Samsung, as the principal foundry for our products, to transition to new processes successfully. We cannot assure you that Samsung will be able to effectively manage such transitions or that we will be able to maintain our relationship with Samsung or develop relationships with new foundries. Moreover, as we utilize more advanced process nodes beyond 5nm, we are increasingly dependent upon a very small number of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industry standards could make our video and image processing solutions obsolete, which would cause our operating results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suffer.</w:t>
      </w:r>
    </w:p>
    <w:p>
      <w:pPr>
        <w:spacing w:after="0" w:line="99"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design our video and image processing solutions to conform to video compression standards, including MPEG-2, H.264 Advanced Video Coding (AVC) and H.265 High Efficiency Video Coding (HEVC), set by industry standards setting bodies such as ITU-T Video Coding Experts Group and the ISO/IEC Moving Picture Experts Group. Generally, our solutions comprise only a part of a camera device. All components of these devices must uniformly comply with industry standards in order to operate efficiently together. We depend on companies that provide other components of the devices to support prevailing industry standards. Many of these companies are significantly larger and more influential in driving industry standards than we are.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 As a result, our sales would suffer, and we could be required to make significant expenditures to develop new SoC solutions to ensure compliance with relevant standards.</w:t>
      </w:r>
    </w:p>
    <w:p>
      <w:pPr>
        <w:spacing w:after="0" w:line="188" w:lineRule="exact"/>
        <w:rPr>
          <w:sz w:val="20"/>
          <w:szCs w:val="20"/>
          <w:color w:val="auto"/>
        </w:rPr>
      </w:pPr>
    </w:p>
    <w:p>
      <w:pPr>
        <w:ind w:right="5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5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have research and development design centers and business development offices in China, Germany, Italy, Japan,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79" w:lineRule="exact"/>
        <w:rPr>
          <w:sz w:val="20"/>
          <w:szCs w:val="20"/>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complexity and costs of managing international operations;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collection of receivables;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contracts generally;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8" w:name="page39"/>
    <w:bookmarkEnd w:id="38"/>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instability;</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and military conflicts, including the ongoing conflict in Ukraine;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of our intellectual property and other assets;</w:t>
      </w:r>
    </w:p>
    <w:p>
      <w:pPr>
        <w:spacing w:after="0" w:line="117" w:lineRule="exact"/>
        <w:rPr>
          <w:rFonts w:ascii="Times New Roman" w:cs="Times New Roman" w:eastAsia="Times New Roman" w:hAnsi="Times New Roman"/>
          <w:sz w:val="18"/>
          <w:szCs w:val="18"/>
          <w:color w:val="auto"/>
        </w:rPr>
      </w:pPr>
    </w:p>
    <w:p>
      <w:pPr>
        <w:ind w:left="1520" w:right="840" w:hanging="500"/>
        <w:spacing w:after="0" w:line="282" w:lineRule="auto"/>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 and unanticipated changes in local laws and regulations, including tax laws and regulations;</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 and higher tariffs;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w:t>
      </w:r>
    </w:p>
    <w:p>
      <w:pPr>
        <w:spacing w:after="0" w:line="117" w:lineRule="exact"/>
        <w:rPr>
          <w:rFonts w:ascii="Times New Roman" w:cs="Times New Roman" w:eastAsia="Times New Roman" w:hAnsi="Times New Roman"/>
          <w:sz w:val="18"/>
          <w:szCs w:val="18"/>
          <w:color w:val="auto"/>
        </w:rPr>
      </w:pPr>
    </w:p>
    <w:p>
      <w:pPr>
        <w:ind w:left="1520" w:right="620" w:hanging="500"/>
        <w:spacing w:after="0" w:line="282" w:lineRule="auto"/>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availability of import and export licenses and other governmental approvals, permits and licenses, including export classification requirements;</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fluctuations relating to our international operating activities;</w:t>
      </w:r>
    </w:p>
    <w:p>
      <w:pPr>
        <w:spacing w:after="0" w:line="117" w:lineRule="exact"/>
        <w:rPr>
          <w:rFonts w:ascii="Times New Roman" w:cs="Times New Roman" w:eastAsia="Times New Roman" w:hAnsi="Times New Roman"/>
          <w:sz w:val="18"/>
          <w:szCs w:val="18"/>
          <w:color w:val="auto"/>
        </w:rPr>
      </w:pPr>
    </w:p>
    <w:p>
      <w:pPr>
        <w:ind w:left="1520" w:right="140" w:hanging="500"/>
        <w:spacing w:after="0" w:line="282" w:lineRule="auto"/>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the U.S. government on our ability to do business with certain companies or in certain countries as a result of international political conflicts;</w:t>
      </w:r>
    </w:p>
    <w:p>
      <w:pPr>
        <w:spacing w:after="0" w:line="53" w:lineRule="exact"/>
        <w:rPr>
          <w:rFonts w:ascii="Times New Roman" w:cs="Times New Roman" w:eastAsia="Times New Roman" w:hAnsi="Times New Roman"/>
          <w:sz w:val="18"/>
          <w:szCs w:val="18"/>
          <w:color w:val="auto"/>
        </w:rPr>
      </w:pPr>
    </w:p>
    <w:p>
      <w:pPr>
        <w:ind w:left="1520" w:right="880" w:hanging="500"/>
        <w:spacing w:after="0" w:line="282" w:lineRule="auto"/>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other consequences of limited local infrastructure, and disruptions, such as large-scale outages or interruptions of service from utilities or telecommunications providers;</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terrorist acts;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standards and practices in the U.S.;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health issues, pandemics, and natural disasters; and</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w:t>
      </w:r>
    </w:p>
    <w:p>
      <w:pPr>
        <w:spacing w:after="0" w:line="221" w:lineRule="exact"/>
        <w:rPr>
          <w:sz w:val="20"/>
          <w:szCs w:val="20"/>
          <w:color w:val="auto"/>
        </w:rPr>
      </w:pPr>
    </w:p>
    <w:p>
      <w:pPr>
        <w:ind w:right="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 of Oculii Corp. involves a number of risks, including, among others, risks associated with our use of a significant portion of our cash, other financial risks, integration risks, and risks associated with the reactions of customers and suppliers.</w:t>
      </w:r>
    </w:p>
    <w:p>
      <w:pPr>
        <w:spacing w:after="0" w:line="159" w:lineRule="exact"/>
        <w:rPr>
          <w:sz w:val="20"/>
          <w:szCs w:val="20"/>
          <w:color w:val="auto"/>
        </w:rPr>
      </w:pPr>
    </w:p>
    <w:p>
      <w:pPr>
        <w:ind w:right="40" w:firstLine="510"/>
        <w:spacing w:after="0" w:line="312" w:lineRule="auto"/>
        <w:rPr>
          <w:sz w:val="20"/>
          <w:szCs w:val="20"/>
          <w:color w:val="auto"/>
        </w:rPr>
      </w:pPr>
      <w:r>
        <w:rPr>
          <w:rFonts w:ascii="Times New Roman" w:cs="Times New Roman" w:eastAsia="Times New Roman" w:hAnsi="Times New Roman"/>
          <w:sz w:val="17"/>
          <w:szCs w:val="17"/>
          <w:color w:val="auto"/>
        </w:rPr>
        <w:t>On November 5, 2021, we completed our acquisition of Oculii Corp. In connection with the transaction, Oculii became our wholly owned subsidiary. The benefits we expect to realize from this acquisition will depend, in part, on our ability to integrate the businesses successfully and efficiently.</w:t>
      </w:r>
    </w:p>
    <w:p>
      <w:pPr>
        <w:spacing w:after="0" w:line="140" w:lineRule="exact"/>
        <w:rPr>
          <w:sz w:val="20"/>
          <w:szCs w:val="20"/>
          <w:color w:val="auto"/>
        </w:rPr>
      </w:pPr>
    </w:p>
    <w:p>
      <w:pPr>
        <w:ind w:firstLine="468"/>
        <w:spacing w:after="0" w:line="255" w:lineRule="auto"/>
        <w:rPr>
          <w:sz w:val="20"/>
          <w:szCs w:val="20"/>
          <w:color w:val="auto"/>
        </w:rPr>
      </w:pPr>
      <w:r>
        <w:rPr>
          <w:rFonts w:ascii="Times New Roman" w:cs="Times New Roman" w:eastAsia="Times New Roman" w:hAnsi="Times New Roman"/>
          <w:sz w:val="18"/>
          <w:szCs w:val="18"/>
          <w:color w:val="auto"/>
        </w:rPr>
        <w:t>We entered into the merger agreement with Oculii with the expectation that the merger will result in various benefits to us, including certain technology and operational efficiencies or synergies. To realize these anticipated benefits, the businesses and certain technologies of Ambarella and Oculii must be successfully integrated. Historically, Ambarella and Oculii have been independent companies, and they were operated as such until the completion of the merger. The integration may be complex and time consuming and may require substantial resources and effort. Our management may face significant challenges in consolidating the operations of Ambarella and Oculii, integrating the technologies, procedures, and policies, as well as addressing the different corporate cultures of the two companies and retaining key personnel. If the businesses or technology are not successfully integrated, the anticipated benefits of the merger may not be realized fully or at all or may take longer to realize than expected.</w:t>
      </w:r>
    </w:p>
    <w:p>
      <w:pPr>
        <w:spacing w:after="0" w:line="189" w:lineRule="exact"/>
        <w:rPr>
          <w:sz w:val="20"/>
          <w:szCs w:val="20"/>
          <w:color w:val="auto"/>
        </w:rPr>
      </w:pPr>
    </w:p>
    <w:p>
      <w:pPr>
        <w:ind w:right="40" w:firstLine="468"/>
        <w:spacing w:after="0" w:line="266" w:lineRule="auto"/>
        <w:rPr>
          <w:sz w:val="20"/>
          <w:szCs w:val="20"/>
          <w:color w:val="auto"/>
        </w:rPr>
      </w:pPr>
      <w:r>
        <w:rPr>
          <w:rFonts w:ascii="Times New Roman" w:cs="Times New Roman" w:eastAsia="Times New Roman" w:hAnsi="Times New Roman"/>
          <w:sz w:val="18"/>
          <w:szCs w:val="18"/>
          <w:color w:val="auto"/>
        </w:rPr>
        <w:t>Our existing or prospective customers, licensees, suppliers and/or partners may delay, defer or cease purchasing products or services from or providing products or services to us, delay or defer other decisions concerning us, or otherwise seek to change the terms on which they do business with us. Any of the above could harm us, and thus decrease the benefits we expect to receive from the merger.</w:t>
      </w:r>
    </w:p>
    <w:p>
      <w:pPr>
        <w:spacing w:after="0" w:line="176" w:lineRule="exact"/>
        <w:rPr>
          <w:sz w:val="20"/>
          <w:szCs w:val="20"/>
          <w:color w:val="auto"/>
        </w:rPr>
      </w:pPr>
    </w:p>
    <w:p>
      <w:pPr>
        <w:ind w:right="20" w:firstLine="468"/>
        <w:spacing w:after="0" w:line="256" w:lineRule="auto"/>
        <w:rPr>
          <w:sz w:val="20"/>
          <w:szCs w:val="20"/>
          <w:color w:val="auto"/>
        </w:rPr>
      </w:pPr>
      <w:r>
        <w:rPr>
          <w:rFonts w:ascii="Times New Roman" w:cs="Times New Roman" w:eastAsia="Times New Roman" w:hAnsi="Times New Roman"/>
          <w:sz w:val="18"/>
          <w:szCs w:val="18"/>
          <w:color w:val="auto"/>
        </w:rPr>
        <w:t>In addition, the acquisition may also result in significant charges or other liabilities, including taxes, that could adversely affect our results of operations, such as cash expenses and non-cash accounting charges incurred in connection with the acquisition and/or integration of the business and operations of Ambarella and Oculii. The amount and timing of these possible charges are not yet known. Further, our failure to identify or accurately assess the magnitude of certain liabilities we are assuming in the transaction could result in unexpected litigation or regulatory exposure, unfavorable accounting charges, unexpected increases in taxes due, a loss of anticipated tax benefits or other adverse effects on our business,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9" w:name="page40"/>
    <w:bookmarkEnd w:id="39"/>
    <w:p>
      <w:pPr>
        <w:ind w:right="340" w:firstLine="46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Oculii acquisition or potential future acquisitions involve a number of risks, including, among others, those associated with our use of a significant portion of our cash and other financial risks.</w:t>
      </w:r>
    </w:p>
    <w:p>
      <w:pPr>
        <w:spacing w:after="0" w:line="159" w:lineRule="exact"/>
        <w:rPr>
          <w:sz w:val="20"/>
          <w:szCs w:val="20"/>
          <w:color w:val="auto"/>
        </w:rPr>
      </w:pPr>
    </w:p>
    <w:p>
      <w:pPr>
        <w:ind w:right="80" w:firstLine="464"/>
        <w:spacing w:after="0" w:line="261" w:lineRule="auto"/>
        <w:rPr>
          <w:sz w:val="20"/>
          <w:szCs w:val="20"/>
          <w:color w:val="auto"/>
        </w:rPr>
      </w:pPr>
      <w:r>
        <w:rPr>
          <w:rFonts w:ascii="Times New Roman" w:cs="Times New Roman" w:eastAsia="Times New Roman" w:hAnsi="Times New Roman"/>
          <w:sz w:val="18"/>
          <w:szCs w:val="18"/>
          <w:color w:val="auto"/>
        </w:rPr>
        <w:t>We used a significant portion of our cash in connection with the acquisition of Oculii, which was completed on November 5, 2021. Our use of cash to fund the Oculii acquisition has reduced our liquidity and any future acquisitions may also reduce our liquidity or require the use of equity. Using cash to fund acquisitions may limit our flexibility in responding to other business opportunities and increase our vulnerability to adverse economic and industry conditions.</w:t>
      </w:r>
    </w:p>
    <w:p>
      <w:pPr>
        <w:spacing w:after="0" w:line="176" w:lineRule="exact"/>
        <w:rPr>
          <w:sz w:val="20"/>
          <w:szCs w:val="20"/>
          <w:color w:val="auto"/>
        </w:rPr>
      </w:pPr>
    </w:p>
    <w:p>
      <w:pPr>
        <w:ind w:right="60" w:firstLine="46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 of Oculii and any acquisitions we may make in the future could disrupt our business, cause dilution to our shareholders, reduce our financial resources and harm our business.</w:t>
      </w:r>
    </w:p>
    <w:p>
      <w:pPr>
        <w:spacing w:after="0" w:line="159" w:lineRule="exact"/>
        <w:rPr>
          <w:sz w:val="20"/>
          <w:szCs w:val="20"/>
          <w:color w:val="auto"/>
        </w:rPr>
      </w:pPr>
    </w:p>
    <w:p>
      <w:pPr>
        <w:ind w:right="20" w:firstLine="468"/>
        <w:spacing w:after="0" w:line="254" w:lineRule="auto"/>
        <w:rPr>
          <w:sz w:val="20"/>
          <w:szCs w:val="20"/>
          <w:color w:val="auto"/>
        </w:rPr>
      </w:pPr>
      <w:r>
        <w:rPr>
          <w:rFonts w:ascii="Times New Roman" w:cs="Times New Roman" w:eastAsia="Times New Roman" w:hAnsi="Times New Roman"/>
          <w:sz w:val="18"/>
          <w:szCs w:val="18"/>
          <w:color w:val="auto"/>
        </w:rPr>
        <w:t>Prior to our acquisition of Oculii, we had not made any acquisitions since our acquisition of VisLab S.r.l. in June 2015. Our ability to make and successfully integrate acquisitions is largely unproven. The Oculii acquisition and any future acquisitions may not strengthen our competitive position and may be viewed negatively by our customers, financial markets or investors, and we may not achieve our goals in a timely manner, or at all. In addition, any acquisitions we make could lead to difficulties in integrating personnel, technologies and operations from the acquired businesses and in retaining and motivating key personnel from these businesses. Acquisitions may disrupt our ongoing operations, divert management from their primary responsibilities, subject us to additional liabilities, increase our expenses and adversely impact our business, operating results, financial condition and cash flows. Acquisitions may also reduce our cash available for operations and other uses, and could also result in an increase in amortization expense related to identifiable assets acquired, potentially dilutive issuances of equity securities or the incurrence of debt, any of which could harm our business.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 complexity of calculating our tax provision may result in errors that could result in restatements of our financial statements.</w:t>
      </w:r>
    </w:p>
    <w:p>
      <w:pPr>
        <w:spacing w:after="0" w:line="229" w:lineRule="exact"/>
        <w:rPr>
          <w:sz w:val="20"/>
          <w:szCs w:val="20"/>
          <w:color w:val="auto"/>
        </w:rPr>
      </w:pPr>
    </w:p>
    <w:p>
      <w:pPr>
        <w:ind w:right="160" w:firstLine="468"/>
        <w:spacing w:after="0" w:line="258" w:lineRule="auto"/>
        <w:rPr>
          <w:sz w:val="20"/>
          <w:szCs w:val="20"/>
          <w:color w:val="auto"/>
        </w:rPr>
      </w:pPr>
      <w:r>
        <w:rPr>
          <w:rFonts w:ascii="Times New Roman" w:cs="Times New Roman" w:eastAsia="Times New Roman" w:hAnsi="Times New Roman"/>
          <w:sz w:val="18"/>
          <w:szCs w:val="18"/>
          <w:color w:val="auto"/>
        </w:rPr>
        <w:t>We are incorporated in the Cayman Islands and our operations are subject to income and transaction taxes in the United States, China, Hong Kong, Germany, Italy, Japan,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Restatements are generally costly and could adversely impact our results of operations or have a negative impact on the trading price of our ordinary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Performance or Results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operating results on a quarterly and annual basis could cause the market price of our ordinary shares to decline.</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Our revenue and operating results have fluctuated significantly from period to period in the past and are likely to do so in the future. In particular, our business has tended to be seasonal with higher revenue in our third quarter as our customers typically increase their production to meet holiday shopping season or year-end demand for their products. We also may experience seasonally lower demand in our first quarter as a result of industry seasonality and the impact of ODM and OEM factory closures associated with the Chinese New Year holiday. As a result, you should not rely on period-to-period comparisons of our operating results as an indication of our future performance. In future periods, our revenue and results of operations may be below the expectations of analysts and investors, which could cause the market price of our ordinary shares to decline.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affect our operating results include:</w:t>
      </w:r>
    </w:p>
    <w:p>
      <w:pPr>
        <w:spacing w:after="0" w:line="117" w:lineRule="exact"/>
        <w:rPr>
          <w:sz w:val="20"/>
          <w:szCs w:val="20"/>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sales cycles, product mix, and prices for our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forecasting, scheduling, rescheduling or cancellation of orders by our customers;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consumer or manufacturer preferences and any resultant change in demand for our customers’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markets, including new entrants or pricing pressures;</w:t>
      </w:r>
    </w:p>
    <w:p>
      <w:pPr>
        <w:spacing w:after="0" w:line="117" w:lineRule="exact"/>
        <w:rPr>
          <w:rFonts w:ascii="Times New Roman" w:cs="Times New Roman" w:eastAsia="Times New Roman" w:hAnsi="Times New Roman"/>
          <w:sz w:val="18"/>
          <w:szCs w:val="18"/>
          <w:color w:val="auto"/>
        </w:rPr>
      </w:pPr>
    </w:p>
    <w:p>
      <w:pPr>
        <w:ind w:left="1520" w:right="20" w:hanging="500"/>
        <w:spacing w:after="0" w:line="282" w:lineRule="auto"/>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customers’ ability to manufacture and ship products that incorporate our solutions caused by internal and external factors beyond our control;</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define, design and release new solutions in a timely manner that meet our customers’ needs;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availability of adequate manufacturing capacity from our manufacturing subcontractors;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0" w:name="page41"/>
    <w:bookmarkEnd w:id="40"/>
    <w:p>
      <w:pPr>
        <w:ind w:left="1520" w:right="240" w:hanging="500"/>
        <w:spacing w:after="0" w:line="282" w:lineRule="auto"/>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manufacturing costs, including wafer, test and assembly costs, mask costs, manufacturing yields and product quality and reliability;</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announcements by our competitors or by us;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research and development and related new products expenditures;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inventory for excess quantities and technological obsolescence;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investment or other asset values;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and changes in accounting policies;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share price, which may lead to higher stock-based compensation expense;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effective tax rate;</w:t>
      </w:r>
    </w:p>
    <w:p>
      <w:pPr>
        <w:spacing w:after="0" w:line="117" w:lineRule="exact"/>
        <w:rPr>
          <w:rFonts w:ascii="Times New Roman" w:cs="Times New Roman" w:eastAsia="Times New Roman" w:hAnsi="Times New Roman"/>
          <w:sz w:val="18"/>
          <w:szCs w:val="18"/>
          <w:color w:val="auto"/>
        </w:rPr>
      </w:pPr>
    </w:p>
    <w:p>
      <w:pPr>
        <w:ind w:left="1520" w:right="20" w:hanging="500"/>
        <w:spacing w:after="0" w:line="282" w:lineRule="auto"/>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socioeconomic and political conditions in the countries where we operate or where our products are sold or used, including the COVID-19 pandemic, U.S.-China relations and the conditions in Hong Kong; and</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litigation, especially related to intellectual property.</w:t>
      </w:r>
    </w:p>
    <w:p>
      <w:pPr>
        <w:spacing w:after="0" w:line="225"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Moreover, the semiconductor industry has historically been cyclical in nature, reflecting overall economic conditions as well as budgeting and buying patterns of consumers. For example, the semiconductor industry is currently experiencing significant shortages of capacity, which has resulted in a lengthening of the manufacturing lead time for our products and could be impacting the normal forecasting and ordering patterns of our customers.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and profitability, or incur losses.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do not generate revenue growth, we may not be able to execute our business plan and our operating results could suffer.</w:t>
      </w:r>
    </w:p>
    <w:p>
      <w:pPr>
        <w:spacing w:after="0" w:line="229"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We believe that our future revenue growth, if any, will significantly depend on our ability to expand within our existing IoT camera markets, such as the existing professional IP security and home security and monitoring camera markets, and successfully penetrate new markets, such as the OEM automotive, robotics and industrial markets, with our new AI computer vision SoC solutions. We believe that executing upon our business plan requires us to continue to develop new SoCs and new software to address the particular requirements of these markets. Accordingly, we continue to invest in the development of new technology and solutions and expect our research and development expenditures to increase compared to prior periods. If we are unable to generate or maintain adequate revenue growth, our financial results could suffer and we may not be able to continue to invest in the development of new technology and solutions required to be successful.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accurately predicting our future revenue and appropriately budgeting our expenses.</w:t>
      </w:r>
    </w:p>
    <w:p>
      <w:pPr>
        <w:spacing w:after="0" w:line="22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rapidly evolving nature of the markets in which we sell our solutions, combined with substantial uncertainty concerning how these markets may develop, the considerable amount of time our customers generally take to evaluate our solutions, and other factors beyond our control, limits our ability to accurately forecast quarterly or annual revenue. We continue to expand our staffing and increase our expenditures in anticipation of future revenue growth. If our revenue does not increase as anticipated, we could incur significant losses due to our higher expense levels if we are not able to decrease our expenses in a timely manner to offset any shortfall in future revenue. Continued or persistent losses may require us to obtain additional capital that may not be available on reasonable terms or at all.</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to financial accounting standards may affect our results of operations and could cause us to change our business practices.</w:t>
      </w:r>
    </w:p>
    <w:p>
      <w:pPr>
        <w:spacing w:after="0" w:line="22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accounting rules and regulations. Changes in those accounting rules could have a significant effect on our financial results, require significant resources, pose challenges in forecasting revenue and may affect our reporting of transactions completed before a change is announced. Changes to those rules or the questioning of current practices may adversely affect our reported financial results or the way we conduct our business.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1" w:name="page42"/>
    <w:bookmarkEnd w:id="41"/>
    <w:p>
      <w:pPr>
        <w:ind w:right="1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between and among the currencies of the countries in which we do business may adversely affect our operating results.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camera manufacturers located outside the United States, primarily in Asia. Sales to customers in Asia accounted for approximately 88%, 88% and 90% of our total revenue in fiscal years 2022, 2021 and 2020, respectively. For the three months ended April 30, 2022, sales to customers in Asia accounted for approximately 83% of our total revenue. Because most of our end customers or their ODM manufacturers are located in Asia, we anticipate that a majority of our future revenue will continue to come from sales to that region.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192"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A significant number of our employees are located in Asia, principally Taiwan and China, and Europe. Therefore, a portion of our payroll as well as certain other operating expenses are paid in currencies other than the U.S. dollar, such as the New Taiwan Dollar, the Chinese Yuan Renminbi and the Eurozone Euro.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between the New Taiwan Dollar and the U.S. dollar, and between the Eurozone Euro and the U.S. dollar, have been volatile in the recent past and these currency fluctuations may make it difficult for us to predict our operating results.</w:t>
      </w:r>
    </w:p>
    <w:p>
      <w:pPr>
        <w:spacing w:after="0" w:line="79"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our future capital needs, and we may not be able to obtain additional financing to fund our operations.</w:t>
      </w:r>
    </w:p>
    <w:p>
      <w:pPr>
        <w:spacing w:after="0" w:line="31"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3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Moreover, availability of foundry capacity at our primary foundry vendor has tightened recently, which could limit the volume of products we can produce and/or delay production of new products, both of which would negatively impact our business and operations. Similarly, our assembly vendors have recently experienced shortages of certain substrates necessary for the production of our solutions due in part to COVID-19, which has negatively impacted the production time of our devices. If these conditions continue for a substantial period or worsen, our ability to meet our anticipated demand for our solutions could be impacted which, in turn, could negatively impact our operations and financial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ind w:firstLine="510"/>
        <w:spacing w:after="0" w:line="254" w:lineRule="auto"/>
        <w:rPr>
          <w:sz w:val="20"/>
          <w:szCs w:val="20"/>
          <w:color w:val="auto"/>
        </w:rPr>
      </w:pPr>
      <w:r>
        <w:rPr>
          <w:rFonts w:ascii="Times New Roman" w:cs="Times New Roman" w:eastAsia="Times New Roman" w:hAnsi="Times New Roman"/>
          <w:sz w:val="18"/>
          <w:szCs w:val="18"/>
          <w:color w:val="auto"/>
        </w:rPr>
        <w:t>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10nm or 5nm.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188" w:lineRule="exact"/>
        <w:rPr>
          <w:sz w:val="20"/>
          <w:szCs w:val="20"/>
          <w:color w:val="auto"/>
        </w:rPr>
      </w:pPr>
    </w:p>
    <w:p>
      <w:pPr>
        <w:ind w:right="1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incorporate components supplied by multiple third parties, and a supply shortage or delay in delivery of these components could delay orders for our solutions by our customers.</w:t>
      </w:r>
    </w:p>
    <w:p>
      <w:pPr>
        <w:spacing w:after="0" w:line="15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customers purchase components used in the manufacture of their products from various sources of supply, often involving several specialized components, including lenses, sensors, microcontrollers, power management integrated circuits (PMICs), Wi-Fi chips,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The semiconductor industry is currently experiencing shortages of certain devices, including microcontrollers, PMICs, Wi-Fi chips, which has impacted, and may continue to impact, our customers’ ability to build their products and negatively impact our customers’ demand for our solutions. We believe these shortages have been exacerbated by the COVID-19 pandemic.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 Errors or defects within a camera system or in the manner in which the various components interact could prevent or delay production of our customers’ products, which could harm our business.</w:t>
      </w:r>
    </w:p>
    <w:p>
      <w:pPr>
        <w:spacing w:after="0" w:line="188" w:lineRule="exact"/>
        <w:rPr>
          <w:sz w:val="20"/>
          <w:szCs w:val="20"/>
          <w:color w:val="auto"/>
        </w:rPr>
      </w:pPr>
    </w:p>
    <w:p>
      <w:pPr>
        <w:ind w:firstLine="51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2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all of our products is handled by King Yuan Electronics Co., Ltd. or Sigurd Corporation under the supervision of our engineers. We depend on these third parties to supply us with material of a requested quantity in a timely manner that meets our standards for yield, cost and manufacturing quality. Availability of capacity within our supply chain has tightened recently, which could limit the volume of products we can produce and negatively impact our business and operations. Moreover, because each SoC is fabricated in only one manufacturing facility, or single sourced, any disruption to a facility could cause significant delays in the production or shipment of the products produced in that facility that could not be easily offset by having such product(s) produced in another facility.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79"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3" w:name="page44"/>
    <w:bookmarkEnd w:id="43"/>
    <w:p>
      <w:pPr>
        <w:ind w:right="5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159"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We sell a significant percentage of our solutions through a single distributor, WT, which serves as our non-exclusive sales representative in Asia, other than Japan. Approximately 62%, 63% and 60% of our revenue was derived from sales through WT for the fiscal years ended January 31, 2022, 2021 and 2020, respectively, and approximately 57% of our revenue was derived from sales through WT for the three months ended April 30, 2022. We anticipate that a significant portion of our revenue will continue to be derived from sales through WT in the foreseeable future. In November 2019, WPG Holdings Co., or WPG, a Taiwan distributor, announced an unsolicited bid to acquire up to 30% of WT. In January 2020, WPG acquired approximately 17% of WT, but indicated it intended to remain a passive investor in WT. An acquisition of WT by WPG could have an adverse impact on our relationship with WT. Our current agreement with WT is effective until September 2022, unless it is terminated earlier by either party for any or no reason with 60 days written notice or by failure of the breaching party to cure a material breach within 30 days following written notice of such material breach by the non-breaching party. Our agreement with WT will automatically renew for additional successive 12-month terms unless at least 60 days before the end of the then-current term either party provides written notice to the other party that it elects not to renew the agreement. Termination of the relationship with WT, either by us or by WT,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WT, or any successor or other distributors we do business with, may face issues obtaining credit, which could impair their ability to make timely payments to us.</w:t>
      </w:r>
    </w:p>
    <w:p>
      <w:pPr>
        <w:spacing w:after="0" w:line="1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distributors' product inventories.</w:t>
      </w:r>
    </w:p>
    <w:p>
      <w:pPr>
        <w:spacing w:after="0" w:line="121" w:lineRule="exact"/>
        <w:rPr>
          <w:sz w:val="20"/>
          <w:szCs w:val="20"/>
          <w:color w:val="auto"/>
        </w:rPr>
      </w:pPr>
    </w:p>
    <w:p>
      <w:pPr>
        <w:ind w:right="200" w:firstLine="510"/>
        <w:spacing w:after="0" w:line="256" w:lineRule="auto"/>
        <w:rPr>
          <w:sz w:val="20"/>
          <w:szCs w:val="20"/>
          <w:color w:val="auto"/>
        </w:rPr>
      </w:pPr>
      <w:r>
        <w:rPr>
          <w:rFonts w:ascii="Times New Roman" w:cs="Times New Roman" w:eastAsia="Times New Roman" w:hAnsi="Times New Roman"/>
          <w:sz w:val="18"/>
          <w:szCs w:val="18"/>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In accordance with ASC 606,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7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 Our reserve estimates associated with products stocked by our distributors are based largely on reports that our distributors provide to us on a weekly or monthly basis. To the extent that these data are inaccurate or not received in a timely manner, we may not be able to make reserve estimates for future periods accurately or at all.</w:t>
      </w:r>
    </w:p>
    <w:p>
      <w:pPr>
        <w:spacing w:after="0" w:line="184" w:lineRule="exact"/>
        <w:rPr>
          <w:sz w:val="20"/>
          <w:szCs w:val="20"/>
          <w:color w:val="auto"/>
        </w:rPr>
      </w:pPr>
    </w:p>
    <w:p>
      <w:pPr>
        <w:ind w:right="8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Camera manufacturers incorporate components supplied by multiple third parties, and a supply shortage or delay in delivery of these components could delay orders for our solutions by our customers.</w:t>
      </w:r>
    </w:p>
    <w:p>
      <w:pPr>
        <w:spacing w:after="0" w:line="51"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Our customers purchase components used in the manufacture of their cameras from various sources of supply, often involving several specialized components, including lenses, sensors,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The semiconductor industry is currently experiencing shortages of certain devices, which has impacted, and may continue to impact, our customers’ ability to build their products and negatively impact our customers’ demand for our solutions.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 Errors or defects within a camera system or in the manner in which the various components interact could prevent or delay production of our customers’ products, which could harm our business.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4" w:name="page45"/>
    <w:bookmarkEnd w:id="4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foundry vendors do not achieve satisfactory yields or quality, our reputation and customer relationships could be harmed.</w:t>
      </w:r>
    </w:p>
    <w:p>
      <w:pPr>
        <w:spacing w:after="0" w:line="12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80" w:lineRule="exact"/>
        <w:rPr>
          <w:sz w:val="20"/>
          <w:szCs w:val="20"/>
          <w:color w:val="auto"/>
        </w:rPr>
      </w:pPr>
    </w:p>
    <w:p>
      <w:pPr>
        <w:ind w:firstLine="510"/>
        <w:spacing w:after="0" w:line="274" w:lineRule="auto"/>
        <w:rPr>
          <w:sz w:val="20"/>
          <w:szCs w:val="20"/>
          <w:color w:val="auto"/>
        </w:rPr>
      </w:pPr>
      <w:r>
        <w:rPr>
          <w:rFonts w:ascii="Times New Roman" w:cs="Times New Roman" w:eastAsia="Times New Roman" w:hAnsi="Times New Roman"/>
          <w:sz w:val="17"/>
          <w:szCs w:val="17"/>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During such a transition, we would be required to meet customer demand from our then-existing inventory, as well as any partially finished goods that could be modified to the required product specifications. We do not seek to maintain sufficient inventory to address a lengthy transition period because we believe it is uneconomical. As a result, we may not be able to meet customer needs during such a transition, which could delay shipments, cause production delays, result in a decline in our sales and damage our customer relationships.</w:t>
      </w:r>
    </w:p>
    <w:p>
      <w:pPr>
        <w:spacing w:after="0" w:line="169" w:lineRule="exact"/>
        <w:rPr>
          <w:sz w:val="20"/>
          <w:szCs w:val="20"/>
          <w:color w:val="auto"/>
        </w:rPr>
      </w:pPr>
    </w:p>
    <w:p>
      <w:pPr>
        <w:ind w:right="3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vendors to supply software development tools to us for the development of our new products, and we may be unable to obtain the tools necessary to develop or enhance new or existing products.</w:t>
      </w:r>
    </w:p>
    <w:p>
      <w:pPr>
        <w:spacing w:after="0" w:line="5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187"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pacing w:after="0" w:line="176" w:lineRule="exact"/>
        <w:rPr>
          <w:sz w:val="20"/>
          <w:szCs w:val="20"/>
          <w:color w:val="auto"/>
        </w:rPr>
      </w:pPr>
    </w:p>
    <w:p>
      <w:pPr>
        <w:ind w:right="6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159"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ind w:right="1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disruption to the operations of our third-party contractors and their suppliers could cause significant delays in the production or shipment of our products.</w:t>
      </w:r>
    </w:p>
    <w:p>
      <w:pPr>
        <w:spacing w:after="0" w:line="159"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Our operations could be harmed if manufacturing, logistics or other operations of our third-party contractors or their suppliers are disrupted for any reason, including natural disasters, high heat events or water shortages, severe storms, other negative impacts from climate change, information technology system failures, military actions or environmental, public health or regulatory issues. 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A disruption in the availability of image sensors from Sony Corporation as a result of the 2016 Kumamoto, Japan earthquake impacted our customers’ ability to build or launch cameras and, as a result, negatively impacted the timing and scope of demand for our SoCs in fiscal year 2017. Similarly, a severe cold storm in Texas in February 2021 disrupted the manufacturing of some of our products at Samsung’s Texas facility for several weeks.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to several China customers has been restricted.</w:t>
      </w:r>
    </w:p>
    <w:p>
      <w:pPr>
        <w:spacing w:after="0" w:line="229" w:lineRule="exact"/>
        <w:rPr>
          <w:sz w:val="20"/>
          <w:szCs w:val="20"/>
          <w:color w:val="auto"/>
        </w:rPr>
      </w:pPr>
    </w:p>
    <w:p>
      <w:pPr>
        <w:ind w:right="80" w:firstLine="510"/>
        <w:spacing w:after="0" w:line="252" w:lineRule="auto"/>
        <w:rPr>
          <w:sz w:val="20"/>
          <w:szCs w:val="20"/>
          <w:color w:val="auto"/>
        </w:rPr>
      </w:pPr>
      <w:r>
        <w:rPr>
          <w:rFonts w:ascii="Times New Roman" w:cs="Times New Roman" w:eastAsia="Times New Roman" w:hAnsi="Times New Roman"/>
          <w:sz w:val="18"/>
          <w:szCs w:val="18"/>
          <w:color w:val="auto"/>
        </w:rPr>
        <w:t>In October 2019, our security camera customers Hangzhou Hikvision Digital Technology Co., Ltd, or Hikvision, and Zhejiang Dahua Technology Co., Ltd., or Dahua, were added to the Entity List of the Bureau of Industry and Security, or BIS, of the U.S. Department of Commerce, or Commerce, which imposes limitations on the supply of certain U.S. items to the listed entities. In December 2020, certain affiliated entities of our customer Shenzhen Dajiang Baiwang Technology Co., Ltd., or Dajiang Baiwang, were added to the Entity List. While the addition of such customers to the Entity List negatively impacts our ability to ship items subject to BIS regulations to these listed entities, we have determined that we are able to ship some SoC products to the listed entities in compliance with applicable law. Notwithstanding our ability to continue to supply some SoC products to the listed entities, these customers may seek to obtain similar or substitute products from our competitors that are not subject to these limitations, or to develop similar or substitute products themselves. We also cannot be certain what additional actions the U.S. government may take with respect to Hikvision, Dahua and Dajiang Baiwang, or our other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or of any additional governmental actions, any of which could have a long-term adverse effect on our business, operating results and financial condition.</w:t>
      </w:r>
    </w:p>
    <w:p>
      <w:pPr>
        <w:spacing w:after="0" w:line="193" w:lineRule="exact"/>
        <w:rPr>
          <w:sz w:val="20"/>
          <w:szCs w:val="20"/>
          <w:color w:val="auto"/>
        </w:rPr>
      </w:pPr>
    </w:p>
    <w:p>
      <w:pPr>
        <w:ind w:right="6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including possible trade tariffs and trade restrictions, may have an impact on our business and financial condition in ways that we currently cannot predict.</w:t>
      </w:r>
    </w:p>
    <w:p>
      <w:pPr>
        <w:spacing w:after="0" w:line="159"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Our operations and performance depend significantly on global, regional and U.S. economic and geopolitical conditions. Beyond the BIS actions relating to Hikvision, Dahua and affiliates of Dajiang Baiwang, general trade tensions between the United States and China have been escalating, which has, in our view, created and will perpetuate an uncertain business environment. If additional tariffs or trade restrictions are imposed on our SoC solutions or the products of our customers, or trade restrictions are imposed on our ability to conduct business with certain customers, there could be a negative impact on our operations and financial performance. For example, H.R. 5515 - John S. McCain National Defense Authorization Act for Fiscal Year 2019 negatively impacts Hikvision and Dahua’s ability to sell products into the U.S. security camera market and could decrease their demand for our solutions. Similarly, changes in export classification requirements, such as those proposed by U.S. Congress, could impact our ability to supply our solutions to certain companies or in certain countries.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The materialization of these risks could have a material adverse effect on our business and financial condition. Further, our business and performance are subject to economic conditions, and our suppliers, distributors, and customers may suffer their own financial and economic challenges. Inflation or other deteriorations in global economic conditions may impact our operating expenses and third parties may demand pricing accommodations, which could harm our ability to meet customer demands or collect revenue or otherwise could harm our business and financial results.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Russia’s ongoing conflict with Ukraine has triggered significant sanctions from U.S. and European leaders. Resulting changes in U.S. trade policy could trigger retaliatory actions by Russia, its allies and other affected countries, including China, resulting in a trade war. Furthermore, if the conflict between Russia and Ukraine continues for a long period of time, or if other countries, including the U.S., become further involved in the conflict, we could face significant adverse effects to our business and financial condition. In addition, some of our customers and third-party partners have engineering teams located in Russian and/or Ukraine, whose operations have been and may continue to be disrupted by the ongoing conflict between the countries. If such disruption were to continue for an extended period, our customers could face delays in the launch of new products containing our solutions, resulting in delayed or decreased demand for our solutions.</w:t>
      </w:r>
    </w:p>
    <w:p>
      <w:pPr>
        <w:spacing w:after="0" w:line="189" w:lineRule="exact"/>
        <w:rPr>
          <w:sz w:val="20"/>
          <w:szCs w:val="20"/>
          <w:color w:val="auto"/>
        </w:rPr>
      </w:pPr>
    </w:p>
    <w:p>
      <w:pPr>
        <w:ind w:right="160" w:firstLine="510"/>
        <w:spacing w:after="0" w:line="274" w:lineRule="auto"/>
        <w:rPr>
          <w:sz w:val="20"/>
          <w:szCs w:val="20"/>
          <w:color w:val="auto"/>
        </w:rPr>
      </w:pPr>
      <w:r>
        <w:rPr>
          <w:rFonts w:ascii="Times New Roman" w:cs="Times New Roman" w:eastAsia="Times New Roman" w:hAnsi="Times New Roman"/>
          <w:sz w:val="17"/>
          <w:szCs w:val="17"/>
          <w:color w:val="auto"/>
        </w:rPr>
        <w:t>We have significant business operations in Taiwan, including approximately 350 employees, and many of our third-party manufacturing suppliers are located in Taiwan. Accordingly, our business, financial condition and results of operations may be affected by changes in governmental and economic policies in Taiwan, social instability and diplomatic and social developments in or affecting Taiwan due to its international political status. Although significant economic and cultural relations have been established between Taiwan and China, we cannot assure that relations between Taiwan and China will not face political or economic uncertainties in the future. Any deterioration in the relations between Taiwan and China, and other factors affecting military, political or economic conditions in Taiwan, could disrupt our business operations and materially and adversely affect our results of operations.</w:t>
      </w:r>
    </w:p>
    <w:p>
      <w:pPr>
        <w:spacing w:after="0" w:line="169" w:lineRule="exact"/>
        <w:rPr>
          <w:sz w:val="20"/>
          <w:szCs w:val="20"/>
          <w:color w:val="auto"/>
        </w:rPr>
      </w:pPr>
    </w:p>
    <w:p>
      <w:pPr>
        <w:ind w:right="340" w:firstLine="58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51" w:lineRule="exact"/>
        <w:rPr>
          <w:sz w:val="20"/>
          <w:szCs w:val="20"/>
          <w:color w:val="auto"/>
        </w:rPr>
      </w:pPr>
    </w:p>
    <w:p>
      <w:pPr>
        <w:ind w:right="140" w:firstLine="584"/>
        <w:spacing w:after="0" w:line="256" w:lineRule="auto"/>
        <w:rPr>
          <w:sz w:val="20"/>
          <w:szCs w:val="20"/>
          <w:color w:val="auto"/>
        </w:rPr>
      </w:pPr>
      <w:r>
        <w:rPr>
          <w:rFonts w:ascii="Times New Roman" w:cs="Times New Roman" w:eastAsia="Times New Roman" w:hAnsi="Times New Roman"/>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187"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warranty and product liability claims and to product recalls.</w:t>
      </w:r>
    </w:p>
    <w:p>
      <w:pPr>
        <w:spacing w:after="0" w:line="22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laws, regulations and other legal obligations related to privacy and data protection.</w:t>
      </w:r>
    </w:p>
    <w:p>
      <w:pPr>
        <w:spacing w:after="0" w:line="229"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The legislative and regulatory framework for privacy and data protection issues worldwide is rapidly evolving and is likely to remain uncertain for the foreseeable future. We collect personally identifiable information, or PII, and other data as part of our business processes and activities. This data is subject to a variety of U.S. and international laws and regulations, including oversight by various regulatory or other governmental bodies. Many foreign countries and governmental bodies, including China, the European Union and other relevant jurisdictions where we conduct business, have laws and regulations concerning the collection and use of PII and other data obtained from their residents or by businesses operating within their jurisdictions that are currently more restrictive than those in the U.S. For example, effective May 2018, the European Union adopted the General Data Protection Regulation that imposed more stringent data protection requirements and provided for greater penalties for noncompliance. Similarly, California has adopted the California Consumer Privacy Act of 2018, or CCPA, which took effect in 2020. The CCPA gives California residents the right to access, delete and opt out of certain sharing of their information, and imposes penalties for failure to comply. In 2021, the National People’s Congress passed the Data Security Law of the People’s Republic of China (Data Security Law). The Data Security Law is the first comprehensive data security legislation in China and aims to regulate a wide range of issues in relation to the collection, storage, processing, use, provision, transaction and publication of any kind of data. Given its recent passage, there is significant uncertainty in how regulators will interpret and enforce the law, but it contains provisions that allow substantial government oversight and include fines for failure to obtain required approval from China’s cyber and data protection regulators for cross-border personal information-related data transfers. Any inability, or perceived inability, to adequately address privacy and data protection concerns, even if unfounded, or to comply with applicable laws, regulations, policies, industry standards, contractual obligations or other legal obligations, could result in additional cost and liability to us, damage our reputation and adversely affect our business.</w:t>
      </w:r>
    </w:p>
    <w:p>
      <w:pPr>
        <w:spacing w:after="0" w:line="191" w:lineRule="exact"/>
        <w:rPr>
          <w:sz w:val="20"/>
          <w:szCs w:val="20"/>
          <w:color w:val="auto"/>
        </w:rPr>
      </w:pPr>
    </w:p>
    <w:p>
      <w:pPr>
        <w:ind w:right="2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15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face significant risks if we fail to comply with the FCPA and other anti-corruption laws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Although we implemented an FCPA compliance program, we cannot assure you that all of our employees and agents, as well as those companies to which we outsource certain of our business operations, will not take actions in violation of our policies and applicable law, for which we may be ultimately held responsible. Any violation of the FCPA or other applicable anti-corruption laws could result in severe criminal or civil sanctions and, in the case of the FCPA, suspension or debarment from U.S. government contracting, which could have a material and adverse effect on our reputation, business, financial condition, operating results and cash flows.</w:t>
      </w:r>
    </w:p>
    <w:p>
      <w:pPr>
        <w:spacing w:after="0" w:line="188" w:lineRule="exact"/>
        <w:rPr>
          <w:sz w:val="20"/>
          <w:szCs w:val="20"/>
          <w:color w:val="auto"/>
        </w:rPr>
      </w:pPr>
    </w:p>
    <w:p>
      <w:pPr>
        <w:ind w:right="6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which became effective in March 2007. Failure to comply with these and similar laws and regulations could subject us to fines, penalties, civil or criminal sanctions, contract damage claims, and take-back of non-compliant products, which could harm our business, reputation and operating results.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92"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Our failure to comply with present and future environmental, health and safety laws could cause us to incur substantial costs, result in civil or criminal fines and penalties and decreased revenue, which could adversely affect our operating results.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ind w:right="1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5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of 2010, or the Dodd-Frank Act, the Securities and Exchange Commission, or the SEC, has adopted requirements for companies that use certain minerals and metals, known as conflict minerals, in their products, whether or not these products are manufactured by third parties. These requirements require companies to perform due diligence, disclose and report whether or not such minerals originate from the Democratic Republic of the Congo and adjoining countries. These requirements could adversely affect the sourcing, availability and pricing of minerals used in the manufacture of semiconductor devices, including our products. While these requirements continue to be subject to administrative uncertainty, we have incurred, and may continue to incur,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w:t>
      </w:r>
    </w:p>
    <w:p>
      <w:pPr>
        <w:spacing w:after="0" w:line="190" w:lineRule="exact"/>
        <w:rPr>
          <w:sz w:val="20"/>
          <w:szCs w:val="20"/>
          <w:color w:val="auto"/>
        </w:rPr>
      </w:pPr>
    </w:p>
    <w:p>
      <w:pPr>
        <w:ind w:right="3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159"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Stock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effective tax rates or adverse outcomes resulting from examination of our income tax returns could adversely affect our results.</w:t>
      </w:r>
    </w:p>
    <w:p>
      <w:pPr>
        <w:spacing w:after="0" w:line="12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tax effects of share-based compensation, or by changes in tax laws, regulations, accounting principles or interpretations thereof. For example, changes in tax laws, including the U.S. federal tax legislation commonly referred to as the Tax Cuts and Jobs Act of 2017, or Tax Act, as well as other factors, could cause us to experience fluctuations in our tax obligations and effective tax rates and otherwise adversely affect our tax positions and/or our tax liabilities.</w:t>
      </w:r>
    </w:p>
    <w:p>
      <w:pPr>
        <w:spacing w:after="0" w:line="183"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The Tax Act requires complex computations not previously provided in U.S. tax law. The U.S. Department of Treasury has broad authority to issue regulations and interpretative guidance that may significantly impact how we will apply the law and impact our results of operations in the period issued. As such, the application of accounting guidance for such items is currently uncertain. Further, compliance with the Tax Act and the accounting for such provisions require accumulation of information not previously required or regularly produced. While we have completed our accounting for the effects of the Tax Act, additional regulatory guidance may still be issued by the applicable taxing authorities which could materially affect our tax obligations and effective tax rate.</w:t>
      </w:r>
    </w:p>
    <w:p>
      <w:pPr>
        <w:spacing w:after="0" w:line="79" w:lineRule="exact"/>
        <w:rPr>
          <w:sz w:val="20"/>
          <w:szCs w:val="20"/>
          <w:color w:val="auto"/>
        </w:rPr>
      </w:pPr>
    </w:p>
    <w:p>
      <w:pPr>
        <w:ind w:right="220" w:firstLine="510"/>
        <w:spacing w:after="0" w:line="289" w:lineRule="auto"/>
        <w:rPr>
          <w:sz w:val="20"/>
          <w:szCs w:val="20"/>
          <w:color w:val="auto"/>
        </w:rPr>
      </w:pPr>
      <w:r>
        <w:rPr>
          <w:rFonts w:ascii="Times New Roman" w:cs="Times New Roman" w:eastAsia="Times New Roman" w:hAnsi="Times New Roman"/>
          <w:sz w:val="17"/>
          <w:szCs w:val="17"/>
          <w:color w:val="auto"/>
        </w:rPr>
        <w:t>In addition, our income tax returns are subject to continuous examination by the Internal Revenue Service, or IRS, and other tax authorities.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9" w:name="page50"/>
    <w:bookmarkEnd w:id="49"/>
    <w:p>
      <w:pPr>
        <w:ind w:right="1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51"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Our operations are subject to certain taxes, such as income and transaction taxes, in the Cayman Islands, the United States, China, Hong Kong, Japan, Italy, South Korea, Taiwan and other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In particular, past proposals have been made to change certain U.S. tax laws relating to foreign entities with U.S. connections, which may include us. For example, previously proposed legislation has considered treating certain foreign corporations as U.S. domestic corporations (and therefore taxable on all of their worldwide income) if the management and control of the foreign corporation occurs, directly or indirectly, primarily within the United States. If such legislation were enacted, we could, depending on the precise form, be subject to U.S. taxation notwithstanding our domicile outside the United States. In addition, on October 5, 2015 the Organization for Economic Co-operation and Development, or OECD, which represents a coalition of member countries, released its final reports from the BEPS Action Plans. The final reports include recommendations covering a number of issues, including country-by-country reporting, permanent establishment rules, transfer pricing rules and tax treaties. These changes, which have been or are in the process of being adopted by numerous countries, could increase uncertainties and may adversely affect our provision for income taxes. In December 2018, the Cayman Islands passed the International Tax Co-Operation (Economic Substance) Law, 2018. Effective as of January 1, 2019, the new legislation requires Cayman Islands companies carrying one or more relevant activity to maintain a substantial economic presence in the Cayman Islands. Effective from December 31, 2019, we have structured our activities to comply with the new law. However, the legislation remains subject to further clarification and interpretation and accordingly, there is no guarantee that we will be deemed to be compliant. Furthermore, this legislation may require us to make additional changes to the activities we carry on in the Cayman Islands, which could increase our cost of operations, and we could be subject to penalties for lack of compliance. As a result, we are not able to determine the impact on our operations and net income as of the current period.</w:t>
      </w:r>
    </w:p>
    <w:p>
      <w:pPr>
        <w:spacing w:after="0" w:line="192" w:lineRule="exact"/>
        <w:rPr>
          <w:sz w:val="20"/>
          <w:szCs w:val="20"/>
          <w:color w:val="auto"/>
        </w:rPr>
      </w:pPr>
    </w:p>
    <w:p>
      <w:pPr>
        <w:ind w:right="360" w:firstLine="510"/>
        <w:spacing w:after="0" w:line="266" w:lineRule="auto"/>
        <w:rPr>
          <w:sz w:val="20"/>
          <w:szCs w:val="20"/>
          <w:color w:val="auto"/>
        </w:rPr>
      </w:pPr>
      <w:r>
        <w:rPr>
          <w:rFonts w:ascii="Times New Roman" w:cs="Times New Roman" w:eastAsia="Times New Roman" w:hAnsi="Times New Roman"/>
          <w:sz w:val="18"/>
          <w:szCs w:val="18"/>
          <w:color w:val="auto"/>
        </w:rPr>
        <w:t>We are subject to periodic audits or other reviews by tax authorities in the jurisdictions in which we conduct our activities. Any such audit, examination or review requires management’s time, diverts internal resources and, in the event of an unfavorable outcome, may result in additional tax liabilities or other adjustments to our historical results.</w:t>
      </w:r>
    </w:p>
    <w:p>
      <w:pPr>
        <w:spacing w:after="0" w:line="176"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Because we conduct operations in multiple jurisdictions, our effective tax rate is influenced by the amounts of income and expense attributed to each such jurisdiction. If such amounts were to change so as to increase the amounts of our net income subject to taxation in higher-tax jurisdictions, or if we were to commence operations in jurisdictions assessing relatively higher tax rates, our effective tax rate could be adversely affected.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which could result in adverse U.S. federal income tax consequences for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w:t>
      </w:r>
    </w:p>
    <w:p>
      <w:pPr>
        <w:spacing w:after="0" w:line="207"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Based on the current and anticipated valuation of our assets and the composition of our income and assets, we do not expect to be considered a passive foreign investment company, or PFIC, for U.S. federal income tax purposes for our 2022 fiscal year or the foreseeable future. However, a separate determination must be made at the close of each taxable year as to whether we are a PFIC for that taxable year, and we cannot assure you that we will not be a PFIC for our 2023 fiscal year or any future taxable year. Under current law, a non-U.S. corporation will be considered a PFIC for any taxable year if either (a) at least 75% of its gross income is passive income or (b) at least 50% of the value of its assets, generally based on an average of the quarterly values of the assets during a taxable year, is attributable to assets that produce or are held for the production of passive income. PFIC status depends on the composition of our assets and income and the value of our assets (which may be based in part on the value of our ordinary shares which may fluctuate), including, among others, a pro rata portion of the income and assets of each subsidiary in which we own, directly or indirectly, at least 25% by value of the subsidiary’s equity interests, from time to time.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 If we were treated as a PFIC for any taxable year during which a U.S. holder held ordinary shares, certain adverse U.S. federal income tax consequences could apply for such U.S. holder.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ind w:right="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United States federal income tax classification, or that of our subsidiaries, could result in adverse tax consequences to our 10% or greater U.S. shareholders.</w:t>
      </w:r>
    </w:p>
    <w:p>
      <w:pPr>
        <w:spacing w:after="0" w:line="51" w:lineRule="exact"/>
        <w:rPr>
          <w:sz w:val="20"/>
          <w:szCs w:val="20"/>
          <w:color w:val="auto"/>
        </w:rPr>
      </w:pPr>
    </w:p>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The Tax Act may have changed the consequences to U.S. shareholders that own, or are considered to own, as a result of the attribution rules, ten percent or more of the voting power or value of the stock of a non-U.S. corporation (a 10% U.S. shareholder) under the U.S. Federal income tax law applicable to owners of U.S. controlled foreign corporations, or CFCs.</w:t>
      </w:r>
    </w:p>
    <w:p>
      <w:pPr>
        <w:spacing w:after="0" w:line="176"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Prior to the Tax Act, we did not believe that we, or any of our non-U.S. subsidiaries, were considered a CFC, which is a determination made daily based on whether the 10% U.S. shareholders together own, or are considered to own under the attribution rules, more than fifty percent of the voting power or value of a non-U.S. corporation. The Tax Act repealed Internal Revenue Code Section 958(b)(4), which, unless clarified in future regulations or other guidance, may result in classification of certain of the Company’s foreign subsidiaries as CFCs with respect to any single 10% U.S. shareholder. This may be the result without regard to whether 10% U.S. shareholders together own, directly or indirectly, more than fifty percent of the voting power or value of the Company as was the case under prior rules. The repeal is effective as of the last taxable year of CFCs beginning before January 1, 2018 and for the taxable year of 10% U.S. shareholders in which the CFCs' taxable year ends.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6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159" w:lineRule="exact"/>
        <w:rPr>
          <w:sz w:val="20"/>
          <w:szCs w:val="20"/>
          <w:color w:val="auto"/>
        </w:rPr>
      </w:pPr>
    </w:p>
    <w:p>
      <w:pPr>
        <w:ind w:right="20" w:firstLine="510"/>
        <w:spacing w:after="0" w:line="268" w:lineRule="auto"/>
        <w:rPr>
          <w:sz w:val="20"/>
          <w:szCs w:val="20"/>
          <w:color w:val="auto"/>
        </w:rPr>
      </w:pPr>
      <w:r>
        <w:rPr>
          <w:rFonts w:ascii="Times New Roman" w:cs="Times New Roman" w:eastAsia="Times New Roman" w:hAnsi="Times New Roman"/>
          <w:sz w:val="17"/>
          <w:szCs w:val="17"/>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184"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83" w:lineRule="exact"/>
        <w:rPr>
          <w:sz w:val="20"/>
          <w:szCs w:val="20"/>
          <w:color w:val="auto"/>
        </w:rPr>
      </w:pPr>
    </w:p>
    <w:p>
      <w:pPr>
        <w:ind w:right="1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51"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and positions, which has resulted in protracted and expensive litigation for many companies. Certain of our customers have received, and we expect, particularly to the extent we gain greater market visibility, that in the future we may receive, communications from others alleging our infringement of their patents, trade secrets or other intellectual property rights. In addition, certain of our end customers have been the subject of lawsuits alleging infringement of intellectual property rights by products incorporating our solutions, including the assertion that the alleged infringement may be attributable, at least in part, to our technology. Lawsuits resulting from such allegations could subject us to significant liability for damages and invalidate our proprietary rights, though this has not occurred to date. Any potential intellectual property litigation also could force us to do one or more of the following:</w:t>
      </w:r>
    </w:p>
    <w:p>
      <w:pPr>
        <w:spacing w:after="0" w:line="81" w:lineRule="exact"/>
        <w:rPr>
          <w:sz w:val="20"/>
          <w:szCs w:val="20"/>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products or using technology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51" w:name="page52"/>
    <w:bookmarkEnd w:id="51"/>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the party whose intellectual property rights we may be found to be infringing;</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520" w:right="20" w:hanging="500"/>
        <w:spacing w:after="0" w:line="282" w:lineRule="auto"/>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w:t>
      </w:r>
    </w:p>
    <w:p>
      <w:pPr>
        <w:spacing w:after="0" w:line="53" w:lineRule="exact"/>
        <w:rPr>
          <w:rFonts w:ascii="Times New Roman" w:cs="Times New Roman" w:eastAsia="Times New Roman" w:hAnsi="Times New Roman"/>
          <w:sz w:val="18"/>
          <w:szCs w:val="18"/>
          <w:color w:val="auto"/>
        </w:rPr>
      </w:pPr>
    </w:p>
    <w:p>
      <w:pPr>
        <w:ind w:left="1520" w:right="140" w:hanging="500"/>
        <w:spacing w:after="0" w:line="282" w:lineRule="auto"/>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against others.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significant impairment of our intellectual property rights from any litigation we face could harm our business and our ability to compete.</w:t>
      </w:r>
    </w:p>
    <w:p>
      <w:pPr>
        <w:spacing w:after="0" w:line="221" w:lineRule="exact"/>
        <w:rPr>
          <w:sz w:val="20"/>
          <w:szCs w:val="20"/>
          <w:color w:val="auto"/>
        </w:rPr>
      </w:pPr>
    </w:p>
    <w:p>
      <w:pPr>
        <w:ind w:right="2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51" w:lineRule="exact"/>
        <w:rPr>
          <w:sz w:val="20"/>
          <w:szCs w:val="20"/>
          <w:color w:val="auto"/>
        </w:rPr>
      </w:pPr>
    </w:p>
    <w:p>
      <w:pPr>
        <w:ind w:right="80" w:firstLine="450"/>
        <w:spacing w:after="0" w:line="253" w:lineRule="auto"/>
        <w:rPr>
          <w:sz w:val="20"/>
          <w:szCs w:val="20"/>
          <w:color w:val="auto"/>
        </w:rPr>
      </w:pPr>
      <w:r>
        <w:rPr>
          <w:rFonts w:ascii="Times New Roman" w:cs="Times New Roman" w:eastAsia="Times New Roman" w:hAnsi="Times New Roman"/>
          <w:sz w:val="18"/>
          <w:szCs w:val="18"/>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88" w:lineRule="exact"/>
        <w:rPr>
          <w:sz w:val="20"/>
          <w:szCs w:val="20"/>
          <w:color w:val="auto"/>
        </w:rPr>
      </w:pPr>
    </w:p>
    <w:p>
      <w:pPr>
        <w:ind w:right="2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volatile, which could cause the value of your investment to decline.</w:t>
      </w:r>
    </w:p>
    <w:p>
      <w:pPr>
        <w:spacing w:after="0" w:line="121"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Since our initial public offering in October 2012, the market price of our ordinary shares has been highly volatile. The trading price of our ordinary shares is likely to remain volatile and could be subject to wide fluctuations in price in response to various factors, some of which are beyond our control. These factors include:</w:t>
      </w:r>
    </w:p>
    <w:p>
      <w:pPr>
        <w:spacing w:after="0" w:line="68" w:lineRule="exact"/>
        <w:rPr>
          <w:sz w:val="20"/>
          <w:szCs w:val="20"/>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including our ability to meet our future revenue and operating profit or loss projections;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or those of other semiconductor or comparable companies;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economic performance or market valuations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developments in the semiconductor industry as a whole;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2" w:name="page53"/>
    <w:bookmarkEnd w:id="52"/>
    <w:p>
      <w:pPr>
        <w:ind w:left="1520" w:hanging="500"/>
        <w:spacing w:after="0"/>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conditions caused by pandemics, and slow or negative growth of related markets;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geopolitical activities affecting markets we address;</w:t>
      </w:r>
    </w:p>
    <w:p>
      <w:pPr>
        <w:spacing w:after="0" w:line="117" w:lineRule="exact"/>
        <w:rPr>
          <w:rFonts w:ascii="Times New Roman" w:cs="Times New Roman" w:eastAsia="Times New Roman" w:hAnsi="Times New Roman"/>
          <w:sz w:val="18"/>
          <w:szCs w:val="18"/>
          <w:color w:val="auto"/>
        </w:rPr>
      </w:pPr>
    </w:p>
    <w:p>
      <w:pPr>
        <w:ind w:left="1520" w:right="300" w:hanging="500"/>
        <w:spacing w:after="0" w:line="282" w:lineRule="auto"/>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new products, significant contracts or orders, commercial relationships or capital commitments;</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and enhanced solutions on a timely basis;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customers’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operations;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conditions in the markets where we sell our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and</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225"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8" w:lineRule="exact"/>
        <w:rPr>
          <w:sz w:val="20"/>
          <w:szCs w:val="20"/>
          <w:color w:val="auto"/>
        </w:rPr>
      </w:pPr>
    </w:p>
    <w:p>
      <w:pPr>
        <w:ind w:right="6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not meet or exceed our guidance and investor expectations, which would likely cause our stock price to decline.</w:t>
      </w:r>
    </w:p>
    <w:p>
      <w:pPr>
        <w:spacing w:after="0" w:line="15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We do not accept any responsibility for any projections or reports published by any such third persons.</w:t>
      </w:r>
    </w:p>
    <w:p>
      <w:pPr>
        <w:spacing w:after="0" w:line="189" w:lineRule="exact"/>
        <w:rPr>
          <w:sz w:val="20"/>
          <w:szCs w:val="20"/>
          <w:color w:val="auto"/>
        </w:rPr>
      </w:pPr>
    </w:p>
    <w:p>
      <w:pPr>
        <w:ind w:right="320" w:firstLine="510"/>
        <w:spacing w:after="0" w:line="266"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ordinary shares is likely to decline.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ordinary shares could decrease as a result of shares being sold in the market.</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our ordinary shares in the public market, or the perception that these sales might occur, could cause the market price of our ordinary shares to decline. In the past, we have issued stock options to employees and we regularly issue restricted stock units (RSUs) to employees, which settle as ordinary shares upon vesting. These shares can be freely sold in the public market upon issuance and vesting, subject to restrictions provided under the terms of the applicable plan and/or the option agreements entered into with option holders. We may also issue ordinary shares or securities convertible into ordinary shares from time to time in connection with a financing, acquisition or otherwise. Any such issuance could result in substantial dilution to our existing shareholders and cause the trading price of our stock to decline.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3" w:name="page54"/>
    <w:bookmarkEnd w:id="53"/>
    <w:p>
      <w:pPr>
        <w:ind w:right="3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ordinary shares and, consequently, a shareholder’s ability to achieve a return on its investment will depend on appreciation in the price of our ordinary shares.</w:t>
      </w:r>
    </w:p>
    <w:p>
      <w:pPr>
        <w:spacing w:after="0" w:line="51"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do not currently intend to do so for the foreseeable future. We currently intend to invest our future earnings, if any, to fund our growth. Therefore, shareholders are not likely to receive any dividends on their ordinary shares for the foreseeable future and the success of an investment in our ordinary shares will depend upon any future appreciation in their value. There is no guarantee that our ordinary shares will appreciate in value or even maintain the price at which our shareholders have purchased their shares. Investors seeking cash dividends should not purchase our ordinary shares.</w:t>
      </w:r>
    </w:p>
    <w:p>
      <w:pPr>
        <w:spacing w:after="0" w:line="179" w:lineRule="exact"/>
        <w:rPr>
          <w:sz w:val="20"/>
          <w:szCs w:val="20"/>
          <w:color w:val="auto"/>
        </w:rPr>
      </w:pPr>
    </w:p>
    <w:p>
      <w:pPr>
        <w:ind w:right="2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51" w:lineRule="exact"/>
        <w:rPr>
          <w:sz w:val="20"/>
          <w:szCs w:val="20"/>
          <w:color w:val="auto"/>
        </w:rPr>
      </w:pPr>
    </w:p>
    <w:p>
      <w:pPr>
        <w:ind w:right="520" w:firstLine="510"/>
        <w:spacing w:after="0" w:line="282" w:lineRule="auto"/>
        <w:rPr>
          <w:sz w:val="20"/>
          <w:szCs w:val="20"/>
          <w:color w:val="auto"/>
        </w:rPr>
      </w:pPr>
      <w:r>
        <w:rPr>
          <w:rFonts w:ascii="Times New Roman" w:cs="Times New Roman" w:eastAsia="Times New Roman" w:hAnsi="Times New Roman"/>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54" w:lineRule="exact"/>
        <w:rPr>
          <w:sz w:val="20"/>
          <w:szCs w:val="20"/>
          <w:color w:val="auto"/>
        </w:rPr>
      </w:pPr>
    </w:p>
    <w:p>
      <w:pPr>
        <w:ind w:left="1520" w:hanging="500"/>
        <w:spacing w:after="0"/>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classes;</w:t>
      </w:r>
    </w:p>
    <w:p>
      <w:pPr>
        <w:spacing w:after="0" w:line="117" w:lineRule="exact"/>
        <w:rPr>
          <w:rFonts w:ascii="Times New Roman" w:cs="Times New Roman" w:eastAsia="Times New Roman" w:hAnsi="Times New Roman"/>
          <w:sz w:val="18"/>
          <w:szCs w:val="18"/>
          <w:color w:val="auto"/>
        </w:rPr>
      </w:pPr>
    </w:p>
    <w:p>
      <w:pPr>
        <w:ind w:left="1520" w:right="240" w:hanging="500"/>
        <w:spacing w:after="0" w:line="282" w:lineRule="auto"/>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elect a director to fill a vacancy created by the expansion of our board of directors or due to the resignation or departure of an existing board member;</w:t>
      </w:r>
    </w:p>
    <w:p>
      <w:pPr>
        <w:spacing w:after="0" w:line="53" w:lineRule="exact"/>
        <w:rPr>
          <w:rFonts w:ascii="Times New Roman" w:cs="Times New Roman" w:eastAsia="Times New Roman" w:hAnsi="Times New Roman"/>
          <w:sz w:val="18"/>
          <w:szCs w:val="18"/>
          <w:color w:val="auto"/>
        </w:rPr>
      </w:pPr>
    </w:p>
    <w:p>
      <w:pPr>
        <w:ind w:left="1520" w:right="100" w:hanging="500"/>
        <w:spacing w:after="0" w:line="282" w:lineRule="auto"/>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of cumulative voting in the election of directors which would otherwise allow less than a majority of shareholders to elect director candidates;</w:t>
      </w:r>
    </w:p>
    <w:p>
      <w:pPr>
        <w:spacing w:after="0" w:line="53" w:lineRule="exact"/>
        <w:rPr>
          <w:rFonts w:ascii="Times New Roman" w:cs="Times New Roman" w:eastAsia="Times New Roman" w:hAnsi="Times New Roman"/>
          <w:sz w:val="18"/>
          <w:szCs w:val="18"/>
          <w:color w:val="auto"/>
        </w:rPr>
      </w:pPr>
    </w:p>
    <w:p>
      <w:pPr>
        <w:ind w:left="1520" w:right="120" w:hanging="500"/>
        <w:spacing w:after="0" w:line="282" w:lineRule="auto"/>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advance notice of nominations for election to our board of directors or for proposing matters that can be acted upon at a shareholders’ meeting;</w:t>
      </w:r>
    </w:p>
    <w:p>
      <w:pPr>
        <w:spacing w:after="0" w:line="53" w:lineRule="exact"/>
        <w:rPr>
          <w:rFonts w:ascii="Times New Roman" w:cs="Times New Roman" w:eastAsia="Times New Roman" w:hAnsi="Times New Roman"/>
          <w:sz w:val="18"/>
          <w:szCs w:val="18"/>
          <w:color w:val="auto"/>
        </w:rPr>
      </w:pPr>
    </w:p>
    <w:p>
      <w:pPr>
        <w:jc w:val="both"/>
        <w:ind w:left="1520" w:right="40" w:hanging="500"/>
        <w:spacing w:after="0" w:line="312" w:lineRule="auto"/>
        <w:tabs>
          <w:tab w:leader="none" w:pos="15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31" w:lineRule="exact"/>
        <w:rPr>
          <w:rFonts w:ascii="Times New Roman" w:cs="Times New Roman" w:eastAsia="Times New Roman" w:hAnsi="Times New Roman"/>
          <w:sz w:val="17"/>
          <w:szCs w:val="17"/>
          <w:color w:val="auto"/>
        </w:rPr>
      </w:pPr>
    </w:p>
    <w:p>
      <w:pPr>
        <w:ind w:left="1520" w:right="120" w:hanging="500"/>
        <w:spacing w:after="0" w:line="282" w:lineRule="auto"/>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the rights of shareholders to call a special meeting of shareholders and to take action by written consent in lieu of a meeting; and</w:t>
      </w:r>
    </w:p>
    <w:p>
      <w:pPr>
        <w:spacing w:after="0" w:line="53" w:lineRule="exact"/>
        <w:rPr>
          <w:rFonts w:ascii="Times New Roman" w:cs="Times New Roman" w:eastAsia="Times New Roman" w:hAnsi="Times New Roman"/>
          <w:sz w:val="18"/>
          <w:szCs w:val="18"/>
          <w:color w:val="auto"/>
        </w:rPr>
      </w:pPr>
    </w:p>
    <w:p>
      <w:pPr>
        <w:ind w:left="1520" w:right="300" w:hanging="500"/>
        <w:spacing w:after="0" w:line="282" w:lineRule="auto"/>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face difficulties in protecting their interests because we are incorporated under Cayman Islands law.</w:t>
      </w:r>
    </w:p>
    <w:p>
      <w:pPr>
        <w:spacing w:after="0" w:line="121"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94"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 to limited exceptions, under Cayman Islands law, a minority shareholder may not bring a derivative action against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ind w:right="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operations are interrupted, our business and reputation could suffer.</w:t>
      </w:r>
    </w:p>
    <w:p>
      <w:pPr>
        <w:spacing w:after="0" w:line="229"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Our operations and those of our manufacturers are vulnerable to interruption caused by technical breakdowns, computer hardware and software malfunctions, software viruses, infrastructure failures, regional health issues and pandemics, earthquakes, fires, severe storms, floods and other negative impacts from climate change, power losses, telecommunications failures, terrorist attacks, wars, Internet failures and other events beyond our control. Any disruption in our services or operations could result in a reduction in revenue or a claim for substantial damages against us, regardless of whether we are responsible for that failure. The outbreak of COVID-19 has resulted in significant governmental measures being implemented to control the spread of the virus, including, among others, restrictions on travel, manufacturing and the movement of employees in many regions of the world, and the imposition of remote or work from home conditions in many of our offices, including the United States and Italy. If the remote or work from home conditions continue for an extended period of time, or similar restrictions and measures are implemented in more of the locations where we have offices,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186" w:lineRule="exact"/>
        <w:rPr>
          <w:sz w:val="20"/>
          <w:szCs w:val="20"/>
          <w:color w:val="auto"/>
        </w:rPr>
      </w:pPr>
    </w:p>
    <w:p>
      <w:pPr>
        <w:ind w:right="2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or industry analysts downgrade our ordinary shares, publish negative research or reports or fail to publish reports about our business, our stock price and trading volume could decline.</w:t>
      </w:r>
    </w:p>
    <w:p>
      <w:pPr>
        <w:spacing w:after="0" w:line="159"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The trading market for our ordinary shares will be influenced by the research and reports that industry or securities analysts publish about us, our business and our market. If one or more analysts adversely changes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880" w:type="dxa"/>
            <w:vAlign w:val="bottom"/>
            <w:gridSpan w:val="8"/>
          </w:tcPr>
          <w:p>
            <w:pPr>
              <w:ind w:left="6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6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700" w:type="dxa"/>
            <w:vAlign w:val="bottom"/>
            <w:gridSpan w:val="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2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70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3.1(1)</w:t>
            </w:r>
          </w:p>
        </w:tc>
        <w:tc>
          <w:tcPr>
            <w:tcW w:w="94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Amended and Restated Memorandum of Association and Second Amended and Restated Articles of Association of the Registrant.</w:t>
              </w:r>
            </w:hyperlink>
          </w:p>
        </w:tc>
        <w:tc>
          <w:tcPr>
            <w:tcW w:w="6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20" w:type="dxa"/>
            <w:vAlign w:val="bottom"/>
          </w:tcPr>
          <w:p>
            <w:pPr>
              <w:spacing w:after="0"/>
              <w:rPr>
                <w:sz w:val="24"/>
                <w:szCs w:val="24"/>
                <w:color w:val="auto"/>
              </w:rPr>
            </w:pPr>
          </w:p>
        </w:tc>
        <w:tc>
          <w:tcPr>
            <w:tcW w:w="67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Employment letter entered into by Ambarella Corp. with Brian White, dated March 18, 2022.</w:t>
            </w:r>
          </w:p>
        </w:tc>
        <w:tc>
          <w:tcPr>
            <w:tcW w:w="3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20" w:type="dxa"/>
            <w:vAlign w:val="bottom"/>
          </w:tcPr>
          <w:p>
            <w:pPr>
              <w:spacing w:after="0"/>
              <w:rPr>
                <w:sz w:val="24"/>
                <w:szCs w:val="24"/>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Change of Control and Severance Agreement entered into by Ambarella Corp. with Brian White, dated March 28, 2022.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5520" w:type="dxa"/>
            <w:vAlign w:val="bottom"/>
            <w:gridSpan w:val="4"/>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31.1</w:t>
            </w:r>
          </w:p>
        </w:tc>
        <w:tc>
          <w:tcPr>
            <w:tcW w:w="620" w:type="dxa"/>
            <w:vAlign w:val="bottom"/>
          </w:tcPr>
          <w:p>
            <w:pPr>
              <w:spacing w:after="0"/>
              <w:rPr>
                <w:sz w:val="24"/>
                <w:szCs w:val="24"/>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Required Under Rule 13a-14(a) and 15d-14(a) of the Securities Exchange Act of 1934, as</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amended.</w:t>
            </w:r>
          </w:p>
        </w:tc>
        <w:tc>
          <w:tcPr>
            <w:tcW w:w="8920" w:type="dxa"/>
            <w:vAlign w:val="bottom"/>
            <w:tcBorders>
              <w:top w:val="single" w:sz="8" w:color="0000EE"/>
            </w:tcBorders>
            <w:gridSpan w:val="8"/>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31.2</w:t>
            </w:r>
          </w:p>
        </w:tc>
        <w:tc>
          <w:tcPr>
            <w:tcW w:w="620" w:type="dxa"/>
            <w:vAlign w:val="bottom"/>
          </w:tcPr>
          <w:p>
            <w:pPr>
              <w:spacing w:after="0"/>
              <w:rPr>
                <w:sz w:val="24"/>
                <w:szCs w:val="24"/>
                <w:color w:val="auto"/>
              </w:rPr>
            </w:pPr>
          </w:p>
        </w:tc>
        <w:tc>
          <w:tcPr>
            <w:tcW w:w="95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Required Under Rule 13a-14(a) and 15d-14(a) of the Securities Exchange Act of 1934, as</w:t>
            </w:r>
          </w:p>
        </w:tc>
        <w:tc>
          <w:tcPr>
            <w:tcW w:w="4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amended.</w:t>
            </w:r>
          </w:p>
        </w:tc>
        <w:tc>
          <w:tcPr>
            <w:tcW w:w="9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32.1±</w:t>
            </w:r>
          </w:p>
        </w:tc>
        <w:tc>
          <w:tcPr>
            <w:tcW w:w="620" w:type="dxa"/>
            <w:vAlign w:val="bottom"/>
          </w:tcPr>
          <w:p>
            <w:pPr>
              <w:spacing w:after="0"/>
              <w:rPr>
                <w:sz w:val="24"/>
                <w:szCs w:val="24"/>
                <w:color w:val="auto"/>
              </w:rPr>
            </w:pPr>
          </w:p>
        </w:tc>
        <w:tc>
          <w:tcPr>
            <w:tcW w:w="100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and Principal Financial Officer Required Under Rule 13a-14(b) of the Securities Exchange Act</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1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of 1934, as amended, and 18 U.S.C. §1350.</w:t>
            </w:r>
          </w:p>
        </w:tc>
        <w:tc>
          <w:tcPr>
            <w:tcW w:w="68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Schema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Labels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140" w:right="280" w:hanging="1132"/>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April 30, 2022, has been formatted in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8312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196" w:lineRule="exact"/>
        <w:rPr>
          <w:sz w:val="20"/>
          <w:szCs w:val="20"/>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registration statement on Form S-1 (No. 333-174838) Amendment No. 3 as filed with the Securities</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and Exchange Commission on September 12, 2012.</w:t>
      </w:r>
    </w:p>
    <w:p>
      <w:pPr>
        <w:spacing w:after="0" w:line="9" w:lineRule="exact"/>
        <w:rPr>
          <w:sz w:val="20"/>
          <w:szCs w:val="20"/>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compensation plans or arrangements in which directors or executive officers are eligible to participate.</w:t>
      </w:r>
    </w:p>
    <w:p>
      <w:pPr>
        <w:spacing w:after="0" w:line="9" w:lineRule="exact"/>
        <w:rPr>
          <w:sz w:val="20"/>
          <w:szCs w:val="20"/>
          <w:color w:val="auto"/>
        </w:rPr>
      </w:pPr>
    </w:p>
    <w:p>
      <w:pPr>
        <w:ind w:left="500" w:hanging="492"/>
        <w:spacing w:after="0" w:line="253"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56" w:name="page57"/>
    <w:bookmarkEnd w:id="56"/>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229" w:lineRule="exact"/>
        <w:rPr>
          <w:sz w:val="20"/>
          <w:szCs w:val="20"/>
          <w:color w:val="auto"/>
        </w:rPr>
      </w:pPr>
    </w:p>
    <w:p>
      <w:pPr>
        <w:spacing w:after="0"/>
        <w:tabs>
          <w:tab w:leader="none" w:pos="5760" w:val="left"/>
          <w:tab w:leader="none" w:pos="8000" w:val="left"/>
        </w:tabs>
        <w:rPr>
          <w:sz w:val="20"/>
          <w:szCs w:val="20"/>
          <w:color w:val="auto"/>
        </w:rPr>
      </w:pPr>
      <w:r>
        <w:rPr>
          <w:rFonts w:ascii="Times New Roman" w:cs="Times New Roman" w:eastAsia="Times New Roman" w:hAnsi="Times New Roman"/>
          <w:sz w:val="18"/>
          <w:szCs w:val="18"/>
          <w:color w:val="auto"/>
        </w:rPr>
        <w:t>Date: June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31546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Feng-Ming Wang</w:t>
      </w: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92" w:lineRule="exact"/>
        <w:rPr>
          <w:sz w:val="20"/>
          <w:szCs w:val="20"/>
          <w:color w:val="auto"/>
        </w:rPr>
      </w:pPr>
    </w:p>
    <w:p>
      <w:pPr>
        <w:spacing w:after="0"/>
        <w:tabs>
          <w:tab w:leader="none" w:pos="5760" w:val="left"/>
          <w:tab w:leader="none" w:pos="8080" w:val="left"/>
        </w:tabs>
        <w:rPr>
          <w:sz w:val="20"/>
          <w:szCs w:val="20"/>
          <w:color w:val="auto"/>
        </w:rPr>
      </w:pPr>
      <w:r>
        <w:rPr>
          <w:rFonts w:ascii="Times New Roman" w:cs="Times New Roman" w:eastAsia="Times New Roman" w:hAnsi="Times New Roman"/>
          <w:sz w:val="18"/>
          <w:szCs w:val="18"/>
          <w:color w:val="auto"/>
        </w:rPr>
        <w:t>Date: June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C.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31546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Brian C. White</w:t>
      </w: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800"/>
          </w:cols>
          <w:pgMar w:left="320" w:top="117" w:right="77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208405" cy="9944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0840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18, 2022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Brian White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Jose, CA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Brian,</w:t>
      </w:r>
    </w:p>
    <w:p>
      <w:pPr>
        <w:spacing w:after="0" w:line="206" w:lineRule="exact"/>
        <w:rPr>
          <w:sz w:val="20"/>
          <w:szCs w:val="20"/>
          <w:color w:val="auto"/>
        </w:rPr>
      </w:pPr>
    </w:p>
    <w:p>
      <w:pPr>
        <w:ind w:right="80" w:firstLine="864"/>
        <w:spacing w:after="0" w:line="238" w:lineRule="auto"/>
        <w:rPr>
          <w:sz w:val="20"/>
          <w:szCs w:val="20"/>
          <w:color w:val="auto"/>
        </w:rPr>
      </w:pPr>
      <w:r>
        <w:rPr>
          <w:rFonts w:ascii="Times New Roman" w:cs="Times New Roman" w:eastAsia="Times New Roman" w:hAnsi="Times New Roman"/>
          <w:sz w:val="22"/>
          <w:szCs w:val="22"/>
          <w:color w:val="auto"/>
        </w:rPr>
        <w:t>I am pleased to offer you a position with Ambarella Corporation (the "Company") as Chief Financial Officer, reporting to myself. This is a salaried full-time position. If you decide to join us, you will be paid semi-monthly $15,000.00 (an annual equivalent of $360,000) in accordance with the Company's normal payroll procedures. As a Company employee, you are also eligible to receive certain employee benefits. You should note that the Company may modify salaries and benefits from time to time as it deems necessary. This offer is contingent upon the successful completion of a background check.</w:t>
      </w:r>
    </w:p>
    <w:p>
      <w:pPr>
        <w:spacing w:after="0" w:line="177" w:lineRule="exact"/>
        <w:rPr>
          <w:sz w:val="20"/>
          <w:szCs w:val="20"/>
          <w:color w:val="auto"/>
        </w:rPr>
      </w:pPr>
    </w:p>
    <w:p>
      <w:pPr>
        <w:ind w:firstLine="864"/>
        <w:spacing w:after="0" w:line="235" w:lineRule="auto"/>
        <w:rPr>
          <w:sz w:val="20"/>
          <w:szCs w:val="20"/>
          <w:color w:val="auto"/>
        </w:rPr>
      </w:pPr>
      <w:r>
        <w:rPr>
          <w:rFonts w:ascii="Times New Roman" w:cs="Times New Roman" w:eastAsia="Times New Roman" w:hAnsi="Times New Roman"/>
          <w:sz w:val="22"/>
          <w:szCs w:val="22"/>
          <w:color w:val="auto"/>
        </w:rPr>
        <w:t>You will be eligible to participate in the Company’s bonus plan with a bonus target of 75% of your base salary based on the plan guidelines. Bonus payments under such plan will be based upon the achievement of individual and Company objectives and may be prorated for the Company’s current fiscal year. Any bonus amount paid pursuant to such plan or otherwise shall in no event be paid after the later of (i) 2½ months after the end of the Company’s fiscal year in which such bonus is earned or, (ii) March 15th following the calendar year in which any such bonus is earned. You should note that the Company may modify its bonus plan from time to time as it deems necessary and no payments may be made under the bonus plan if required objectives are not achieved.</w:t>
      </w:r>
    </w:p>
    <w:p>
      <w:pPr>
        <w:spacing w:after="0" w:line="183" w:lineRule="exact"/>
        <w:rPr>
          <w:sz w:val="20"/>
          <w:szCs w:val="20"/>
          <w:color w:val="auto"/>
        </w:rPr>
      </w:pPr>
    </w:p>
    <w:p>
      <w:pPr>
        <w:ind w:right="40" w:firstLine="864"/>
        <w:spacing w:after="0" w:line="234" w:lineRule="auto"/>
        <w:rPr>
          <w:sz w:val="20"/>
          <w:szCs w:val="20"/>
          <w:color w:val="auto"/>
        </w:rPr>
      </w:pPr>
      <w:r>
        <w:rPr>
          <w:rFonts w:ascii="Times New Roman" w:cs="Times New Roman" w:eastAsia="Times New Roman" w:hAnsi="Times New Roman"/>
          <w:sz w:val="22"/>
          <w:szCs w:val="22"/>
          <w:color w:val="auto"/>
        </w:rPr>
        <w:t>It will be recommended at the first meeting of the Board of Directors of Ambarella, Inc. (the “Board”), the parent company of the Company, following your start date that you be granted an award of Restricted Stock Units representing 80,000 Ordinary shares (the “RSU”). The recommended vesting schedule of the RSU shall be as follows: Twenty-five percent (25%) of the shares subject to the RSU shall vest on the one (1) year anniversary of the vesting commencement date (as set forth in your restricted stock unit agreement), and 1/16th of the shares shall vest quarterly thereafter on each March 15</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June 15</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September 15</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and December 15</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i w:val="1"/>
          <w:iCs w:val="1"/>
          <w:color w:val="auto"/>
        </w:rPr>
        <w:t>Quarterly Vest Date</w:t>
      </w:r>
      <w:r>
        <w:rPr>
          <w:rFonts w:ascii="Times New Roman" w:cs="Times New Roman" w:eastAsia="Times New Roman" w:hAnsi="Times New Roman"/>
          <w:sz w:val="22"/>
          <w:szCs w:val="22"/>
          <w:color w:val="auto"/>
        </w:rPr>
        <w:t>”) over the next 3 years. The grant date of the RSU will be no later than the next Quarterly Vest Date that follows the meeting of the Board in which your RSU is awarded. The RSU shall be subject to the terms and conditions of the Company’s 2021 Equity Incentive Plan (the “Plan”) and the related Restricted Stock Unit Award Agreement, including vesting requirements. No right to any stock is earned or accrued until such time that vesting occurs, nor does the grant confer any right to continue vesting or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color w:val="auto"/>
        </w:rPr>
        <w:t>Brian White</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w:t>
      </w:r>
    </w:p>
    <w:p>
      <w:pPr>
        <w:spacing w:after="0" w:line="182" w:lineRule="exact"/>
        <w:rPr>
          <w:sz w:val="20"/>
          <w:szCs w:val="20"/>
          <w:color w:val="auto"/>
        </w:rPr>
      </w:pPr>
    </w:p>
    <w:p>
      <w:pPr>
        <w:jc w:val="both"/>
        <w:ind w:right="20" w:firstLine="864"/>
        <w:spacing w:after="0" w:line="261" w:lineRule="auto"/>
        <w:rPr>
          <w:sz w:val="20"/>
          <w:szCs w:val="20"/>
          <w:color w:val="auto"/>
        </w:rPr>
      </w:pPr>
      <w:r>
        <w:rPr>
          <w:rFonts w:ascii="Times New Roman" w:cs="Times New Roman" w:eastAsia="Times New Roman" w:hAnsi="Times New Roman"/>
          <w:sz w:val="21"/>
          <w:szCs w:val="21"/>
          <w:color w:val="auto"/>
        </w:rPr>
        <w:t>Further, you will also be eligible to participate in the Company’s annual executive equity program beginning with fiscal year 2024 (beginning February 1, 2023) and receive an award of RSUs and/or performance-based RSUs with an aggregate target value of $2,500,000, subject to the terms and conditions of the Plan and the related Restricted Stock Unit Agreement(s).</w:t>
      </w:r>
    </w:p>
    <w:p>
      <w:pPr>
        <w:spacing w:after="0" w:line="157" w:lineRule="exact"/>
        <w:rPr>
          <w:sz w:val="20"/>
          <w:szCs w:val="20"/>
          <w:color w:val="auto"/>
        </w:rPr>
      </w:pPr>
    </w:p>
    <w:p>
      <w:pPr>
        <w:ind w:right="40" w:firstLine="864"/>
        <w:spacing w:after="0" w:line="235" w:lineRule="auto"/>
        <w:rPr>
          <w:sz w:val="20"/>
          <w:szCs w:val="20"/>
          <w:color w:val="auto"/>
        </w:rPr>
      </w:pPr>
      <w:r>
        <w:rPr>
          <w:rFonts w:ascii="Times New Roman" w:cs="Times New Roman" w:eastAsia="Times New Roman" w:hAnsi="Times New Roman"/>
          <w:sz w:val="22"/>
          <w:szCs w:val="22"/>
          <w:color w:val="auto"/>
        </w:rPr>
        <w:t>In addition, if you decide to join us, upon ratification of this employment offer by the Board, the Company will enter into a Change of Control and Severance Agreement (the “Severance Agreement”) with you that will provide you with certain benefits upon a termination of your employment under conditions described in the Severance Agreement. Any severance and benefits payments will be subject to the terms and conditions of such Severance Agreement, including provisions intended to comply with the requirements of Section 409A of the Internal Revenue Code, and any ambiguities herein will be interpreted to so comply. You and the Company agree to work together in good faith to consider amendments to this letter agreement and to take such reasonable actions necessary, appropriate or desirable to avoid imposition of any additional tax or income recognition prior to actual payment to you under Section 409A.</w:t>
      </w:r>
    </w:p>
    <w:p>
      <w:pPr>
        <w:spacing w:after="0" w:line="178" w:lineRule="exact"/>
        <w:rPr>
          <w:sz w:val="20"/>
          <w:szCs w:val="20"/>
          <w:color w:val="auto"/>
        </w:rPr>
      </w:pPr>
    </w:p>
    <w:p>
      <w:pPr>
        <w:ind w:right="2360" w:firstLine="864"/>
        <w:spacing w:after="0" w:line="241" w:lineRule="auto"/>
        <w:rPr>
          <w:sz w:val="20"/>
          <w:szCs w:val="20"/>
          <w:color w:val="auto"/>
        </w:rPr>
      </w:pPr>
      <w:r>
        <w:rPr>
          <w:rFonts w:ascii="Times New Roman" w:cs="Times New Roman" w:eastAsia="Times New Roman" w:hAnsi="Times New Roman"/>
          <w:sz w:val="22"/>
          <w:szCs w:val="22"/>
          <w:color w:val="auto"/>
        </w:rPr>
        <w:t>The Company is excited about your joining and looks forward to a beneficial and productive relationship. Nevertheless, you should be aware that your employment with the</w:t>
      </w:r>
    </w:p>
    <w:p>
      <w:pPr>
        <w:spacing w:after="0" w:line="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Company is for no specified period and constitutes at-will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w:t>
      </w:r>
    </w:p>
    <w:p>
      <w:pPr>
        <w:spacing w:after="0" w:line="177" w:lineRule="exact"/>
        <w:rPr>
          <w:sz w:val="20"/>
          <w:szCs w:val="20"/>
          <w:color w:val="auto"/>
        </w:rPr>
      </w:pPr>
    </w:p>
    <w:p>
      <w:pPr>
        <w:jc w:val="both"/>
        <w:ind w:right="320" w:firstLine="864"/>
        <w:spacing w:after="0" w:line="244" w:lineRule="auto"/>
        <w:rPr>
          <w:sz w:val="20"/>
          <w:szCs w:val="20"/>
          <w:color w:val="auto"/>
        </w:rPr>
      </w:pPr>
      <w:r>
        <w:rPr>
          <w:rFonts w:ascii="Times New Roman" w:cs="Times New Roman" w:eastAsia="Times New Roman" w:hAnsi="Times New Roman"/>
          <w:sz w:val="22"/>
          <w:szCs w:val="22"/>
          <w:color w:val="auto"/>
        </w:rPr>
        <w:t>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w:t>
      </w:r>
    </w:p>
    <w:p>
      <w:pPr>
        <w:spacing w:after="0" w:line="173" w:lineRule="exact"/>
        <w:rPr>
          <w:sz w:val="20"/>
          <w:szCs w:val="20"/>
          <w:color w:val="auto"/>
        </w:rPr>
      </w:pPr>
    </w:p>
    <w:p>
      <w:pPr>
        <w:ind w:right="100" w:firstLine="864"/>
        <w:spacing w:after="0" w:line="234" w:lineRule="auto"/>
        <w:rPr>
          <w:sz w:val="20"/>
          <w:szCs w:val="20"/>
          <w:color w:val="auto"/>
        </w:rPr>
      </w:pPr>
      <w:r>
        <w:rPr>
          <w:rFonts w:ascii="Times New Roman" w:cs="Times New Roman" w:eastAsia="Times New Roman" w:hAnsi="Times New Roman"/>
          <w:sz w:val="22"/>
          <w:szCs w:val="22"/>
          <w:color w:val="auto"/>
        </w:rPr>
        <w:t xml:space="preserve">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w:t>
      </w:r>
      <w:r>
        <w:rPr>
          <w:rFonts w:ascii="Times New Roman" w:cs="Times New Roman" w:eastAsia="Times New Roman" w:hAnsi="Times New Roman"/>
          <w:sz w:val="22"/>
          <w:szCs w:val="22"/>
          <w:b w:val="1"/>
          <w:bCs w:val="1"/>
          <w:color w:val="auto"/>
        </w:rPr>
        <w:t>Similarly, you agree not to bring any third party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confidential information to the Company, including that of your former employer, and that in performing your duties for the Company you will not in any way utilize any such information.</w:t>
      </w:r>
    </w:p>
    <w:p>
      <w:pPr>
        <w:spacing w:after="0" w:line="183" w:lineRule="exact"/>
        <w:rPr>
          <w:sz w:val="20"/>
          <w:szCs w:val="20"/>
          <w:color w:val="auto"/>
        </w:rPr>
      </w:pPr>
    </w:p>
    <w:p>
      <w:pPr>
        <w:jc w:val="both"/>
        <w:ind w:right="220" w:firstLine="864"/>
        <w:spacing w:after="0" w:line="244" w:lineRule="auto"/>
        <w:rPr>
          <w:sz w:val="20"/>
          <w:szCs w:val="20"/>
          <w:color w:val="auto"/>
        </w:rPr>
      </w:pPr>
      <w:r>
        <w:rPr>
          <w:rFonts w:ascii="Times New Roman" w:cs="Times New Roman" w:eastAsia="Times New Roman" w:hAnsi="Times New Roman"/>
          <w:sz w:val="22"/>
          <w:szCs w:val="22"/>
          <w:color w:val="auto"/>
        </w:rPr>
        <w:t>As a Company employee, you will be expected to abide by the Company's rules and standards. Specifically, you will be required to sign an acknowledgment that you have read and that you understand the Company's rules of conduct, which are included in the Company Handbook.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color w:val="auto"/>
        </w:rPr>
        <w:t>Brian White</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3</w:t>
      </w:r>
    </w:p>
    <w:p>
      <w:pPr>
        <w:spacing w:after="0" w:line="162" w:lineRule="exact"/>
        <w:rPr>
          <w:sz w:val="20"/>
          <w:szCs w:val="20"/>
          <w:color w:val="auto"/>
        </w:rPr>
      </w:pPr>
    </w:p>
    <w:p>
      <w:pPr>
        <w:ind w:right="180" w:firstLine="864"/>
        <w:spacing w:after="0" w:line="252" w:lineRule="exact"/>
        <w:rPr>
          <w:sz w:val="20"/>
          <w:szCs w:val="20"/>
          <w:color w:val="auto"/>
        </w:rPr>
      </w:pPr>
      <w:r>
        <w:rPr>
          <w:rFonts w:ascii="Times New Roman" w:cs="Times New Roman" w:eastAsia="Times New Roman" w:hAnsi="Times New Roman"/>
          <w:sz w:val="22"/>
          <w:szCs w:val="22"/>
          <w:color w:val="auto"/>
        </w:rPr>
        <w:t>As a condition of your employment, you are also required to sign and comply with an At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Will Employment, Confidential Information, Invention Assignment and Arbitration Agreement which requires, among other provisions, the assignment of patent rights to any invention made during your employment at the Company,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disclosure of Company proprietary information. In the event of any dispute or claim relating to or arising out of our employment relationship, you and the Company agree that (i) any and all disputes between you and the Company shall be fully and finally resolved by binding arbitration, (ii) you are waiving any and all rights to a jury trial but all court remedies will be available in arbitration, (iii) all disputes shall be resolved by a neutral arbitrator who shall issue a written opinion, (iv) the arbitration shall provide for adequate discovery, and (v) the Company shall pay all but the first $125 of the arbitration fees. Please note that we must receive your signed Agreement before your first day of employment.</w:t>
      </w:r>
    </w:p>
    <w:p>
      <w:pPr>
        <w:spacing w:after="0" w:line="183" w:lineRule="exact"/>
        <w:rPr>
          <w:sz w:val="20"/>
          <w:szCs w:val="20"/>
          <w:color w:val="auto"/>
        </w:rPr>
      </w:pPr>
    </w:p>
    <w:p>
      <w:pPr>
        <w:ind w:right="20" w:firstLine="864"/>
        <w:spacing w:after="0" w:line="252" w:lineRule="exact"/>
        <w:rPr>
          <w:sz w:val="20"/>
          <w:szCs w:val="20"/>
          <w:color w:val="auto"/>
        </w:rPr>
      </w:pPr>
      <w:r>
        <w:rPr>
          <w:rFonts w:ascii="Times New Roman" w:cs="Times New Roman" w:eastAsia="Times New Roman" w:hAnsi="Times New Roman"/>
          <w:sz w:val="22"/>
          <w:szCs w:val="22"/>
          <w:color w:val="auto"/>
        </w:rPr>
        <w:t>To accept the Company's offer, please e-sign and date this letter in the space provided via the applicant tracking system for Ambarella. This letter, along with any agreements relating to proprietary rights between you and the Company, set forth the terms of your employment with the Company and supersede any prior representations or agreements including, but not limited to, any representations made during your recruitment, interviews or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employment negotiations, whether written or oral. This letter, including, but not limited to, its at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will employment provision, may not be modified or amended except by a written agreement signed by the President of the Company and you. This offer of employment will terminate if it is not accepted, signed and returned by </w:t>
      </w:r>
      <w:r>
        <w:rPr>
          <w:rFonts w:ascii="Times New Roman" w:cs="Times New Roman" w:eastAsia="Times New Roman" w:hAnsi="Times New Roman"/>
          <w:sz w:val="22"/>
          <w:szCs w:val="22"/>
          <w:b w:val="1"/>
          <w:bCs w:val="1"/>
          <w:color w:val="auto"/>
        </w:rPr>
        <w:t>March 25, 2022</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right="260" w:firstLine="864"/>
        <w:spacing w:after="0" w:line="253" w:lineRule="auto"/>
        <w:rPr>
          <w:sz w:val="20"/>
          <w:szCs w:val="20"/>
          <w:color w:val="auto"/>
        </w:rPr>
      </w:pPr>
      <w:r>
        <w:rPr>
          <w:rFonts w:ascii="Times New Roman" w:cs="Times New Roman" w:eastAsia="Times New Roman" w:hAnsi="Times New Roman"/>
          <w:sz w:val="21"/>
          <w:szCs w:val="21"/>
          <w:color w:val="auto"/>
        </w:rPr>
        <w:t>By e-signing this offer letter, you agree that (i) neither the Company nor any employee of the Company has directly solicited, encouraged or taken any other action which was intended to induce or encourage you to leave your current employer,</w:t>
      </w:r>
    </w:p>
    <w:p>
      <w:pPr>
        <w:spacing w:after="0" w:line="1" w:lineRule="exact"/>
        <w:rPr>
          <w:sz w:val="20"/>
          <w:szCs w:val="20"/>
          <w:color w:val="auto"/>
        </w:rPr>
      </w:pPr>
    </w:p>
    <w:p>
      <w:pPr>
        <w:ind w:right="540" w:firstLine="8"/>
        <w:spacing w:after="0" w:line="237" w:lineRule="auto"/>
        <w:tabs>
          <w:tab w:leader="none" w:pos="31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initiated contact with the Company regarding employment, (iii) you affirmatively agree to accept this offer using an electronic signature.</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We look forward to your favorable reply and to a productive and exciting work relationship at Ambarella Corporation.</w:t>
      </w:r>
    </w:p>
    <w:p>
      <w:pPr>
        <w:spacing w:after="0" w:line="21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 Feng-Ming Wang</w:t>
      </w:r>
    </w:p>
    <w:p>
      <w:pPr>
        <w:spacing w:after="0" w:line="20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to and accepted: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Brian White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Name: </w:t>
      </w:r>
      <w:r>
        <w:rPr>
          <w:rFonts w:ascii="Times New Roman" w:cs="Times New Roman" w:eastAsia="Times New Roman" w:hAnsi="Times New Roman"/>
          <w:sz w:val="22"/>
          <w:szCs w:val="22"/>
          <w:b w:val="1"/>
          <w:bCs w:val="1"/>
          <w:color w:val="auto"/>
        </w:rPr>
        <w:t>Brian White</w:t>
      </w:r>
    </w:p>
    <w:p>
      <w:pPr>
        <w:spacing w:after="0" w:line="18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u w:val="single" w:color="auto"/>
          <w:color w:val="auto"/>
        </w:rPr>
        <w:t>3-18-22</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Expected start date on or before: __</w:t>
      </w:r>
      <w:r>
        <w:rPr>
          <w:rFonts w:ascii="Times New Roman" w:cs="Times New Roman" w:eastAsia="Times New Roman" w:hAnsi="Times New Roman"/>
          <w:sz w:val="22"/>
          <w:szCs w:val="22"/>
          <w:u w:val="single" w:color="auto"/>
          <w:color w:val="auto"/>
        </w:rPr>
        <w:t>, 2022</w:t>
      </w:r>
    </w:p>
    <w:p>
      <w:pPr>
        <w:sectPr>
          <w:pgSz w:w="11900" w:h="16838" w:orient="portrait"/>
          <w:cols w:equalWidth="0" w:num="1">
            <w:col w:w="11240"/>
          </w:cols>
          <w:pgMar w:left="320" w:top="112"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AMBARELLA,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OF CONTROL AND SEVERANCE AGREEMENT</w:t>
      </w:r>
    </w:p>
    <w:p>
      <w:pPr>
        <w:spacing w:after="0" w:line="206" w:lineRule="exact"/>
        <w:rPr>
          <w:sz w:val="20"/>
          <w:szCs w:val="20"/>
          <w:color w:val="auto"/>
        </w:rPr>
      </w:pPr>
    </w:p>
    <w:p>
      <w:pPr>
        <w:ind w:firstLine="864"/>
        <w:spacing w:after="0" w:line="262" w:lineRule="auto"/>
        <w:rPr>
          <w:sz w:val="20"/>
          <w:szCs w:val="20"/>
          <w:color w:val="auto"/>
        </w:rPr>
      </w:pPr>
      <w:r>
        <w:rPr>
          <w:rFonts w:ascii="Times New Roman" w:cs="Times New Roman" w:eastAsia="Times New Roman" w:hAnsi="Times New Roman"/>
          <w:sz w:val="22"/>
          <w:szCs w:val="22"/>
          <w:color w:val="auto"/>
        </w:rPr>
        <w:t>This Change of Control Severance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and entered into by and between Brian White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and Ambarella,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effective as of March 28, 2022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06" w:lineRule="exact"/>
        <w:rPr>
          <w:sz w:val="20"/>
          <w:szCs w:val="20"/>
          <w:color w:val="auto"/>
        </w:rPr>
      </w:pPr>
    </w:p>
    <w:p>
      <w:pPr>
        <w:jc w:val="both"/>
        <w:ind w:firstLine="872"/>
        <w:spacing w:after="0" w:line="236" w:lineRule="auto"/>
        <w:tabs>
          <w:tab w:leader="none" w:pos="167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expected that the Company from time to time will consider the possibility of an acquisition by another company or other change of control. 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recognizes that such consideration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a Change of Control of the Company.</w:t>
      </w:r>
    </w:p>
    <w:p>
      <w:pPr>
        <w:spacing w:after="0" w:line="181" w:lineRule="exact"/>
        <w:rPr>
          <w:rFonts w:ascii="Times New Roman" w:cs="Times New Roman" w:eastAsia="Times New Roman" w:hAnsi="Times New Roman"/>
          <w:sz w:val="22"/>
          <w:szCs w:val="22"/>
          <w:color w:val="auto"/>
        </w:rPr>
      </w:pPr>
    </w:p>
    <w:p>
      <w:pPr>
        <w:jc w:val="both"/>
        <w:ind w:firstLine="872"/>
        <w:spacing w:after="0" w:line="244" w:lineRule="auto"/>
        <w:tabs>
          <w:tab w:leader="none" w:pos="167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believes that it is in the best interests of the Company and its stockholders to provide Executive with an incentive to continue his or her employment and to motivate Executive to maximize the value of the Company upon a Change of Control for the benefit of its stockholders.</w:t>
      </w:r>
    </w:p>
    <w:p>
      <w:pPr>
        <w:spacing w:after="0" w:line="173" w:lineRule="exact"/>
        <w:rPr>
          <w:rFonts w:ascii="Times New Roman" w:cs="Times New Roman" w:eastAsia="Times New Roman" w:hAnsi="Times New Roman"/>
          <w:sz w:val="22"/>
          <w:szCs w:val="22"/>
          <w:color w:val="auto"/>
        </w:rPr>
      </w:pPr>
    </w:p>
    <w:p>
      <w:pPr>
        <w:jc w:val="both"/>
        <w:ind w:firstLine="872"/>
        <w:spacing w:after="0" w:line="238" w:lineRule="auto"/>
        <w:tabs>
          <w:tab w:leader="none" w:pos="167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believes that it is imperative to provide Executive with certain severance benefits upon Executive’s termination of employment in connection with a Change of Control. The Board further believes that it is imperative to provide Executive with certain severance benefits if the Company were to terminate Executive’s employment without cause during the term of this Agreement. These benefits will provide Executive with enhanced financial security and incentive and encouragement to remain with the Company notwithstanding the possibility of a Change of Control.</w:t>
      </w:r>
    </w:p>
    <w:p>
      <w:pPr>
        <w:spacing w:after="0" w:line="176" w:lineRule="exact"/>
        <w:rPr>
          <w:rFonts w:ascii="Times New Roman" w:cs="Times New Roman" w:eastAsia="Times New Roman" w:hAnsi="Times New Roman"/>
          <w:sz w:val="22"/>
          <w:szCs w:val="22"/>
          <w:color w:val="auto"/>
        </w:rPr>
      </w:pPr>
    </w:p>
    <w:p>
      <w:pPr>
        <w:ind w:left="1680" w:hanging="808"/>
        <w:spacing w:after="0"/>
        <w:tabs>
          <w:tab w:leader="none" w:pos="16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capitalized terms used in the Agreement are defined in Section 7 below.</w:t>
      </w:r>
    </w:p>
    <w:p>
      <w:pPr>
        <w:spacing w:after="0" w:line="200" w:lineRule="exact"/>
        <w:rPr>
          <w:sz w:val="20"/>
          <w:szCs w:val="20"/>
          <w:color w:val="auto"/>
        </w:rPr>
      </w:pPr>
    </w:p>
    <w:p>
      <w:pPr>
        <w:spacing w:after="0" w:line="222"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0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22"/>
          <w:szCs w:val="22"/>
          <w:color w:val="auto"/>
        </w:rPr>
        <w:t>NOW, THEREFORE, in consideration of the mutual covenants contained herein, the parties hereto agree as follows:</w:t>
      </w:r>
    </w:p>
    <w:p>
      <w:pPr>
        <w:spacing w:after="0" w:line="206" w:lineRule="exact"/>
        <w:rPr>
          <w:sz w:val="20"/>
          <w:szCs w:val="20"/>
          <w:color w:val="auto"/>
        </w:rPr>
      </w:pPr>
    </w:p>
    <w:p>
      <w:pPr>
        <w:jc w:val="both"/>
        <w:ind w:firstLine="872"/>
        <w:spacing w:after="0" w:line="239" w:lineRule="auto"/>
        <w:tabs>
          <w:tab w:leader="none" w:pos="167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This Agreement will continue indefinitely until terminated by written consent of the parties hereto. Notwithstanding the previous sentence, if Executive becomes entitled to benefits pursuant to Section 3 of this Agreement, the Agreement will terminate when all of the obligations of the parties hereto with respect to this Agreement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jc w:val="both"/>
        <w:ind w:left="-872" w:firstLine="872"/>
        <w:spacing w:after="0" w:line="238" w:lineRule="auto"/>
        <w:tabs>
          <w:tab w:leader="none" w:pos="80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The Company and Executive acknowledge that Executive’s employment is and will continue to be at-will, as defined under applicable law. If Executive’s employment terminates for any reason, Executive will not be entitled to any payments, benefits, damages, awards or compensation other than as provided by this Agreement, or pursuant to the Company’s policies in place at the time of the termination (to the extent applicable) and the payment of accrued but unpaid wages, as required by law, and any unreimbursed reimbursable expenses.</w:t>
      </w:r>
    </w:p>
    <w:p>
      <w:pPr>
        <w:spacing w:after="0" w:line="176" w:lineRule="exact"/>
        <w:rPr>
          <w:rFonts w:ascii="Times New Roman" w:cs="Times New Roman" w:eastAsia="Times New Roman" w:hAnsi="Times New Roman"/>
          <w:sz w:val="22"/>
          <w:szCs w:val="22"/>
          <w:color w:val="auto"/>
        </w:rPr>
      </w:pPr>
    </w:p>
    <w:p>
      <w:pPr>
        <w:ind w:left="808" w:hanging="808"/>
        <w:spacing w:after="0"/>
        <w:tabs>
          <w:tab w:leader="none" w:pos="80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872" w:firstLine="1735"/>
        <w:spacing w:after="0" w:line="238" w:lineRule="auto"/>
        <w:tabs>
          <w:tab w:leader="none" w:pos="1743"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Apart From a Change of Control</w:t>
      </w:r>
      <w:r>
        <w:rPr>
          <w:rFonts w:ascii="Times New Roman" w:cs="Times New Roman" w:eastAsia="Times New Roman" w:hAnsi="Times New Roman"/>
          <w:sz w:val="22"/>
          <w:szCs w:val="22"/>
          <w:color w:val="auto"/>
        </w:rPr>
        <w:t>. If the Company terminates Executive’s employment with the Company without Cause, and such termination occurs either prior to three (3) months before or after twelve (12) months following a Change of Control, and Executive signs and does not revoke a release of claims with the Company as required by Section 4 and resigns as a member of the Board, if applicable, effective no later than thirty (30) days following Executive’s termination, then Executive will receive the following from the Company:</w:t>
      </w:r>
    </w:p>
    <w:p>
      <w:pPr>
        <w:spacing w:after="0" w:line="176" w:lineRule="exact"/>
        <w:rPr>
          <w:rFonts w:ascii="Times New Roman" w:cs="Times New Roman" w:eastAsia="Times New Roman" w:hAnsi="Times New Roman"/>
          <w:sz w:val="22"/>
          <w:szCs w:val="22"/>
          <w:color w:val="auto"/>
        </w:rPr>
      </w:pPr>
    </w:p>
    <w:p>
      <w:pPr>
        <w:jc w:val="both"/>
        <w:ind w:left="-872" w:firstLine="3032"/>
        <w:spacing w:after="0" w:line="244" w:lineRule="auto"/>
        <w:tabs>
          <w:tab w:leader="none" w:pos="3004"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Compensation</w:t>
      </w:r>
      <w:r>
        <w:rPr>
          <w:rFonts w:ascii="Times New Roman" w:cs="Times New Roman" w:eastAsia="Times New Roman" w:hAnsi="Times New Roman"/>
          <w:sz w:val="22"/>
          <w:szCs w:val="22"/>
          <w:color w:val="auto"/>
        </w:rPr>
        <w:t>. The Company will pay Executive all accrued but unpaid vacation, expense reimbursements, wages, any earned (but yet unpaid) bonus or commission and other benefits due to Executive under any Company-provided plans, policies, and arrangements.</w:t>
      </w:r>
    </w:p>
    <w:p>
      <w:pPr>
        <w:spacing w:after="0" w:line="173" w:lineRule="exact"/>
        <w:rPr>
          <w:rFonts w:ascii="Times New Roman" w:cs="Times New Roman" w:eastAsia="Times New Roman" w:hAnsi="Times New Roman"/>
          <w:sz w:val="22"/>
          <w:szCs w:val="22"/>
          <w:color w:val="auto"/>
        </w:rPr>
      </w:pPr>
    </w:p>
    <w:p>
      <w:pPr>
        <w:jc w:val="both"/>
        <w:ind w:left="-872" w:firstLine="3032"/>
        <w:spacing w:after="0" w:line="239" w:lineRule="auto"/>
        <w:tabs>
          <w:tab w:leader="none" w:pos="3064"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Payment</w:t>
      </w:r>
      <w:r>
        <w:rPr>
          <w:rFonts w:ascii="Times New Roman" w:cs="Times New Roman" w:eastAsia="Times New Roman" w:hAnsi="Times New Roman"/>
          <w:sz w:val="22"/>
          <w:szCs w:val="22"/>
          <w:color w:val="auto"/>
        </w:rPr>
        <w:t>. Executive is entitled to receive a lump sum payment equal to the sum of (x) 100% of Executive’s annual base salary as in effect immediately prior to Executive’s termination date and (y) the portion of Executive’s annual target bonus prorated monthly based on the number of months of service completed for the fiscal year which the Executive’s employment terminates.</w:t>
      </w:r>
    </w:p>
    <w:p>
      <w:pPr>
        <w:spacing w:after="0" w:line="180" w:lineRule="exact"/>
        <w:rPr>
          <w:rFonts w:ascii="Times New Roman" w:cs="Times New Roman" w:eastAsia="Times New Roman" w:hAnsi="Times New Roman"/>
          <w:sz w:val="22"/>
          <w:szCs w:val="22"/>
          <w:color w:val="auto"/>
        </w:rPr>
      </w:pPr>
    </w:p>
    <w:p>
      <w:pPr>
        <w:jc w:val="both"/>
        <w:ind w:left="-872" w:firstLine="3032"/>
        <w:spacing w:after="0" w:line="236" w:lineRule="auto"/>
        <w:tabs>
          <w:tab w:leader="none" w:pos="3124"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If Executive has been employed by the Company for less than twelve (12) months, Executive will not receive any accelerated vesting of his or her outstanding equity awards, except as may be set forth in Executive’s individual equity award agreements or the terms of the Company’s equity award plans. If Executive has been employed by the Company for at least twelve (12) months, Executive’s outstanding equity awards will immediately vest as to that number of shares that would have otherwise vested during the twelve (12)-month period following the date of Executive’s termination.</w:t>
      </w:r>
    </w:p>
    <w:p>
      <w:pPr>
        <w:spacing w:after="0" w:line="181" w:lineRule="exact"/>
        <w:rPr>
          <w:rFonts w:ascii="Times New Roman" w:cs="Times New Roman" w:eastAsia="Times New Roman" w:hAnsi="Times New Roman"/>
          <w:sz w:val="22"/>
          <w:szCs w:val="22"/>
          <w:color w:val="auto"/>
        </w:rPr>
      </w:pPr>
    </w:p>
    <w:p>
      <w:pPr>
        <w:jc w:val="both"/>
        <w:ind w:left="-872" w:firstLine="3032"/>
        <w:spacing w:after="0" w:line="235" w:lineRule="auto"/>
        <w:tabs>
          <w:tab w:leader="none" w:pos="3112"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Health Benefits</w:t>
      </w:r>
      <w:r>
        <w:rPr>
          <w:rFonts w:ascii="Times New Roman" w:cs="Times New Roman" w:eastAsia="Times New Roman" w:hAnsi="Times New Roman"/>
          <w:sz w:val="22"/>
          <w:szCs w:val="22"/>
          <w:color w:val="auto"/>
        </w:rPr>
        <w:t>. If (1) Executive constitutes a qualified beneficiary, as defined in Section 4980(B)(g)(1)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and (2) Executive elects continuation health coverage pursuant to the Consolidated Omnibus Budget Reconciliation Act of 1985, as amended (“</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for Executive and Executive’s eligible dependents, within the time period prescribed pursuant to COBRA, the Company will pay the premiums for such health continuation coverage at the levels in effect immediately prior to Executive’s termination until the earlier of (A) twelve (12) months from the last date of Executive’s employment with the Company, (B) the date upon which Executive and/or Executive’s eligible dependents becomes covered under similar plans, or (C) the date upon which Executive and Executive’s eligible dependents are no longer eligible for coverage under COBRA.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220980</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28" w:right="339" w:bottom="1440" w:gutter="0" w:footer="0" w:header="0"/>
        </w:sectPr>
      </w:pPr>
    </w:p>
    <w:bookmarkStart w:id="62" w:name="page63"/>
    <w:bookmarkEnd w:id="62"/>
    <w:p>
      <w:pPr>
        <w:jc w:val="both"/>
        <w:ind w:firstLine="1735"/>
        <w:spacing w:after="0" w:line="236" w:lineRule="auto"/>
        <w:tabs>
          <w:tab w:leader="none" w:pos="262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or Resignation for Good Reason in Connection with a Change of Control</w:t>
      </w:r>
      <w:r>
        <w:rPr>
          <w:rFonts w:ascii="Times New Roman" w:cs="Times New Roman" w:eastAsia="Times New Roman" w:hAnsi="Times New Roman"/>
          <w:sz w:val="22"/>
          <w:szCs w:val="22"/>
          <w:color w:val="auto"/>
        </w:rPr>
        <w:t>. If the Company terminates Executive’s employment with the Company without Cause or if Executive resigns from such employment for Good Reason, and such termination occurs within the period beginning three (3) months before and ending twelve (12) months after a Change of Control, and Executive signs and does not revoke a release of claims with the Company as required by Section 4 and resigns as a member of the Board, if applicable, effective no later than thirty (30) days following Executive’s termination, then Executive will receive the following from the Company:</w:t>
      </w:r>
    </w:p>
    <w:p>
      <w:pPr>
        <w:spacing w:after="0" w:line="181" w:lineRule="exact"/>
        <w:rPr>
          <w:rFonts w:ascii="Times New Roman" w:cs="Times New Roman" w:eastAsia="Times New Roman" w:hAnsi="Times New Roman"/>
          <w:sz w:val="22"/>
          <w:szCs w:val="22"/>
          <w:color w:val="auto"/>
        </w:rPr>
      </w:pPr>
    </w:p>
    <w:p>
      <w:pPr>
        <w:jc w:val="both"/>
        <w:ind w:firstLine="3032"/>
        <w:spacing w:after="0" w:line="244" w:lineRule="auto"/>
        <w:tabs>
          <w:tab w:leader="none" w:pos="3875"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Compensation</w:t>
      </w:r>
      <w:r>
        <w:rPr>
          <w:rFonts w:ascii="Times New Roman" w:cs="Times New Roman" w:eastAsia="Times New Roman" w:hAnsi="Times New Roman"/>
          <w:sz w:val="22"/>
          <w:szCs w:val="22"/>
          <w:color w:val="auto"/>
        </w:rPr>
        <w:t>. The Company will pay Executive all accrued but unpaid vacation, expense reimbursements, wages, any earned (but yet unpaid) bonus or commission, and other benefits due to Executive under any Company-provided plans, policies, and arrangements.</w:t>
      </w:r>
    </w:p>
    <w:p>
      <w:pPr>
        <w:spacing w:after="0" w:line="173" w:lineRule="exact"/>
        <w:rPr>
          <w:rFonts w:ascii="Times New Roman" w:cs="Times New Roman" w:eastAsia="Times New Roman" w:hAnsi="Times New Roman"/>
          <w:sz w:val="22"/>
          <w:szCs w:val="22"/>
          <w:color w:val="auto"/>
        </w:rPr>
      </w:pPr>
    </w:p>
    <w:p>
      <w:pPr>
        <w:ind w:left="3940" w:hanging="908"/>
        <w:spacing w:after="0"/>
        <w:tabs>
          <w:tab w:leader="none" w:pos="394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Payment</w:t>
      </w:r>
      <w:r>
        <w:rPr>
          <w:rFonts w:ascii="Times New Roman" w:cs="Times New Roman" w:eastAsia="Times New Roman" w:hAnsi="Times New Roman"/>
          <w:sz w:val="22"/>
          <w:szCs w:val="22"/>
          <w:color w:val="auto"/>
        </w:rPr>
        <w:t>. Executive is entitled to receive a lump sum payment equal to the</w:t>
      </w:r>
    </w:p>
    <w:p>
      <w:pPr>
        <w:spacing w:after="0" w:line="14" w:lineRule="exact"/>
        <w:rPr>
          <w:rFonts w:ascii="Times New Roman" w:cs="Times New Roman" w:eastAsia="Times New Roman" w:hAnsi="Times New Roman"/>
          <w:sz w:val="22"/>
          <w:szCs w:val="22"/>
          <w:color w:val="auto"/>
        </w:rPr>
      </w:pPr>
    </w:p>
    <w:p>
      <w:pPr>
        <w:ind w:right="6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sum of (x) 100% of Executive’s annual base salary as in effect immediately prior to Executive’s termination date or (if greater) at the level in effect immediately prior to the Change of Control and (y) the portion of Executive’s annual target bonus prorated monthly based on the number of months of service completed for the fiscal year in which the Executive’s employment terminates.</w:t>
      </w:r>
    </w:p>
    <w:p>
      <w:pPr>
        <w:spacing w:after="0" w:line="177" w:lineRule="exact"/>
        <w:rPr>
          <w:rFonts w:ascii="Times New Roman" w:cs="Times New Roman" w:eastAsia="Times New Roman" w:hAnsi="Times New Roman"/>
          <w:sz w:val="22"/>
          <w:szCs w:val="22"/>
          <w:color w:val="auto"/>
        </w:rPr>
      </w:pPr>
    </w:p>
    <w:p>
      <w:pPr>
        <w:jc w:val="both"/>
        <w:ind w:firstLine="3032"/>
        <w:spacing w:after="0" w:line="239" w:lineRule="auto"/>
        <w:tabs>
          <w:tab w:leader="none" w:pos="3995"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Executive’s outstanding equity awards will vest as to one hundred percent (100%) of the total number of shares subject to each of Executive's then outstanding equity awards; provided, however, that performance-based awards may provide for alternative treatment and will be treated as set forth in the equity award agreement related to such award.</w:t>
      </w:r>
    </w:p>
    <w:p>
      <w:pPr>
        <w:spacing w:after="0" w:line="180" w:lineRule="exact"/>
        <w:rPr>
          <w:rFonts w:ascii="Times New Roman" w:cs="Times New Roman" w:eastAsia="Times New Roman" w:hAnsi="Times New Roman"/>
          <w:sz w:val="22"/>
          <w:szCs w:val="22"/>
          <w:color w:val="auto"/>
        </w:rPr>
      </w:pPr>
    </w:p>
    <w:p>
      <w:pPr>
        <w:jc w:val="both"/>
        <w:ind w:firstLine="3032"/>
        <w:spacing w:after="0" w:line="235" w:lineRule="auto"/>
        <w:tabs>
          <w:tab w:leader="none" w:pos="3983"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Health Benefits</w:t>
      </w:r>
      <w:r>
        <w:rPr>
          <w:rFonts w:ascii="Times New Roman" w:cs="Times New Roman" w:eastAsia="Times New Roman" w:hAnsi="Times New Roman"/>
          <w:sz w:val="22"/>
          <w:szCs w:val="22"/>
          <w:color w:val="auto"/>
        </w:rPr>
        <w:t>. If (1) Executive constitutes a qualified beneficiary, as defined in Section 4980(B)(g)(1) of the Code and (2) Executive elects continuation health coverage pursuant to COBRA for Executive and Executive’s eligible dependents, within the time period prescribed pursuant to COBRA, the Company will pay the premiums for such health continuation coverage at the levels in effect immediately prior to Executive’s termination until the earlier of (A) (12) months from the last date of Executive’s employment with the Company, (B) the date upon which Executive and/or Executive’s eligible dependents becomes covered under similar plans, or (C) the date upon which Executive and Executive’s eligible dependents are no longer eligible for coverage under COBRA.</w:t>
      </w:r>
    </w:p>
    <w:p>
      <w:pPr>
        <w:spacing w:after="0" w:line="183" w:lineRule="exact"/>
        <w:rPr>
          <w:rFonts w:ascii="Times New Roman" w:cs="Times New Roman" w:eastAsia="Times New Roman" w:hAnsi="Times New Roman"/>
          <w:sz w:val="22"/>
          <w:szCs w:val="22"/>
          <w:color w:val="auto"/>
        </w:rPr>
      </w:pPr>
    </w:p>
    <w:p>
      <w:pPr>
        <w:jc w:val="both"/>
        <w:ind w:firstLine="1735"/>
        <w:spacing w:after="0" w:line="251" w:lineRule="auto"/>
        <w:tabs>
          <w:tab w:leader="none" w:pos="2615"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 Death</w:t>
      </w:r>
      <w:r>
        <w:rPr>
          <w:rFonts w:ascii="Times New Roman" w:cs="Times New Roman" w:eastAsia="Times New Roman" w:hAnsi="Times New Roman"/>
          <w:sz w:val="21"/>
          <w:szCs w:val="21"/>
          <w:color w:val="auto"/>
        </w:rPr>
        <w:t>. If the Company terminates Executive’s employment as a result of Executive’s Disability, or Executive’s employment terminates due to his or her death, and Executive (or, as applicable, Executive’s designated beneficiary, if living, or otherwise the personal representative of Executive’s estate) signs and does not revoke a release of claims with the Company as required by Section 4, then Executive (or, as applicable, Executive’s designated beneficiary, if living, or otherwise the personal representative of Executive’s estate) will receive the following from the Company:</w:t>
      </w:r>
    </w:p>
    <w:p>
      <w:pPr>
        <w:spacing w:after="0" w:line="168" w:lineRule="exact"/>
        <w:rPr>
          <w:rFonts w:ascii="Times New Roman" w:cs="Times New Roman" w:eastAsia="Times New Roman" w:hAnsi="Times New Roman"/>
          <w:sz w:val="21"/>
          <w:szCs w:val="21"/>
          <w:color w:val="auto"/>
        </w:rPr>
      </w:pPr>
    </w:p>
    <w:p>
      <w:pPr>
        <w:ind w:firstLine="3032"/>
        <w:spacing w:after="0" w:line="258" w:lineRule="auto"/>
        <w:tabs>
          <w:tab w:leader="none" w:pos="3875"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Compensation</w:t>
      </w:r>
      <w:r>
        <w:rPr>
          <w:rFonts w:ascii="Times New Roman" w:cs="Times New Roman" w:eastAsia="Times New Roman" w:hAnsi="Times New Roman"/>
          <w:sz w:val="22"/>
          <w:szCs w:val="22"/>
          <w:color w:val="auto"/>
        </w:rPr>
        <w:t>. The Company will pay Executive (or, as applicable, Executive’s designated beneficiary, if living, or otherwise the personal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3" w:name="page64"/>
    <w:bookmarkEnd w:id="63"/>
    <w:p>
      <w:pPr>
        <w:spacing w:after="0" w:line="258" w:lineRule="auto"/>
        <w:rPr>
          <w:sz w:val="20"/>
          <w:szCs w:val="20"/>
          <w:color w:val="auto"/>
        </w:rPr>
      </w:pPr>
      <w:r>
        <w:rPr>
          <w:rFonts w:ascii="Times New Roman" w:cs="Times New Roman" w:eastAsia="Times New Roman" w:hAnsi="Times New Roman"/>
          <w:sz w:val="22"/>
          <w:szCs w:val="22"/>
          <w:color w:val="auto"/>
        </w:rPr>
        <w:t>of Executive’s estate) all accrued but unpaid vacation, expense reimbursements, wages, any earned (but yet unpaid) bonus or commission, and other benefits due to Executive under any Company-provided plans, policies, and arrangements.</w:t>
      </w:r>
    </w:p>
    <w:p>
      <w:pPr>
        <w:spacing w:after="0" w:line="158" w:lineRule="exact"/>
        <w:rPr>
          <w:sz w:val="20"/>
          <w:szCs w:val="20"/>
          <w:color w:val="auto"/>
        </w:rPr>
      </w:pPr>
    </w:p>
    <w:p>
      <w:pPr>
        <w:jc w:val="both"/>
        <w:ind w:firstLine="3032"/>
        <w:spacing w:after="0" w:line="244" w:lineRule="auto"/>
        <w:tabs>
          <w:tab w:leader="none" w:pos="3935"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Payment</w:t>
      </w:r>
      <w:r>
        <w:rPr>
          <w:rFonts w:ascii="Times New Roman" w:cs="Times New Roman" w:eastAsia="Times New Roman" w:hAnsi="Times New Roman"/>
          <w:sz w:val="22"/>
          <w:szCs w:val="22"/>
          <w:color w:val="auto"/>
        </w:rPr>
        <w:t>. Executive (or, as applicable, Executive’s designated beneficiary, if living, or otherwise the personal representative of Executive’s estate) is entitled to receive a lump sum payment equal to 100% of Executive’s annual base salary as in effect immediately prior to Executive’s termination date.</w:t>
      </w:r>
    </w:p>
    <w:p>
      <w:pPr>
        <w:spacing w:after="0" w:line="173" w:lineRule="exact"/>
        <w:rPr>
          <w:rFonts w:ascii="Times New Roman" w:cs="Times New Roman" w:eastAsia="Times New Roman" w:hAnsi="Times New Roman"/>
          <w:sz w:val="22"/>
          <w:szCs w:val="22"/>
          <w:color w:val="auto"/>
        </w:rPr>
      </w:pPr>
    </w:p>
    <w:p>
      <w:pPr>
        <w:jc w:val="both"/>
        <w:ind w:firstLine="1735"/>
        <w:spacing w:after="0" w:line="236" w:lineRule="auto"/>
        <w:tabs>
          <w:tab w:leader="none" w:pos="2627"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of Severance Payments</w:t>
      </w:r>
      <w:r>
        <w:rPr>
          <w:rFonts w:ascii="Times New Roman" w:cs="Times New Roman" w:eastAsia="Times New Roman" w:hAnsi="Times New Roman"/>
          <w:sz w:val="22"/>
          <w:szCs w:val="22"/>
          <w:color w:val="auto"/>
        </w:rPr>
        <w:t>. Unless otherwise required pursuant to Section 5 of this Agreement, the Company will pay the cash severance payments to which Executive is entitled under this Agreement in a lump sum as soon as practicable following the date of termination, provided, however, that such payment will be delayed to the extent required by Section 4 and/or Section 5 of this Agreement. Except to the extent payment is delayed pursuant to Section 5(b), all cash severance payments under this Agreement will be paid no later than the fifteenth (15) day of the third month following the fiscal year in which the termination occurs.</w:t>
      </w:r>
    </w:p>
    <w:p>
      <w:pPr>
        <w:spacing w:after="0" w:line="181" w:lineRule="exact"/>
        <w:rPr>
          <w:rFonts w:ascii="Times New Roman" w:cs="Times New Roman" w:eastAsia="Times New Roman" w:hAnsi="Times New Roman"/>
          <w:sz w:val="22"/>
          <w:szCs w:val="22"/>
          <w:color w:val="auto"/>
        </w:rPr>
      </w:pPr>
    </w:p>
    <w:p>
      <w:pPr>
        <w:jc w:val="both"/>
        <w:ind w:firstLine="1735"/>
        <w:spacing w:after="0" w:line="238" w:lineRule="auto"/>
        <w:tabs>
          <w:tab w:leader="none" w:pos="2615"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Resignation; Termination for Cause</w:t>
      </w:r>
      <w:r>
        <w:rPr>
          <w:rFonts w:ascii="Times New Roman" w:cs="Times New Roman" w:eastAsia="Times New Roman" w:hAnsi="Times New Roman"/>
          <w:sz w:val="22"/>
          <w:szCs w:val="22"/>
          <w:color w:val="auto"/>
        </w:rPr>
        <w:t>. If Executive’s employment with the Company terminates (i) voluntarily by Executive (other than for Good Reason in connection with a Change of Control)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76" w:lineRule="exact"/>
        <w:rPr>
          <w:rFonts w:ascii="Times New Roman" w:cs="Times New Roman" w:eastAsia="Times New Roman" w:hAnsi="Times New Roman"/>
          <w:sz w:val="22"/>
          <w:szCs w:val="22"/>
          <w:color w:val="auto"/>
        </w:rPr>
      </w:pPr>
    </w:p>
    <w:p>
      <w:pPr>
        <w:jc w:val="both"/>
        <w:ind w:firstLine="1735"/>
        <w:spacing w:after="0" w:line="234" w:lineRule="auto"/>
        <w:tabs>
          <w:tab w:leader="none" w:pos="2591"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Exclusive Remedy</w:t>
      </w:r>
      <w:r>
        <w:rPr>
          <w:rFonts w:ascii="Times New Roman" w:cs="Times New Roman" w:eastAsia="Times New Roman" w:hAnsi="Times New Roman"/>
          <w:sz w:val="22"/>
          <w:szCs w:val="22"/>
          <w:color w:val="auto"/>
        </w:rPr>
        <w:t>. In the event of a termination of Executive’s employment as set forth in Section 3(a), 3(b) or 3(c) of this Agreement, the provisions of Section 3(a), 3(b) or 3(c), as applicable, are intended to be and are mutually exclusive of each other and exclusive and in lieu of any other rights or remedies to which Executive or the Company may otherwise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 If Executive should receive the benefits set forth in Section 9(d) of this Agreement, the benefits provided in Section 3(a)(iv) or Section 3(b)(iv) will be reduced by the number of months Executive received Company-paid COBRA continuation coverage under Section 9(d).</w:t>
      </w:r>
    </w:p>
    <w:p>
      <w:pPr>
        <w:spacing w:after="0" w:line="183" w:lineRule="exact"/>
        <w:rPr>
          <w:rFonts w:ascii="Times New Roman" w:cs="Times New Roman" w:eastAsia="Times New Roman" w:hAnsi="Times New Roman"/>
          <w:sz w:val="22"/>
          <w:szCs w:val="22"/>
          <w:color w:val="auto"/>
        </w:rPr>
      </w:pPr>
    </w:p>
    <w:p>
      <w:pPr>
        <w:ind w:left="1680" w:hanging="808"/>
        <w:spacing w:after="0"/>
        <w:tabs>
          <w:tab w:leader="none" w:pos="16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Receipt of Severance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735"/>
        <w:spacing w:after="0" w:line="235" w:lineRule="auto"/>
        <w:tabs>
          <w:tab w:leader="none" w:pos="2615"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 Agreement</w:t>
      </w:r>
      <w:r>
        <w:rPr>
          <w:rFonts w:ascii="Times New Roman" w:cs="Times New Roman" w:eastAsia="Times New Roman" w:hAnsi="Times New Roman"/>
          <w:sz w:val="22"/>
          <w:szCs w:val="22"/>
          <w:color w:val="auto"/>
        </w:rPr>
        <w:t>. The receipt of any severance or other benefits pursuant to Section 3 will be subject to Executive (or, as applicable, Executive’s designated beneficiary, if living, or otherwise the personal representative of Executive’s estate) signing and not revoking a Release Agreement, attached hereto as Exhibit A, B and C (but with such changes as the Company determines, in good faith, are appropriate to update for then-applicable law), as applicable based on the Executive’s age upon termination and whether such termination qualifies as a group termination under the Age Discrimination in Employment Act of 1967, and such release becoming effective and irrevocable within sixty (60) days of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4" w:name="page65"/>
    <w:bookmarkEnd w:id="64"/>
    <w:p>
      <w:pPr>
        <w:jc w:val="both"/>
        <w:spacing w:after="0" w:line="243" w:lineRule="auto"/>
        <w:rPr>
          <w:sz w:val="20"/>
          <w:szCs w:val="20"/>
          <w:color w:val="auto"/>
        </w:rPr>
      </w:pPr>
      <w:r>
        <w:rPr>
          <w:rFonts w:ascii="Times New Roman" w:cs="Times New Roman" w:eastAsia="Times New Roman" w:hAnsi="Times New Roman"/>
          <w:sz w:val="21"/>
          <w:szCs w:val="21"/>
          <w:color w:val="auto"/>
        </w:rPr>
        <w:t>termination or such earlier date as required by the release (such deadline, the “</w:t>
      </w:r>
      <w:r>
        <w:rPr>
          <w:rFonts w:ascii="Times New Roman" w:cs="Times New Roman" w:eastAsia="Times New Roman" w:hAnsi="Times New Roman"/>
          <w:sz w:val="21"/>
          <w:szCs w:val="21"/>
          <w:b w:val="1"/>
          <w:bCs w:val="1"/>
          <w:color w:val="auto"/>
        </w:rPr>
        <w:t>Release Deadline</w:t>
      </w:r>
      <w:r>
        <w:rPr>
          <w:rFonts w:ascii="Times New Roman" w:cs="Times New Roman" w:eastAsia="Times New Roman" w:hAnsi="Times New Roman"/>
          <w:sz w:val="21"/>
          <w:szCs w:val="21"/>
          <w:color w:val="auto"/>
        </w:rPr>
        <w:t>”). If the release of claims does not become effective and irrevocable by the Release Deadline, Executive will forfeit any rights to severance or benefits under this Agreement. In no event will severance payments or benefits be paid or provided until the release of claims becomes effective and irrevocable. Notwithstanding anything in this Agreement to the contrary, in the event severance payments or benefits provided under this Agreement would be considered Deferred Compensation Separation Benefits (as defined below), then the following timing of payments will apply to such Deferred Compensation Separation Benefits, in each case subject to any delay in payment required by Section 409A (and provided the release becomes effective and irrevocable): (i) if the Release Deadline is on or before December 10 of the calendar year of Executive’s “separation from service” (within the meaning of Section 409A of the Code, and the final regulations and official guidance promulgated thereunder (together,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any portion of Executive’s severance payments or benefits provided under this Agreement that would be considered Deferred Compensation Separation Benefits will be paid on or before December 31 of that calendar year, or such later time as required by (A) the payment schedule applicable to each payment or benefit, or (B) if applicable, Section 409A (as set forth in Section 5 below); and</w:t>
      </w:r>
    </w:p>
    <w:p>
      <w:pPr>
        <w:spacing w:after="0" w:line="10" w:lineRule="exact"/>
        <w:rPr>
          <w:sz w:val="20"/>
          <w:szCs w:val="20"/>
          <w:color w:val="auto"/>
        </w:rPr>
      </w:pPr>
    </w:p>
    <w:p>
      <w:pPr>
        <w:jc w:val="both"/>
        <w:ind w:firstLine="8"/>
        <w:spacing w:after="0" w:line="232" w:lineRule="auto"/>
        <w:tabs>
          <w:tab w:leader="none" w:pos="35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Release Deadline is after December 10 of the calendar year of Executive’s “separation from service” (within the meaning of Section 409A), any portion of the severance payments or benefits provided under this Agreement that would be considered Deferred Compensation Separation Benefits will be paid on the first payroll date to occur during the calendar year following the calendar year in which such separation of service occurs or such later time as required by (A) the payment schedule applicable to each payment or benefit, (B) the Release Deadline, or (C) if applicable, Section 409A (as set forth in Section 5 below).</w:t>
      </w:r>
    </w:p>
    <w:p>
      <w:pPr>
        <w:spacing w:after="0" w:line="182" w:lineRule="exact"/>
        <w:rPr>
          <w:rFonts w:ascii="Times New Roman" w:cs="Times New Roman" w:eastAsia="Times New Roman" w:hAnsi="Times New Roman"/>
          <w:sz w:val="22"/>
          <w:szCs w:val="22"/>
          <w:color w:val="auto"/>
        </w:rPr>
      </w:pPr>
    </w:p>
    <w:p>
      <w:pPr>
        <w:ind w:right="340" w:firstLine="1735"/>
        <w:spacing w:after="0" w:line="244" w:lineRule="auto"/>
        <w:tabs>
          <w:tab w:leader="none" w:pos="2681"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Requirement</w:t>
      </w:r>
      <w:r>
        <w:rPr>
          <w:rFonts w:ascii="Times New Roman" w:cs="Times New Roman" w:eastAsia="Times New Roman" w:hAnsi="Times New Roman"/>
          <w:sz w:val="22"/>
          <w:szCs w:val="22"/>
          <w:color w:val="auto"/>
        </w:rPr>
        <w:t>. Executive’s receipt of any payments or benefits under Section 3 will be subject to Executive continuing to comply with the terms of any confidential information agreement executed by Executive in favor of the Company and the provisions of this Agreement.</w:t>
      </w:r>
    </w:p>
    <w:p>
      <w:pPr>
        <w:spacing w:after="0" w:line="173" w:lineRule="exact"/>
        <w:rPr>
          <w:rFonts w:ascii="Times New Roman" w:cs="Times New Roman" w:eastAsia="Times New Roman" w:hAnsi="Times New Roman"/>
          <w:sz w:val="22"/>
          <w:szCs w:val="22"/>
          <w:color w:val="auto"/>
        </w:rPr>
      </w:pPr>
    </w:p>
    <w:p>
      <w:pPr>
        <w:ind w:left="1680" w:hanging="808"/>
        <w:spacing w:after="0"/>
        <w:tabs>
          <w:tab w:leader="none" w:pos="168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735"/>
        <w:spacing w:after="0" w:line="233" w:lineRule="auto"/>
        <w:tabs>
          <w:tab w:leader="none" w:pos="2615"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if Executive is a “specified employee” within the meaning of Section 409A at the time of Executive’s termination (other than due to death), then the severance payable to Executive, if any, pursuant to this Agreement, when considered together with any other severance payments or separation benefits that are considered deferred compensation under Section 409A (together, the “</w:t>
      </w:r>
      <w:r>
        <w:rPr>
          <w:rFonts w:ascii="Times New Roman" w:cs="Times New Roman" w:eastAsia="Times New Roman" w:hAnsi="Times New Roman"/>
          <w:sz w:val="22"/>
          <w:szCs w:val="22"/>
          <w:b w:val="1"/>
          <w:bCs w:val="1"/>
          <w:color w:val="auto"/>
        </w:rPr>
        <w:t>Deferred Compensation Separation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Benefits</w:t>
      </w:r>
      <w:r>
        <w:rPr>
          <w:rFonts w:ascii="Times New Roman" w:cs="Times New Roman" w:eastAsia="Times New Roman" w:hAnsi="Times New Roman"/>
          <w:sz w:val="22"/>
          <w:szCs w:val="22"/>
          <w:color w:val="auto"/>
        </w:rPr>
        <w:t>”) that are payable within the first six (6) months following Executive’s termination of employment, will become payable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first payroll date that occurs on or after the date six (6) months and one (1) day following the date of Executive’s termination of employment. All subsequent Deferred Compensation Separation Benefits, if any, will be payable in accordance with the payment schedule applicable to each payment or benefit. Notwithstanding anything herein to the contrary, if Executive dies following his or her termination but prior to the six (6) month anniversary of his or her termination, then any payments delayed in accordance with this paragraph will be payable in a lump sum as soon as administratively practicable after the date of Executive’s death and all other Deferred Compensation Separation Benefits will be payable in accordance with the payment schedule applicable to each payment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5" w:name="page66"/>
    <w:bookmarkEnd w:id="65"/>
    <w:p>
      <w:pPr>
        <w:spacing w:after="0" w:line="258" w:lineRule="auto"/>
        <w:rPr>
          <w:sz w:val="20"/>
          <w:szCs w:val="20"/>
          <w:color w:val="auto"/>
        </w:rPr>
      </w:pPr>
      <w:r>
        <w:rPr>
          <w:rFonts w:ascii="Times New Roman" w:cs="Times New Roman" w:eastAsia="Times New Roman" w:hAnsi="Times New Roman"/>
          <w:sz w:val="22"/>
          <w:szCs w:val="22"/>
          <w:color w:val="auto"/>
        </w:rPr>
        <w:t>benefit. Each payment and benefit payable under this Agreement is intended to constitute separate payments for purposes of Section 1.409A-2(b)(2) of the Treasury Regulations.</w:t>
      </w:r>
    </w:p>
    <w:p>
      <w:pPr>
        <w:spacing w:after="0" w:line="158" w:lineRule="exact"/>
        <w:rPr>
          <w:sz w:val="20"/>
          <w:szCs w:val="20"/>
          <w:color w:val="auto"/>
        </w:rPr>
      </w:pPr>
    </w:p>
    <w:p>
      <w:pPr>
        <w:jc w:val="both"/>
        <w:ind w:firstLine="1735"/>
        <w:spacing w:after="0" w:line="244" w:lineRule="auto"/>
        <w:tabs>
          <w:tab w:leader="none" w:pos="2627"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paid under this Agreement that satisfies the requirements of the “short-term deferral” rule set forth in Section 1.409A-1(b)(4) of the Treasury Regulations shall not constitute Deferred Compensation Separation Benefits for purposes of clause (a) above.</w:t>
      </w:r>
    </w:p>
    <w:p>
      <w:pPr>
        <w:spacing w:after="0" w:line="173"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15"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paid under this Agreement that qualifies as a payment made as a result of an involuntary separation from service pursuant to Section 1.409A-1(b)(9)(iii) of the Treasury Regulations that do not exceed the Section 409A Limit shall not constitute Deferred Compensation Separation Benefits for purposes of clause (a) above.</w:t>
      </w:r>
    </w:p>
    <w:p>
      <w:pPr>
        <w:spacing w:after="0" w:line="173" w:lineRule="exact"/>
        <w:rPr>
          <w:rFonts w:ascii="Times New Roman" w:cs="Times New Roman" w:eastAsia="Times New Roman" w:hAnsi="Times New Roman"/>
          <w:sz w:val="22"/>
          <w:szCs w:val="22"/>
          <w:color w:val="auto"/>
        </w:rPr>
      </w:pPr>
    </w:p>
    <w:p>
      <w:pPr>
        <w:jc w:val="both"/>
        <w:ind w:firstLine="1735"/>
        <w:spacing w:after="0" w:line="236" w:lineRule="auto"/>
        <w:tabs>
          <w:tab w:leader="none" w:pos="2627"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81" w:lineRule="exact"/>
        <w:rPr>
          <w:rFonts w:ascii="Times New Roman" w:cs="Times New Roman" w:eastAsia="Times New Roman" w:hAnsi="Times New Roman"/>
          <w:sz w:val="22"/>
          <w:szCs w:val="22"/>
          <w:color w:val="auto"/>
        </w:rPr>
      </w:pPr>
    </w:p>
    <w:p>
      <w:pPr>
        <w:jc w:val="both"/>
        <w:ind w:firstLine="872"/>
        <w:spacing w:after="0" w:line="239" w:lineRule="auto"/>
        <w:tabs>
          <w:tab w:leader="none" w:pos="167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Payments</w:t>
      </w:r>
      <w:r>
        <w:rPr>
          <w:rFonts w:ascii="Times New Roman" w:cs="Times New Roman" w:eastAsia="Times New Roman" w:hAnsi="Times New Roman"/>
          <w:sz w:val="22"/>
          <w:szCs w:val="22"/>
          <w:color w:val="auto"/>
        </w:rPr>
        <w:t>. In the event that the severance and other benefits provided for in this Agreement or otherwise payable to Executive (i) constitute “parachute payments” within the meaning of Section 280G of the Code, and (ii) but for this Section 6, would be subject to the excise tax imposed by Section 4999 of the Code, then such payments or benefits will be either:</w:t>
      </w:r>
    </w:p>
    <w:p>
      <w:pPr>
        <w:spacing w:after="0" w:line="180" w:lineRule="exact"/>
        <w:rPr>
          <w:rFonts w:ascii="Times New Roman" w:cs="Times New Roman" w:eastAsia="Times New Roman" w:hAnsi="Times New Roman"/>
          <w:sz w:val="22"/>
          <w:szCs w:val="22"/>
          <w:color w:val="auto"/>
        </w:rPr>
      </w:pPr>
    </w:p>
    <w:p>
      <w:pPr>
        <w:ind w:left="2620" w:hanging="885"/>
        <w:spacing w:after="0"/>
        <w:tabs>
          <w:tab w:leader="none" w:pos="262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in full, or</w:t>
      </w:r>
    </w:p>
    <w:p>
      <w:pPr>
        <w:spacing w:after="0" w:line="206" w:lineRule="exact"/>
        <w:rPr>
          <w:sz w:val="20"/>
          <w:szCs w:val="20"/>
          <w:color w:val="auto"/>
        </w:rPr>
      </w:pPr>
    </w:p>
    <w:p>
      <w:pPr>
        <w:ind w:left="2580" w:right="20" w:hanging="858"/>
        <w:spacing w:after="0" w:line="258" w:lineRule="auto"/>
        <w:tabs>
          <w:tab w:leader="none" w:pos="25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as to such lesser extent which would result in no portion of such benefits being subject to excise tax under Section 4999 of the Code,</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The Company and Executive agree to work together in good faith to consider reasonable actions which are appropriate or desirable to avoid imposition of the excise tax imposed by Section 4999. Unless the Company and Executive otherwise agree in writing, any determination required under this Section 6 will be made in writing by the Company’s independent public accountants immediately prior to a Change of Control or such other person or entity to which the parties mutually agree (the “</w:t>
      </w:r>
      <w:r>
        <w:rPr>
          <w:rFonts w:ascii="Times New Roman" w:cs="Times New Roman" w:eastAsia="Times New Roman" w:hAnsi="Times New Roman"/>
          <w:sz w:val="21"/>
          <w:szCs w:val="21"/>
          <w:b w:val="1"/>
          <w:bCs w:val="1"/>
          <w:color w:val="auto"/>
        </w:rPr>
        <w:t>Accountants</w:t>
      </w:r>
      <w:r>
        <w:rPr>
          <w:rFonts w:ascii="Times New Roman" w:cs="Times New Roman" w:eastAsia="Times New Roman" w:hAnsi="Times New Roman"/>
          <w:sz w:val="21"/>
          <w:szCs w:val="21"/>
          <w:color w:val="auto"/>
        </w:rPr>
        <w:t>”), whose determination will be conclusive and binding upon Executive and the Company for all purposes. For purposes of making the calculations required by this Section 6, the Accountants may make reasonable assumptions and approximations concerning applicable taxes and may rely on reasonable, good faith interpretations concerning the application of Sections 280G and 4999 of the Code. The Company and Executive will furnish to the Accountants such information and documents as the Accountants may reasonably request in order to make a determination under this Section 6. The Company will bear all costs the Accountants may incur in connection with any calculations contemplated by this Section 6. Any reduction in payments and/or benefits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6" w:name="page67"/>
    <w:bookmarkEnd w:id="66"/>
    <w:p>
      <w:pPr>
        <w:jc w:val="both"/>
        <w:spacing w:after="0" w:line="247" w:lineRule="auto"/>
        <w:rPr>
          <w:sz w:val="20"/>
          <w:szCs w:val="20"/>
          <w:color w:val="auto"/>
        </w:rPr>
      </w:pPr>
      <w:r>
        <w:rPr>
          <w:rFonts w:ascii="Times New Roman" w:cs="Times New Roman" w:eastAsia="Times New Roman" w:hAnsi="Times New Roman"/>
          <w:sz w:val="21"/>
          <w:szCs w:val="21"/>
          <w:color w:val="auto"/>
        </w:rPr>
        <w:t>by this Section 6 shall occur in the following order: (1) reduction of cash payments; (2) reduction of vesting acceleration of equity awards; and (3) reduction of other benefits paid or provided to Executive. In the event that acceleration of vesting of equity awards is to be reduced, such acceleration of vesting shall be cancelled in the order that results in the highest after-tax payment to the Executive after taking into account the excise tax, as determined by the Accountants; provided that in the event that there are multiple scenarios that result in the highest after-tax payment, then such reduction will occur in the reverse order of the date of grant for such equity awards (i.e., the vesting of the most recently granted stock awards will be reduced first). If two or more equity awards are granted on the same date, each equity award will be reduced on a pro-rata basis. In no event will Executive exercise any discretion with respect to the ordering of any reduction of payments or benefits pursuant to this Section 6.</w:t>
      </w:r>
    </w:p>
    <w:p>
      <w:pPr>
        <w:spacing w:after="0" w:line="172" w:lineRule="exact"/>
        <w:rPr>
          <w:sz w:val="20"/>
          <w:szCs w:val="20"/>
          <w:color w:val="auto"/>
        </w:rPr>
      </w:pPr>
    </w:p>
    <w:p>
      <w:pPr>
        <w:ind w:left="1680" w:hanging="808"/>
        <w:spacing w:after="0"/>
        <w:tabs>
          <w:tab w:leader="none" w:pos="16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Terms</w:t>
      </w:r>
      <w:r>
        <w:rPr>
          <w:rFonts w:ascii="Times New Roman" w:cs="Times New Roman" w:eastAsia="Times New Roman" w:hAnsi="Times New Roman"/>
          <w:sz w:val="22"/>
          <w:szCs w:val="22"/>
          <w:color w:val="auto"/>
        </w:rPr>
        <w:t>. The following terms referred to in this Agreement will have the following meanings:</w:t>
      </w:r>
    </w:p>
    <w:p>
      <w:pPr>
        <w:spacing w:after="0" w:line="202" w:lineRule="exact"/>
        <w:rPr>
          <w:rFonts w:ascii="Times New Roman" w:cs="Times New Roman" w:eastAsia="Times New Roman" w:hAnsi="Times New Roman"/>
          <w:sz w:val="22"/>
          <w:szCs w:val="22"/>
          <w:color w:val="auto"/>
        </w:rPr>
      </w:pPr>
    </w:p>
    <w:p>
      <w:pPr>
        <w:ind w:left="2620" w:hanging="885"/>
        <w:spacing w:after="0"/>
        <w:tabs>
          <w:tab w:leader="none" w:pos="262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Termination by the Company of the Executive’s employment for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will mean:</w:t>
      </w:r>
    </w:p>
    <w:p>
      <w:pPr>
        <w:spacing w:after="0" w:line="210" w:lineRule="exact"/>
        <w:rPr>
          <w:rFonts w:ascii="Times New Roman" w:cs="Times New Roman" w:eastAsia="Times New Roman" w:hAnsi="Times New Roman"/>
          <w:sz w:val="22"/>
          <w:szCs w:val="22"/>
          <w:color w:val="auto"/>
        </w:rPr>
      </w:pPr>
    </w:p>
    <w:p>
      <w:pPr>
        <w:jc w:val="both"/>
        <w:ind w:firstLine="3032"/>
        <w:spacing w:after="0" w:line="244" w:lineRule="auto"/>
        <w:tabs>
          <w:tab w:leader="none" w:pos="3875"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and continued failure to substantially perform the duties of Executive’s position, other than failure resulting from Executive’s complete or partial incapacity due to physical or mental illness or impairment;</w:t>
      </w:r>
    </w:p>
    <w:p>
      <w:pPr>
        <w:spacing w:after="0" w:line="173" w:lineRule="exact"/>
        <w:rPr>
          <w:rFonts w:ascii="Times New Roman" w:cs="Times New Roman" w:eastAsia="Times New Roman" w:hAnsi="Times New Roman"/>
          <w:sz w:val="22"/>
          <w:szCs w:val="22"/>
          <w:color w:val="auto"/>
        </w:rPr>
      </w:pPr>
    </w:p>
    <w:p>
      <w:pPr>
        <w:jc w:val="both"/>
        <w:ind w:right="20" w:firstLine="3032"/>
        <w:spacing w:after="0" w:line="244" w:lineRule="auto"/>
        <w:tabs>
          <w:tab w:leader="none" w:pos="3935"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and continued failure to substantially perform the specific and lawful directives of the Board, as reasonably determined by the Board, other than failure resulting from Executive’s complete or partial incapacity due to physical or mental illness or impairment;</w:t>
      </w:r>
    </w:p>
    <w:p>
      <w:pPr>
        <w:spacing w:after="0" w:line="173" w:lineRule="exact"/>
        <w:rPr>
          <w:rFonts w:ascii="Times New Roman" w:cs="Times New Roman" w:eastAsia="Times New Roman" w:hAnsi="Times New Roman"/>
          <w:sz w:val="22"/>
          <w:szCs w:val="22"/>
          <w:color w:val="auto"/>
        </w:rPr>
      </w:pPr>
    </w:p>
    <w:p>
      <w:pPr>
        <w:ind w:firstLine="3032"/>
        <w:spacing w:after="0" w:line="258" w:lineRule="auto"/>
        <w:tabs>
          <w:tab w:leader="none" w:pos="3995"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commission of an act of fraud or dishonesty resulting in, or that is likely to result in, material economic or financial injury to the Company; or</w:t>
      </w:r>
    </w:p>
    <w:p>
      <w:pPr>
        <w:spacing w:after="0" w:line="158" w:lineRule="exact"/>
        <w:rPr>
          <w:rFonts w:ascii="Times New Roman" w:cs="Times New Roman" w:eastAsia="Times New Roman" w:hAnsi="Times New Roman"/>
          <w:sz w:val="22"/>
          <w:szCs w:val="22"/>
          <w:color w:val="auto"/>
        </w:rPr>
      </w:pPr>
    </w:p>
    <w:p>
      <w:pPr>
        <w:ind w:left="4000" w:hanging="968"/>
        <w:spacing w:after="0"/>
        <w:tabs>
          <w:tab w:leader="none" w:pos="4000"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willful engagement in illegal conduct which was or is reasonably likely</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be materially injurious to the Company.</w:t>
      </w:r>
    </w:p>
    <w:p>
      <w:pPr>
        <w:spacing w:after="0" w:line="182"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color w:val="auto"/>
        </w:rPr>
        <w:t>For purposes of this Section 7(a), no act, or failure to act, on Executive’s part shall be deemed “willful” unless done, or omitted to be done, by Executive not in good faith. In the event of any alleged breach pursuant to (i) or (ii) of this Section 7(a), the Company will first give Executive written notice which specifically identifies the manner in which the Board believes that the Executive’s conduct constitutes the alleged performance breach to enable Executive to correct the deficiency within a reasonable time period, which will not be less than thirty (30) days, before the Company can proceed with a termination for Cause under either (i) or (ii) of this Section 7(a). In the event of any alleged conduct described in (iii) or (iv) of this Section 7(a), the Company will deliver to Executive written notice which sets forth the Board’s finding that Executive engaged in such conduct and specifying the particulars thereof. In the event of a Change of Control pursuant to which the Company is not the surviving entity, then on and after such Change of Control, all determinations and actions required to be taken by the Board under this Section 7(a) shall be made or taken by the board of directors of the surviving entity, or if the surviving entity is a subsidiary, then by the board of directors of the ultimate parent corporation of the surviving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7" w:name="page68"/>
    <w:bookmarkEnd w:id="67"/>
    <w:p>
      <w:pPr>
        <w:ind w:firstLine="1735"/>
        <w:spacing w:after="0" w:line="262" w:lineRule="auto"/>
        <w:tabs>
          <w:tab w:leader="none" w:pos="262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will be deemed to occur upon the earliest to occur after the date of this Agreement of any of the following events:</w:t>
      </w:r>
    </w:p>
    <w:p>
      <w:pPr>
        <w:spacing w:after="0" w:line="153" w:lineRule="exact"/>
        <w:rPr>
          <w:rFonts w:ascii="Times New Roman" w:cs="Times New Roman" w:eastAsia="Times New Roman" w:hAnsi="Times New Roman"/>
          <w:sz w:val="22"/>
          <w:szCs w:val="22"/>
          <w:color w:val="auto"/>
        </w:rPr>
      </w:pPr>
    </w:p>
    <w:p>
      <w:pPr>
        <w:jc w:val="both"/>
        <w:ind w:firstLine="3032"/>
        <w:spacing w:after="0" w:line="235" w:lineRule="auto"/>
        <w:tabs>
          <w:tab w:leader="none" w:pos="3875"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Ownership of a Substantial Portion of the Company’s Assets</w:t>
      </w:r>
      <w:r>
        <w:rPr>
          <w:rFonts w:ascii="Times New Roman" w:cs="Times New Roman" w:eastAsia="Times New Roman" w:hAnsi="Times New Roman"/>
          <w:sz w:val="22"/>
          <w:szCs w:val="22"/>
          <w:color w:val="auto"/>
        </w:rPr>
        <w:t>. A change in the ownership of a substantial portion of the Company’s assets which occurs on the date that any one person, or more than one person acting as a group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 gross fair market value means the value of the assets of the Company, or the value of the assets being disposed of, determined without regard to any liabilities associated with such assets;</w:t>
      </w:r>
    </w:p>
    <w:p>
      <w:pPr>
        <w:spacing w:after="0" w:line="183" w:lineRule="exact"/>
        <w:rPr>
          <w:rFonts w:ascii="Times New Roman" w:cs="Times New Roman" w:eastAsia="Times New Roman" w:hAnsi="Times New Roman"/>
          <w:sz w:val="22"/>
          <w:szCs w:val="22"/>
          <w:color w:val="auto"/>
        </w:rPr>
      </w:pPr>
    </w:p>
    <w:p>
      <w:pPr>
        <w:jc w:val="both"/>
        <w:ind w:firstLine="3032"/>
        <w:spacing w:after="0" w:line="238" w:lineRule="auto"/>
        <w:tabs>
          <w:tab w:leader="none" w:pos="3935"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Ownership of the Company</w:t>
      </w:r>
      <w:r>
        <w:rPr>
          <w:rFonts w:ascii="Times New Roman" w:cs="Times New Roman" w:eastAsia="Times New Roman" w:hAnsi="Times New Roman"/>
          <w:sz w:val="22"/>
          <w:szCs w:val="22"/>
          <w:color w:val="auto"/>
        </w:rPr>
        <w:t>. A change in the ownership of the Company which occurs on the date that any Person acquires ownership of the stock of the Company that, together with the stock held by such Person, constitutes more than 50% of the total voting power of the stock of the Company, except that any change in the ownership of the stock of the Company as a result of a private financing of the Company that is approved by the Board will not be considered a Change of Control;</w:t>
      </w:r>
    </w:p>
    <w:p>
      <w:pPr>
        <w:spacing w:after="0" w:line="176" w:lineRule="exact"/>
        <w:rPr>
          <w:rFonts w:ascii="Times New Roman" w:cs="Times New Roman" w:eastAsia="Times New Roman" w:hAnsi="Times New Roman"/>
          <w:sz w:val="22"/>
          <w:szCs w:val="22"/>
          <w:color w:val="auto"/>
        </w:rPr>
      </w:pPr>
    </w:p>
    <w:p>
      <w:pPr>
        <w:jc w:val="both"/>
        <w:ind w:firstLine="3032"/>
        <w:spacing w:after="0" w:line="236" w:lineRule="auto"/>
        <w:tabs>
          <w:tab w:leader="none" w:pos="3995"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Effective Control of the Company</w:t>
      </w:r>
      <w:r>
        <w:rPr>
          <w:rFonts w:ascii="Times New Roman" w:cs="Times New Roman" w:eastAsia="Times New Roman" w:hAnsi="Times New Roman"/>
          <w:sz w:val="22"/>
          <w:szCs w:val="22"/>
          <w:color w:val="auto"/>
        </w:rPr>
        <w:t>. A change in the effective control of the Company which occurs on the date that a majority of members of the Board is replaced during any twenty-four (24) month period by directors whose appointment or election is not approved by a majority of the members of the Board prior to the date of the appointment or election. For purposes of this subsection (iii), if any Person is considered to be in effective control of the Company, the acquisition of additional control of the Company by the same Person will not be considered a Change of Control; or</w:t>
      </w:r>
    </w:p>
    <w:p>
      <w:pPr>
        <w:spacing w:after="0" w:line="181" w:lineRule="exact"/>
        <w:rPr>
          <w:rFonts w:ascii="Times New Roman" w:cs="Times New Roman" w:eastAsia="Times New Roman" w:hAnsi="Times New Roman"/>
          <w:sz w:val="22"/>
          <w:szCs w:val="22"/>
          <w:color w:val="auto"/>
        </w:rPr>
      </w:pPr>
    </w:p>
    <w:p>
      <w:pPr>
        <w:ind w:left="4000" w:hanging="968"/>
        <w:spacing w:after="0"/>
        <w:tabs>
          <w:tab w:leader="none" w:pos="400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Transactions</w:t>
      </w:r>
      <w:r>
        <w:rPr>
          <w:rFonts w:ascii="Times New Roman" w:cs="Times New Roman" w:eastAsia="Times New Roman" w:hAnsi="Times New Roman"/>
          <w:sz w:val="22"/>
          <w:szCs w:val="22"/>
          <w:color w:val="auto"/>
        </w:rPr>
        <w:t>. The effective date of a merger or consolidation of the</w:t>
      </w:r>
    </w:p>
    <w:p>
      <w:pPr>
        <w:spacing w:after="0" w:line="14" w:lineRule="exact"/>
        <w:rPr>
          <w:rFonts w:ascii="Times New Roman" w:cs="Times New Roman" w:eastAsia="Times New Roman" w:hAnsi="Times New Roman"/>
          <w:sz w:val="22"/>
          <w:szCs w:val="22"/>
          <w:color w:val="auto"/>
        </w:rPr>
      </w:pPr>
    </w:p>
    <w:p>
      <w:pPr>
        <w:ind w:right="40"/>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79" w:lineRule="exact"/>
        <w:rPr>
          <w:sz w:val="20"/>
          <w:szCs w:val="20"/>
          <w:color w:val="auto"/>
        </w:rPr>
      </w:pPr>
    </w:p>
    <w:p>
      <w:pPr>
        <w:ind w:firstLine="1727"/>
        <w:spacing w:after="0" w:line="258" w:lineRule="auto"/>
        <w:rPr>
          <w:sz w:val="20"/>
          <w:szCs w:val="20"/>
          <w:color w:val="auto"/>
        </w:rPr>
      </w:pPr>
      <w:r>
        <w:rPr>
          <w:rFonts w:ascii="Times New Roman" w:cs="Times New Roman" w:eastAsia="Times New Roman" w:hAnsi="Times New Roman"/>
          <w:sz w:val="22"/>
          <w:szCs w:val="22"/>
          <w:color w:val="auto"/>
        </w:rPr>
        <w:t>For these purposes, persons will be considered to be acting as a group if they are owners of a corporation that enters into a merger, consolidation, purchase or acquisition of stock, or similar business transaction with the Company.</w:t>
      </w:r>
    </w:p>
    <w:p>
      <w:pPr>
        <w:spacing w:after="0" w:line="158" w:lineRule="exact"/>
        <w:rPr>
          <w:sz w:val="20"/>
          <w:szCs w:val="20"/>
          <w:color w:val="auto"/>
        </w:rPr>
      </w:pPr>
    </w:p>
    <w:p>
      <w:pPr>
        <w:ind w:firstLine="1727"/>
        <w:spacing w:after="0" w:line="258" w:lineRule="auto"/>
        <w:rPr>
          <w:sz w:val="20"/>
          <w:szCs w:val="20"/>
          <w:color w:val="auto"/>
        </w:rPr>
      </w:pPr>
      <w:r>
        <w:rPr>
          <w:rFonts w:ascii="Times New Roman" w:cs="Times New Roman" w:eastAsia="Times New Roman" w:hAnsi="Times New Roman"/>
          <w:sz w:val="22"/>
          <w:szCs w:val="22"/>
          <w:color w:val="auto"/>
        </w:rPr>
        <w:t>Notwithstanding the foregoing provisions of this definition, a transaction will not be deemed a Change of Control unless the transaction qualifies as a change in control event within the meaning of Section 409A.</w:t>
      </w:r>
    </w:p>
    <w:p>
      <w:pPr>
        <w:spacing w:after="0" w:line="154" w:lineRule="exact"/>
        <w:rPr>
          <w:sz w:val="20"/>
          <w:szCs w:val="20"/>
          <w:color w:val="auto"/>
        </w:rPr>
      </w:pPr>
    </w:p>
    <w:p>
      <w:pPr>
        <w:ind w:left="2620" w:hanging="885"/>
        <w:spacing w:after="0"/>
        <w:tabs>
          <w:tab w:leader="none" w:pos="26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For the purpose of this Agreement,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have the meaning set forth 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8" w:name="page69"/>
    <w:bookmarkEnd w:id="68"/>
    <w:p>
      <w:pPr>
        <w:jc w:val="both"/>
        <w:ind w:firstLine="1735"/>
        <w:spacing w:after="0" w:line="239" w:lineRule="auto"/>
        <w:tabs>
          <w:tab w:leader="none" w:pos="262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The Executive is entitled to terminate employment for Good Reason. For the purpose of this Agreement,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will mean Executive’s termination of employment within ninety (90) days following the expiration of any cure period (discussed below) following the occurrence of one or more of the following, without Executive’s express written consent:</w:t>
      </w:r>
    </w:p>
    <w:p>
      <w:pPr>
        <w:spacing w:after="0" w:line="180" w:lineRule="exact"/>
        <w:rPr>
          <w:rFonts w:ascii="Times New Roman" w:cs="Times New Roman" w:eastAsia="Times New Roman" w:hAnsi="Times New Roman"/>
          <w:sz w:val="22"/>
          <w:szCs w:val="22"/>
          <w:color w:val="auto"/>
        </w:rPr>
      </w:pPr>
    </w:p>
    <w:p>
      <w:pPr>
        <w:ind w:left="3880" w:hanging="848"/>
        <w:spacing w:after="0"/>
        <w:tabs>
          <w:tab w:leader="none" w:pos="388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by the Company of Executive’s base salary or annual target bonus by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more than 10% individually or in the aggregate as in effect immediately prior to such reduction;</w:t>
      </w:r>
    </w:p>
    <w:p>
      <w:pPr>
        <w:spacing w:after="0" w:line="182" w:lineRule="exact"/>
        <w:rPr>
          <w:rFonts w:ascii="Times New Roman" w:cs="Times New Roman" w:eastAsia="Times New Roman" w:hAnsi="Times New Roman"/>
          <w:sz w:val="22"/>
          <w:szCs w:val="22"/>
          <w:color w:val="auto"/>
        </w:rPr>
      </w:pPr>
    </w:p>
    <w:p>
      <w:pPr>
        <w:jc w:val="both"/>
        <w:ind w:firstLine="3032"/>
        <w:spacing w:after="0" w:line="244" w:lineRule="auto"/>
        <w:tabs>
          <w:tab w:leader="none" w:pos="3935"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by the Company of Executive’s health or welfare benefits (including without limitation benefits under any of the Company’s life insurance, medical, health and accident, disability, or other benefit plans) in effect immediately prior to such reduction;</w:t>
      </w:r>
    </w:p>
    <w:p>
      <w:pPr>
        <w:spacing w:after="0" w:line="173" w:lineRule="exact"/>
        <w:rPr>
          <w:rFonts w:ascii="Times New Roman" w:cs="Times New Roman" w:eastAsia="Times New Roman" w:hAnsi="Times New Roman"/>
          <w:sz w:val="22"/>
          <w:szCs w:val="22"/>
          <w:color w:val="auto"/>
        </w:rPr>
      </w:pPr>
    </w:p>
    <w:p>
      <w:pPr>
        <w:jc w:val="both"/>
        <w:ind w:firstLine="3032"/>
        <w:spacing w:after="0" w:line="236" w:lineRule="auto"/>
        <w:tabs>
          <w:tab w:leader="none" w:pos="3995"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(A) the relocation of the Company’s offices at which Executive is principally employed immediately prior to the Change of Control (“Principal Location”), or (B) the Company’s requiring the Executive to be based anywhere other than the Executive’s Principal Location, except for required travel on the Company’s business to an extent substantially consistent with the Executive’s business travel obligations prior to the Change of Control; provided that, in the case of either (A) or (B), the relocation is to a location more than thirty (30) miles from the Executive’s Principal Location (unless such relocation does not increase Executive’s commuting distance);</w:t>
      </w:r>
    </w:p>
    <w:p>
      <w:pPr>
        <w:spacing w:after="0" w:line="181" w:lineRule="exact"/>
        <w:rPr>
          <w:rFonts w:ascii="Times New Roman" w:cs="Times New Roman" w:eastAsia="Times New Roman" w:hAnsi="Times New Roman"/>
          <w:sz w:val="22"/>
          <w:szCs w:val="22"/>
          <w:color w:val="auto"/>
        </w:rPr>
      </w:pPr>
    </w:p>
    <w:p>
      <w:pPr>
        <w:jc w:val="both"/>
        <w:ind w:firstLine="3032"/>
        <w:spacing w:after="0" w:line="235" w:lineRule="auto"/>
        <w:tabs>
          <w:tab w:leader="none" w:pos="3983"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the Company to continue in effect any material compensation or benefit plan or practice in which Executive is eligible to participate in immediately prior to the effective date of the Change of Control (other than any equity based plan), unless an equitable arrangement (embodied in an ongoing substitute or alternative plan) has been made with respect to such plan, or the Company’s failure to continue Executive’s participation therein (or in such substitute or alternative plan) on a basis not materially less favorable, both in terms of the amount of benefits provided and the level of Executive’s participation relative to other participants, as existed immediately prior to the effective date of the Change of Control;</w:t>
      </w:r>
    </w:p>
    <w:p>
      <w:pPr>
        <w:spacing w:after="0" w:line="183" w:lineRule="exact"/>
        <w:rPr>
          <w:rFonts w:ascii="Times New Roman" w:cs="Times New Roman" w:eastAsia="Times New Roman" w:hAnsi="Times New Roman"/>
          <w:sz w:val="22"/>
          <w:szCs w:val="22"/>
          <w:color w:val="auto"/>
        </w:rPr>
      </w:pPr>
    </w:p>
    <w:p>
      <w:pPr>
        <w:ind w:left="3940" w:hanging="908"/>
        <w:spacing w:after="0"/>
        <w:tabs>
          <w:tab w:leader="none" w:pos="394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the Company to obtain a satisfactory agreement from any successor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assume and agree to perform this Agreement, as contemplated in Section 8 hereof; or</w:t>
      </w:r>
    </w:p>
    <w:p>
      <w:pPr>
        <w:spacing w:after="0" w:line="182" w:lineRule="exact"/>
        <w:rPr>
          <w:rFonts w:ascii="Times New Roman" w:cs="Times New Roman" w:eastAsia="Times New Roman" w:hAnsi="Times New Roman"/>
          <w:sz w:val="22"/>
          <w:szCs w:val="22"/>
          <w:color w:val="auto"/>
        </w:rPr>
      </w:pPr>
    </w:p>
    <w:p>
      <w:pPr>
        <w:jc w:val="both"/>
        <w:ind w:firstLine="3032"/>
        <w:spacing w:after="0" w:line="244" w:lineRule="auto"/>
        <w:tabs>
          <w:tab w:leader="none" w:pos="3983"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authority, duties, responsibilities, title or reporting structure relative to Executive’s authority, duties, responsibilities, title or reporting structure in effect immediately prior to such reduction.</w:t>
      </w:r>
    </w:p>
    <w:p>
      <w:pPr>
        <w:spacing w:after="0" w:line="173" w:lineRule="exact"/>
        <w:rPr>
          <w:sz w:val="20"/>
          <w:szCs w:val="20"/>
          <w:color w:val="auto"/>
        </w:rPr>
      </w:pPr>
    </w:p>
    <w:p>
      <w:pPr>
        <w:ind w:firstLine="864"/>
        <w:spacing w:after="0" w:line="244" w:lineRule="auto"/>
        <w:rPr>
          <w:sz w:val="20"/>
          <w:szCs w:val="20"/>
          <w:color w:val="auto"/>
        </w:rPr>
      </w:pPr>
      <w:r>
        <w:rPr>
          <w:rFonts w:ascii="Times New Roman" w:cs="Times New Roman" w:eastAsia="Times New Roman" w:hAnsi="Times New Roman"/>
          <w:sz w:val="22"/>
          <w:szCs w:val="22"/>
          <w:color w:val="auto"/>
        </w:rPr>
        <w:t>Executive will not resign for Good Reason without first providing the Company with written notice within sixty (60) days of the event that Executive believes constitutes “Good Reason” specifically identifying the acts or omissions constituting the grounds for Good Reason and a reasonable cure period of not less than thirty (30) days following the date of such notice.</w:t>
      </w:r>
    </w:p>
    <w:p>
      <w:pPr>
        <w:spacing w:after="0" w:line="169" w:lineRule="exact"/>
        <w:rPr>
          <w:sz w:val="20"/>
          <w:szCs w:val="20"/>
          <w:color w:val="auto"/>
        </w:rPr>
      </w:pPr>
    </w:p>
    <w:p>
      <w:pPr>
        <w:ind w:firstLine="1735"/>
        <w:spacing w:after="0" w:line="262" w:lineRule="auto"/>
        <w:tabs>
          <w:tab w:leader="none" w:pos="261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Limit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Section 409A Limit</w:t>
      </w:r>
      <w:r>
        <w:rPr>
          <w:rFonts w:ascii="Times New Roman" w:cs="Times New Roman" w:eastAsia="Times New Roman" w:hAnsi="Times New Roman"/>
          <w:sz w:val="22"/>
          <w:szCs w:val="22"/>
          <w:color w:val="auto"/>
        </w:rPr>
        <w:t>” will mean two (2) times the lesser of: (i) Executive’s annualized compensation based upon the annual rate of pay paid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9" w:name="page70"/>
    <w:bookmarkEnd w:id="69"/>
    <w:p>
      <w:pPr>
        <w:jc w:val="both"/>
        <w:spacing w:after="0" w:line="239" w:lineRule="auto"/>
        <w:rPr>
          <w:sz w:val="20"/>
          <w:szCs w:val="20"/>
          <w:color w:val="auto"/>
        </w:rPr>
      </w:pPr>
      <w:r>
        <w:rPr>
          <w:rFonts w:ascii="Times New Roman" w:cs="Times New Roman" w:eastAsia="Times New Roman" w:hAnsi="Times New Roman"/>
          <w:sz w:val="22"/>
          <w:szCs w:val="22"/>
          <w:color w:val="auto"/>
        </w:rPr>
        <w:t>Executive during Executive’s taxable year preceding Executive’s taxable year of Executive’s termination of employment as determined under, and with such adjustments as are set forth in, Treasury Regulation Section 1.409A-1(b)(9)(iii)(A)(1)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80" w:lineRule="exact"/>
        <w:rPr>
          <w:sz w:val="20"/>
          <w:szCs w:val="20"/>
          <w:color w:val="auto"/>
        </w:rPr>
      </w:pPr>
    </w:p>
    <w:p>
      <w:pPr>
        <w:ind w:left="1680" w:hanging="808"/>
        <w:spacing w:after="0"/>
        <w:tabs>
          <w:tab w:leader="none" w:pos="16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735"/>
        <w:spacing w:after="0" w:line="235" w:lineRule="auto"/>
        <w:tabs>
          <w:tab w:leader="none" w:pos="2615"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Company’s Successors</w:t>
      </w:r>
      <w:r>
        <w:rPr>
          <w:rFonts w:ascii="Times New Roman" w:cs="Times New Roman" w:eastAsia="Times New Roman" w:hAnsi="Times New Roman"/>
          <w:sz w:val="22"/>
          <w:szCs w:val="22"/>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8(a) or which becomes bound by the terms of this Agreement by operation of law.</w:t>
      </w:r>
    </w:p>
    <w:p>
      <w:pPr>
        <w:spacing w:after="0" w:line="183"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27"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Executive’s Successors</w:t>
      </w:r>
      <w:r>
        <w:rPr>
          <w:rFonts w:ascii="Times New Roman" w:cs="Times New Roman" w:eastAsia="Times New Roman" w:hAnsi="Times New Roman"/>
          <w:sz w:val="22"/>
          <w:szCs w:val="22"/>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73" w:lineRule="exact"/>
        <w:rPr>
          <w:rFonts w:ascii="Times New Roman" w:cs="Times New Roman" w:eastAsia="Times New Roman" w:hAnsi="Times New Roman"/>
          <w:sz w:val="22"/>
          <w:szCs w:val="22"/>
          <w:color w:val="auto"/>
        </w:rPr>
      </w:pPr>
    </w:p>
    <w:p>
      <w:pPr>
        <w:ind w:left="1680" w:hanging="808"/>
        <w:spacing w:after="0"/>
        <w:tabs>
          <w:tab w:leader="none" w:pos="16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p>
    <w:p>
      <w:pPr>
        <w:spacing w:after="0" w:line="206"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15"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Executive each agree that any and all disputes arising out of the terms of this Agreement, Executive’s employment by the Company, Executive’s service as an officer or director of the Company, or Executive’s compensation and benefits, their interpretation and any of the matters herein released, will be subject to binding arbitration under the arbitration rules set forth in California Code of Civil Procedure Sections 1280 through 1294.2, including Section 1281.8 (the “</w:t>
      </w:r>
      <w:r>
        <w:rPr>
          <w:rFonts w:ascii="Times New Roman" w:cs="Times New Roman" w:eastAsia="Times New Roman" w:hAnsi="Times New Roman"/>
          <w:sz w:val="21"/>
          <w:szCs w:val="21"/>
          <w:b w:val="1"/>
          <w:bCs w:val="1"/>
          <w:color w:val="auto"/>
        </w:rPr>
        <w:t>Act</w:t>
      </w:r>
      <w:r>
        <w:rPr>
          <w:rFonts w:ascii="Times New Roman" w:cs="Times New Roman" w:eastAsia="Times New Roman" w:hAnsi="Times New Roman"/>
          <w:sz w:val="21"/>
          <w:szCs w:val="21"/>
          <w:color w:val="auto"/>
        </w:rPr>
        <w:t>”), and pursuant to California law. Disputes that the Company and Executive agree to arbitrate, and thereby agree to waive any right to a trial by jury, include any statutory claims under local, state, or federal law, including, but not limited to, claims under Title VII of the Civil Rights Act of 1964, the Americans with Disabilities Act of 1990, the Age Discrimination in Employment Act of 1967, the Older Workers Benefit Protection Act, the Sarbanes-Oxley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The Company and Executive further understand that this Agreement to arbitrate also applies to any disputes that the Company may have with Executive. However, claims for workers’ compensation benefits and unemployment insurance (or any other claims where mandatory arbitration is prohibited by law) are not covered by this arbitration agreement, and such claims may be presented by the Executive to the appropriate court or government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0" w:name="page71"/>
    <w:bookmarkEnd w:id="70"/>
    <w:p>
      <w:pPr>
        <w:jc w:val="both"/>
        <w:ind w:left="-1120" w:firstLine="1735"/>
        <w:spacing w:after="0" w:line="233" w:lineRule="auto"/>
        <w:tabs>
          <w:tab w:leader="none" w:pos="150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 The Company and Executive agree that any arbitration will be administered by Judicial Arbitration &amp; Mediation Services, Inc. (“</w:t>
      </w:r>
      <w:r>
        <w:rPr>
          <w:rFonts w:ascii="Times New Roman" w:cs="Times New Roman" w:eastAsia="Times New Roman" w:hAnsi="Times New Roman"/>
          <w:sz w:val="22"/>
          <w:szCs w:val="22"/>
          <w:b w:val="1"/>
          <w:bCs w:val="1"/>
          <w:color w:val="auto"/>
        </w:rPr>
        <w:t>JAMS</w:t>
      </w:r>
      <w:r>
        <w:rPr>
          <w:rFonts w:ascii="Times New Roman" w:cs="Times New Roman" w:eastAsia="Times New Roman" w:hAnsi="Times New Roman"/>
          <w:sz w:val="22"/>
          <w:szCs w:val="22"/>
          <w:color w:val="auto"/>
        </w:rPr>
        <w:t>”), pursuant to its Employment Arbitration Rules &amp; Procedures (the “</w:t>
      </w:r>
      <w:r>
        <w:rPr>
          <w:rFonts w:ascii="Times New Roman" w:cs="Times New Roman" w:eastAsia="Times New Roman" w:hAnsi="Times New Roman"/>
          <w:sz w:val="22"/>
          <w:szCs w:val="22"/>
          <w:b w:val="1"/>
          <w:bCs w:val="1"/>
          <w:color w:val="auto"/>
        </w:rPr>
        <w:t>JAMS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Rules</w:t>
      </w:r>
      <w:r>
        <w:rPr>
          <w:rFonts w:ascii="Times New Roman" w:cs="Times New Roman" w:eastAsia="Times New Roman" w:hAnsi="Times New Roman"/>
          <w:sz w:val="22"/>
          <w:szCs w:val="22"/>
          <w:color w:val="auto"/>
        </w:rPr>
        <w:t>”). The Arbitrator will have the power to decide any motions brought by any party to the arbitration, including motions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Arbitrator or JAMS except that Executive will pay any filing fees associated with any arbitration that Executive initiates, but only so much of the filing fees as Executive would have instead paid had he or she filed a complaint in a court of law. The Arbitrator will administer and conduct any arbitration in accordance with California law, including the California Code of Civil Procedure, and the Arbitrator will apply substantive and procedural California law to any dispute or claim, without reference to rules of conflict of law. To the extent that the JAMS Rules conflict with California law, California law will take precedence. The decision of the Arbitrator will be in writing. Any arbitration under this Agreement will be conducted in Santa Clara County, California.</w:t>
      </w:r>
    </w:p>
    <w:p>
      <w:pPr>
        <w:spacing w:after="0" w:line="182" w:lineRule="exact"/>
        <w:rPr>
          <w:rFonts w:ascii="Times New Roman" w:cs="Times New Roman" w:eastAsia="Times New Roman" w:hAnsi="Times New Roman"/>
          <w:sz w:val="22"/>
          <w:szCs w:val="22"/>
          <w:color w:val="auto"/>
        </w:rPr>
      </w:pPr>
    </w:p>
    <w:p>
      <w:pPr>
        <w:jc w:val="both"/>
        <w:ind w:left="-1120" w:firstLine="1735"/>
        <w:spacing w:after="0" w:line="239" w:lineRule="auto"/>
        <w:tabs>
          <w:tab w:leader="none" w:pos="149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Remedy</w:t>
      </w:r>
      <w:r>
        <w:rPr>
          <w:rFonts w:ascii="Times New Roman" w:cs="Times New Roman" w:eastAsia="Times New Roman" w:hAnsi="Times New Roman"/>
          <w:sz w:val="22"/>
          <w:szCs w:val="22"/>
          <w:color w:val="auto"/>
        </w:rPr>
        <w:t>. Except as provided by the Act and this Agreement, arbitration will be the sole, exclusive, and final remedy for any dispute between Executive and the Company. Accordingly, except as provided for by the Act and this Agreement, neither Executive nor the Company will be permitted to pursue court action regarding claims that are subject to arbitration.</w:t>
      </w:r>
    </w:p>
    <w:p>
      <w:pPr>
        <w:spacing w:after="0" w:line="180" w:lineRule="exact"/>
        <w:rPr>
          <w:rFonts w:ascii="Times New Roman" w:cs="Times New Roman" w:eastAsia="Times New Roman" w:hAnsi="Times New Roman"/>
          <w:sz w:val="22"/>
          <w:szCs w:val="22"/>
          <w:color w:val="auto"/>
        </w:rPr>
      </w:pPr>
    </w:p>
    <w:p>
      <w:pPr>
        <w:jc w:val="both"/>
        <w:ind w:left="-1120" w:firstLine="1735"/>
        <w:spacing w:after="0" w:line="235" w:lineRule="auto"/>
        <w:tabs>
          <w:tab w:leader="none" w:pos="150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Healthcare Coverage in Event of Dispute</w:t>
      </w:r>
      <w:r>
        <w:rPr>
          <w:rFonts w:ascii="Times New Roman" w:cs="Times New Roman" w:eastAsia="Times New Roman" w:hAnsi="Times New Roman"/>
          <w:sz w:val="22"/>
          <w:szCs w:val="22"/>
          <w:color w:val="auto"/>
        </w:rPr>
        <w:t>. In the event that any dispute between Executive and the Company becomes subject to arbitration pursuant to this Section 9, and provided that (1) Executive constitutes a qualified beneficiary, as defined in Section 4980(B)(g)(1) of the Code; and (2) Executive elects continuation coverage pursuant to COBRA, within the time period prescribed pursuant to COBRA, the Company will pay the premiums for such health continuation coverage at the levels in effect immediately prior to Executive’s termination until the earlier of (A) the resolution of the arbitration dispute or (B) the date upon which the Company would no longer be required to provide such continuation coverage pursuant to Section 3.</w:t>
      </w:r>
    </w:p>
    <w:p>
      <w:pPr>
        <w:spacing w:after="0" w:line="183" w:lineRule="exact"/>
        <w:rPr>
          <w:rFonts w:ascii="Times New Roman" w:cs="Times New Roman" w:eastAsia="Times New Roman" w:hAnsi="Times New Roman"/>
          <w:sz w:val="22"/>
          <w:szCs w:val="22"/>
          <w:color w:val="auto"/>
        </w:rPr>
      </w:pPr>
    </w:p>
    <w:p>
      <w:pPr>
        <w:jc w:val="both"/>
        <w:ind w:left="-1120" w:firstLine="1735"/>
        <w:spacing w:after="0" w:line="236" w:lineRule="auto"/>
        <w:tabs>
          <w:tab w:leader="none" w:pos="149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Administrative Relief</w:t>
      </w:r>
      <w:r>
        <w:rPr>
          <w:rFonts w:ascii="Times New Roman" w:cs="Times New Roman" w:eastAsia="Times New Roman" w:hAnsi="Times New Roman"/>
          <w:sz w:val="22"/>
          <w:szCs w:val="22"/>
          <w:color w:val="auto"/>
        </w:rPr>
        <w:t>. Executive understands that this Agreement does not prohibit him or her from pursuing any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This Agreement does, however, preclude Executive from pursuing court action regarding any such claim, except as permitted by law.</w:t>
      </w:r>
    </w:p>
    <w:p>
      <w:pPr>
        <w:spacing w:after="0" w:line="181" w:lineRule="exact"/>
        <w:rPr>
          <w:rFonts w:ascii="Times New Roman" w:cs="Times New Roman" w:eastAsia="Times New Roman" w:hAnsi="Times New Roman"/>
          <w:sz w:val="22"/>
          <w:szCs w:val="22"/>
          <w:color w:val="auto"/>
        </w:rPr>
      </w:pPr>
    </w:p>
    <w:p>
      <w:pPr>
        <w:jc w:val="both"/>
        <w:ind w:left="-1120" w:firstLine="1735"/>
        <w:spacing w:after="0" w:line="238" w:lineRule="auto"/>
        <w:tabs>
          <w:tab w:leader="none" w:pos="147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Nature of Agreement</w:t>
      </w:r>
      <w:r>
        <w:rPr>
          <w:rFonts w:ascii="Times New Roman" w:cs="Times New Roman" w:eastAsia="Times New Roman" w:hAnsi="Times New Roman"/>
          <w:sz w:val="22"/>
          <w:szCs w:val="22"/>
          <w:color w:val="auto"/>
        </w:rPr>
        <w:t xml:space="preserve">. Each of the Company and Executive acknowledges and agrees that such party is executing this Agreement voluntarily and without any duress or undue influence by anyone. Executive further acknowledges and agrees that he or she has carefully read this Agreement and has asked any questions needed for him or her to understand the terms, consequences, and binding effect of this Agreement and fully understands it, including that </w:t>
      </w:r>
      <w:r>
        <w:rPr>
          <w:rFonts w:ascii="Times New Roman" w:cs="Times New Roman" w:eastAsia="Times New Roman" w:hAnsi="Times New Roman"/>
          <w:sz w:val="22"/>
          <w:szCs w:val="22"/>
          <w:b w:val="1"/>
          <w:bCs w:val="1"/>
          <w:i w:val="1"/>
          <w:iCs w:val="1"/>
          <w:color w:val="auto"/>
        </w:rPr>
        <w:t>Executive 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waiving his or her right to a jury trial</w:t>
      </w:r>
      <w:r>
        <w:rPr>
          <w:rFonts w:ascii="Times New Roman" w:cs="Times New Roman" w:eastAsia="Times New Roman" w:hAnsi="Times New Roman"/>
          <w:sz w:val="22"/>
          <w:szCs w:val="22"/>
          <w:color w:val="auto"/>
        </w:rPr>
        <w:t>. Finally, Executive agrees that he or 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219710</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2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2"/>
          <w:szCs w:val="22"/>
          <w:color w:val="auto"/>
        </w:rPr>
        <w:t>has been provided an opportunity to seek the advice of an attorney of his or her choice before signing this Agreement.</w:t>
      </w:r>
    </w:p>
    <w:p>
      <w:pPr>
        <w:spacing w:after="0" w:line="206" w:lineRule="exact"/>
        <w:rPr>
          <w:sz w:val="20"/>
          <w:szCs w:val="20"/>
          <w:color w:val="auto"/>
        </w:rPr>
      </w:pPr>
    </w:p>
    <w:p>
      <w:pPr>
        <w:ind w:left="1780" w:hanging="908"/>
        <w:spacing w:after="0"/>
        <w:tabs>
          <w:tab w:leader="none" w:pos="17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735"/>
        <w:spacing w:after="0" w:line="238" w:lineRule="auto"/>
        <w:tabs>
          <w:tab w:leader="none" w:pos="2615"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President.</w:t>
      </w:r>
    </w:p>
    <w:p>
      <w:pPr>
        <w:spacing w:after="0" w:line="176" w:lineRule="exact"/>
        <w:rPr>
          <w:rFonts w:ascii="Times New Roman" w:cs="Times New Roman" w:eastAsia="Times New Roman" w:hAnsi="Times New Roman"/>
          <w:sz w:val="22"/>
          <w:szCs w:val="22"/>
          <w:color w:val="auto"/>
        </w:rPr>
      </w:pPr>
    </w:p>
    <w:p>
      <w:pPr>
        <w:jc w:val="both"/>
        <w:ind w:firstLine="1735"/>
        <w:spacing w:after="0" w:line="247" w:lineRule="auto"/>
        <w:tabs>
          <w:tab w:leader="none" w:pos="2627"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Any termination by the Company for Cause or by Executive for Good Reason will be communicated by a notice of termination to the other party hereto given in accordance with Section 10(a)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The failure by the Company or by Executive, as applicable, to include in the notice any fact or circumstance which contributes to a showing of Cause or Good Reason, as applicable, will not waive any right of the Company or Executive, as applicable, hereunder or preclude the Company or Executive, as applicable, from asserting such fact or circumstance in enforcing its, his or her rights hereunder.</w:t>
      </w:r>
    </w:p>
    <w:p>
      <w:pPr>
        <w:spacing w:after="0" w:line="171" w:lineRule="exact"/>
        <w:rPr>
          <w:rFonts w:ascii="Times New Roman" w:cs="Times New Roman" w:eastAsia="Times New Roman" w:hAnsi="Times New Roman"/>
          <w:sz w:val="21"/>
          <w:szCs w:val="21"/>
          <w:color w:val="auto"/>
        </w:rPr>
      </w:pPr>
    </w:p>
    <w:p>
      <w:pPr>
        <w:jc w:val="both"/>
        <w:ind w:firstLine="872"/>
        <w:spacing w:after="0" w:line="244" w:lineRule="auto"/>
        <w:tabs>
          <w:tab w:leader="none" w:pos="177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Executive agrees that for a period of twelve (12) months immediately following termination, Executive shall not directly or indirectly solicit any of the Company’s employees to leave their employment at the Company.</w:t>
      </w:r>
    </w:p>
    <w:p>
      <w:pPr>
        <w:spacing w:after="0" w:line="173" w:lineRule="exact"/>
        <w:rPr>
          <w:rFonts w:ascii="Times New Roman" w:cs="Times New Roman" w:eastAsia="Times New Roman" w:hAnsi="Times New Roman"/>
          <w:sz w:val="22"/>
          <w:szCs w:val="22"/>
          <w:color w:val="auto"/>
        </w:rPr>
      </w:pPr>
    </w:p>
    <w:p>
      <w:pPr>
        <w:ind w:left="1780" w:hanging="908"/>
        <w:spacing w:after="0"/>
        <w:tabs>
          <w:tab w:leader="none" w:pos="17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15"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Duty to Mitigate</w:t>
      </w:r>
      <w:r>
        <w:rPr>
          <w:rFonts w:ascii="Times New Roman" w:cs="Times New Roman" w:eastAsia="Times New Roman" w:hAnsi="Times New Roman"/>
          <w:sz w:val="22"/>
          <w:szCs w:val="22"/>
          <w:color w:val="auto"/>
        </w:rPr>
        <w:t>. Executive will not be required to mitigate the amount of any payment contemplated by this Agreement, nor will any such payment be reduced by any earnings that Executive may receive from any other source.</w:t>
      </w:r>
    </w:p>
    <w:p>
      <w:pPr>
        <w:spacing w:after="0" w:line="173" w:lineRule="exact"/>
        <w:rPr>
          <w:rFonts w:ascii="Times New Roman" w:cs="Times New Roman" w:eastAsia="Times New Roman" w:hAnsi="Times New Roman"/>
          <w:sz w:val="22"/>
          <w:szCs w:val="22"/>
          <w:color w:val="auto"/>
        </w:rPr>
      </w:pPr>
    </w:p>
    <w:p>
      <w:pPr>
        <w:jc w:val="both"/>
        <w:ind w:firstLine="1735"/>
        <w:spacing w:after="0" w:line="238" w:lineRule="auto"/>
        <w:tabs>
          <w:tab w:leader="none" w:pos="2627"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76" w:lineRule="exact"/>
        <w:rPr>
          <w:rFonts w:ascii="Times New Roman" w:cs="Times New Roman" w:eastAsia="Times New Roman" w:hAnsi="Times New Roman"/>
          <w:sz w:val="22"/>
          <w:szCs w:val="22"/>
          <w:color w:val="auto"/>
        </w:rPr>
      </w:pPr>
    </w:p>
    <w:p>
      <w:pPr>
        <w:ind w:right="20" w:firstLine="1735"/>
        <w:spacing w:after="0" w:line="258" w:lineRule="auto"/>
        <w:tabs>
          <w:tab w:leader="none" w:pos="2615"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All captions and section headings used in this Agreement are for convenient reference only and do not form a part of this Agreement.</w:t>
      </w:r>
    </w:p>
    <w:p>
      <w:pPr>
        <w:spacing w:after="0" w:line="158" w:lineRule="exact"/>
        <w:rPr>
          <w:rFonts w:ascii="Times New Roman" w:cs="Times New Roman" w:eastAsia="Times New Roman" w:hAnsi="Times New Roman"/>
          <w:sz w:val="22"/>
          <w:szCs w:val="22"/>
          <w:color w:val="auto"/>
        </w:rPr>
      </w:pPr>
    </w:p>
    <w:p>
      <w:pPr>
        <w:jc w:val="both"/>
        <w:ind w:right="20" w:firstLine="1735"/>
        <w:spacing w:after="0" w:line="244" w:lineRule="auto"/>
        <w:tabs>
          <w:tab w:leader="none" w:pos="2627"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including its exhibits, constitutes the entire agreement of the parties hereto and supersedes in their entirety all prior representations, understandings, undertakings or agreements (whether oral or written and whether expressed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2" w:name="page73"/>
    <w:bookmarkEnd w:id="72"/>
    <w:p>
      <w:pPr>
        <w:jc w:val="both"/>
        <w:spacing w:after="0" w:line="244" w:lineRule="auto"/>
        <w:rPr>
          <w:sz w:val="20"/>
          <w:szCs w:val="20"/>
          <w:color w:val="auto"/>
        </w:rPr>
      </w:pPr>
      <w:r>
        <w:rPr>
          <w:rFonts w:ascii="Times New Roman" w:cs="Times New Roman" w:eastAsia="Times New Roman" w:hAnsi="Times New Roman"/>
          <w:sz w:val="22"/>
          <w:szCs w:val="22"/>
          <w:color w:val="auto"/>
        </w:rPr>
        <w:t>implied) of the parties with respect to the subject matter hereof. No waiver, alteration, or modification of any of the provisions of this Agreement will be binding unless in writing and signed by duly authorized representatives of the parties hereto and which specifically mention this Agreement.</w:t>
      </w:r>
    </w:p>
    <w:p>
      <w:pPr>
        <w:spacing w:after="0" w:line="173" w:lineRule="exact"/>
        <w:rPr>
          <w:sz w:val="20"/>
          <w:szCs w:val="20"/>
          <w:color w:val="auto"/>
        </w:rPr>
      </w:pPr>
    </w:p>
    <w:p>
      <w:pPr>
        <w:ind w:firstLine="1735"/>
        <w:spacing w:after="0" w:line="258" w:lineRule="auto"/>
        <w:tabs>
          <w:tab w:leader="none" w:pos="261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The validity, interpretation, construction and performance of this Agreement will be governed by the laws of the State of California without regard to principles of its conflict of laws.</w:t>
      </w:r>
    </w:p>
    <w:p>
      <w:pPr>
        <w:spacing w:after="0" w:line="158" w:lineRule="exact"/>
        <w:rPr>
          <w:rFonts w:ascii="Times New Roman" w:cs="Times New Roman" w:eastAsia="Times New Roman" w:hAnsi="Times New Roman"/>
          <w:sz w:val="22"/>
          <w:szCs w:val="22"/>
          <w:color w:val="auto"/>
        </w:rPr>
      </w:pPr>
    </w:p>
    <w:p>
      <w:pPr>
        <w:ind w:firstLine="1735"/>
        <w:spacing w:after="0" w:line="258" w:lineRule="auto"/>
        <w:tabs>
          <w:tab w:leader="none" w:pos="259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or provisions of this Agreement will not affect the validity or enforceability of any other provision hereof, which will remain in full force and effect.</w:t>
      </w:r>
    </w:p>
    <w:p>
      <w:pPr>
        <w:spacing w:after="0" w:line="158" w:lineRule="exact"/>
        <w:rPr>
          <w:rFonts w:ascii="Times New Roman" w:cs="Times New Roman" w:eastAsia="Times New Roman" w:hAnsi="Times New Roman"/>
          <w:sz w:val="22"/>
          <w:szCs w:val="22"/>
          <w:color w:val="auto"/>
        </w:rPr>
      </w:pPr>
    </w:p>
    <w:p>
      <w:pPr>
        <w:ind w:firstLine="1735"/>
        <w:spacing w:after="0" w:line="258" w:lineRule="auto"/>
        <w:tabs>
          <w:tab w:leader="none" w:pos="262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All payments made pursuant to this Agreement will be subject to withholding of applicable income, employment and other taxes.</w:t>
      </w:r>
    </w:p>
    <w:p>
      <w:pPr>
        <w:spacing w:after="0" w:line="158" w:lineRule="exact"/>
        <w:rPr>
          <w:rFonts w:ascii="Times New Roman" w:cs="Times New Roman" w:eastAsia="Times New Roman" w:hAnsi="Times New Roman"/>
          <w:sz w:val="22"/>
          <w:szCs w:val="22"/>
          <w:color w:val="auto"/>
        </w:rPr>
      </w:pPr>
    </w:p>
    <w:p>
      <w:pPr>
        <w:ind w:right="20" w:firstLine="1735"/>
        <w:spacing w:after="0" w:line="258" w:lineRule="auto"/>
        <w:tabs>
          <w:tab w:leader="none" w:pos="262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will be deemed an original, but all of which together will constitute one and the same instrument.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3" w:name="page74"/>
    <w:bookmarkEnd w:id="73"/>
    <w:p>
      <w:pPr>
        <w:ind w:right="320"/>
        <w:spacing w:after="0" w:line="258" w:lineRule="auto"/>
        <w:rPr>
          <w:sz w:val="20"/>
          <w:szCs w:val="20"/>
          <w:color w:val="auto"/>
        </w:rPr>
      </w:pPr>
      <w:r>
        <w:rPr>
          <w:rFonts w:ascii="Times New Roman" w:cs="Times New Roman" w:eastAsia="Times New Roman" w:hAnsi="Times New Roman"/>
          <w:sz w:val="22"/>
          <w:szCs w:val="22"/>
          <w:color w:val="auto"/>
        </w:rPr>
        <w:t>IN WITNESS WHEREOF, each of the parties has executed this Agreement, in the case of the Company by its duly authorized officer, as of the day and year set forth below.</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COMPANY</w:t>
            </w:r>
          </w:p>
        </w:tc>
        <w:tc>
          <w:tcPr>
            <w:tcW w:w="4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AMBARELLA, INC.</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8"/>
        </w:trPr>
        <w:tc>
          <w:tcPr>
            <w:tcW w:w="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160" w:type="dxa"/>
            <w:vAlign w:val="bottom"/>
          </w:tcPr>
          <w:p>
            <w:pPr>
              <w:ind w:left="2560"/>
              <w:spacing w:after="0"/>
              <w:rPr>
                <w:sz w:val="20"/>
                <w:szCs w:val="20"/>
                <w:color w:val="auto"/>
              </w:rPr>
            </w:pPr>
            <w:r>
              <w:rPr>
                <w:rFonts w:ascii="Times New Roman" w:cs="Times New Roman" w:eastAsia="Times New Roman" w:hAnsi="Times New Roman"/>
                <w:sz w:val="22"/>
                <w:szCs w:val="22"/>
                <w:color w:val="auto"/>
              </w:rPr>
              <w:t>By:</w:t>
            </w:r>
          </w:p>
        </w:tc>
        <w:tc>
          <w:tcPr>
            <w:tcW w:w="446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 Feng-Ming Wang</w:t>
            </w:r>
          </w:p>
        </w:tc>
        <w:tc>
          <w:tcPr>
            <w:tcW w:w="0" w:type="dxa"/>
            <w:vAlign w:val="bottom"/>
          </w:tcPr>
          <w:p>
            <w:pPr>
              <w:spacing w:after="0"/>
              <w:rPr>
                <w:sz w:val="1"/>
                <w:szCs w:val="1"/>
                <w:color w:val="auto"/>
              </w:rPr>
            </w:pPr>
          </w:p>
        </w:tc>
      </w:tr>
      <w:tr>
        <w:trPr>
          <w:trHeight w:val="439"/>
        </w:trPr>
        <w:tc>
          <w:tcPr>
            <w:tcW w:w="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160" w:type="dxa"/>
            <w:vAlign w:val="bottom"/>
          </w:tcPr>
          <w:p>
            <w:pPr>
              <w:ind w:left="2560"/>
              <w:spacing w:after="0"/>
              <w:rPr>
                <w:sz w:val="20"/>
                <w:szCs w:val="20"/>
                <w:color w:val="auto"/>
              </w:rPr>
            </w:pPr>
            <w:r>
              <w:rPr>
                <w:rFonts w:ascii="Times New Roman" w:cs="Times New Roman" w:eastAsia="Times New Roman" w:hAnsi="Times New Roman"/>
                <w:sz w:val="22"/>
                <w:szCs w:val="22"/>
                <w:color w:val="auto"/>
              </w:rPr>
              <w:t>Title:</w:t>
            </w:r>
          </w:p>
        </w:tc>
        <w:tc>
          <w:tcPr>
            <w:tcW w:w="1780" w:type="dxa"/>
            <w:vAlign w:val="bottom"/>
            <w:tcBorders>
              <w:top w:val="single" w:sz="8" w:color="auto"/>
            </w:tcBorders>
            <w:gridSpan w:val="4"/>
          </w:tcPr>
          <w:p>
            <w:pPr>
              <w:ind w:left="140"/>
              <w:spacing w:after="0"/>
              <w:rPr>
                <w:sz w:val="20"/>
                <w:szCs w:val="20"/>
                <w:color w:val="auto"/>
              </w:rPr>
            </w:pPr>
            <w:r>
              <w:rPr>
                <w:rFonts w:ascii="Times New Roman" w:cs="Times New Roman" w:eastAsia="Times New Roman" w:hAnsi="Times New Roman"/>
                <w:sz w:val="22"/>
                <w:szCs w:val="22"/>
                <w:color w:val="auto"/>
              </w:rPr>
              <w:t>CEO</w:t>
            </w:r>
          </w:p>
        </w:tc>
        <w:tc>
          <w:tcPr>
            <w:tcW w:w="26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2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EXECUTIVE</w:t>
            </w:r>
          </w:p>
        </w:tc>
        <w:tc>
          <w:tcPr>
            <w:tcW w:w="41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By:</w:t>
            </w:r>
          </w:p>
        </w:tc>
        <w:tc>
          <w:tcPr>
            <w:tcW w:w="1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Brian</w:t>
            </w:r>
          </w:p>
        </w:tc>
        <w:tc>
          <w:tcPr>
            <w:tcW w:w="0" w:type="dxa"/>
            <w:vAlign w:val="bottom"/>
          </w:tcPr>
          <w:p>
            <w:pPr>
              <w:spacing w:after="0"/>
              <w:rPr>
                <w:sz w:val="1"/>
                <w:szCs w:val="1"/>
                <w:color w:val="auto"/>
              </w:rPr>
            </w:pPr>
          </w:p>
        </w:tc>
      </w:tr>
      <w:tr>
        <w:trPr>
          <w:trHeight w:val="223"/>
        </w:trPr>
        <w:tc>
          <w:tcPr>
            <w:tcW w:w="264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color w:val="auto"/>
              </w:rPr>
              <w:t>White</w:t>
            </w:r>
          </w:p>
        </w:tc>
        <w:tc>
          <w:tcPr>
            <w:tcW w:w="4160" w:type="dxa"/>
            <w:vAlign w:val="bottom"/>
            <w:vMerge w:val="restart"/>
          </w:tcPr>
          <w:p>
            <w:pPr>
              <w:ind w:left="2560"/>
              <w:spacing w:after="0"/>
              <w:rPr>
                <w:sz w:val="20"/>
                <w:szCs w:val="20"/>
                <w:color w:val="auto"/>
              </w:rPr>
            </w:pPr>
            <w:r>
              <w:rPr>
                <w:rFonts w:ascii="Times New Roman" w:cs="Times New Roman" w:eastAsia="Times New Roman" w:hAnsi="Times New Roman"/>
                <w:sz w:val="22"/>
                <w:szCs w:val="22"/>
                <w:color w:val="auto"/>
              </w:rPr>
              <w:t>Title:</w:t>
            </w:r>
          </w:p>
        </w:tc>
        <w:tc>
          <w:tcPr>
            <w:tcW w:w="3200" w:type="dxa"/>
            <w:vAlign w:val="bottom"/>
            <w:gridSpan w:val="5"/>
            <w:vMerge w:val="restart"/>
          </w:tcPr>
          <w:p>
            <w:pPr>
              <w:ind w:left="140"/>
              <w:spacing w:after="0"/>
              <w:rPr>
                <w:sz w:val="20"/>
                <w:szCs w:val="20"/>
                <w:color w:val="auto"/>
              </w:rPr>
            </w:pPr>
            <w:r>
              <w:rPr>
                <w:rFonts w:ascii="Times New Roman" w:cs="Times New Roman" w:eastAsia="Times New Roman" w:hAnsi="Times New Roman"/>
                <w:sz w:val="22"/>
                <w:szCs w:val="22"/>
                <w:color w:val="auto"/>
              </w:rPr>
              <w:t>CFO</w:t>
            </w:r>
          </w:p>
        </w:tc>
        <w:tc>
          <w:tcPr>
            <w:tcW w:w="740" w:type="dxa"/>
            <w:vAlign w:val="bottom"/>
            <w:tcBorders>
              <w:top w:val="single" w:sz="8" w:color="auto"/>
            </w:tcBorders>
            <w:vMerge w:val="restart"/>
          </w:tcPr>
          <w:p>
            <w:pPr>
              <w:spacing w:after="0"/>
              <w:rPr>
                <w:sz w:val="19"/>
                <w:szCs w:val="19"/>
                <w:color w:val="auto"/>
              </w:rPr>
            </w:pPr>
          </w:p>
        </w:tc>
        <w:tc>
          <w:tcPr>
            <w:tcW w:w="5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54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3200" w:type="dxa"/>
            <w:vAlign w:val="bottom"/>
            <w:gridSpan w:val="5"/>
            <w:vMerge w:val="continue"/>
          </w:tcPr>
          <w:p>
            <w:pPr>
              <w:spacing w:after="0"/>
              <w:rPr>
                <w:sz w:val="24"/>
                <w:szCs w:val="24"/>
                <w:color w:val="auto"/>
              </w:rPr>
            </w:pPr>
          </w:p>
        </w:tc>
        <w:tc>
          <w:tcPr>
            <w:tcW w:w="740" w:type="dxa"/>
            <w:vAlign w:val="bottom"/>
            <w:tcBorders>
              <w:top w:val="single" w:sz="8" w:color="auto"/>
            </w:tcBorders>
            <w:vMerge w:val="continue"/>
          </w:tcPr>
          <w:p>
            <w:pPr>
              <w:spacing w:after="0"/>
              <w:rPr>
                <w:sz w:val="24"/>
                <w:szCs w:val="24"/>
                <w:color w:val="auto"/>
              </w:rPr>
            </w:pP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67"/>
        </w:trPr>
        <w:tc>
          <w:tcPr>
            <w:tcW w:w="5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3853180</wp:posOffset>
            </wp:positionH>
            <wp:positionV relativeFrom="paragraph">
              <wp:posOffset>-1148080</wp:posOffset>
            </wp:positionV>
            <wp:extent cx="342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A</w:t>
      </w:r>
    </w:p>
    <w:p>
      <w:pPr>
        <w:spacing w:after="0" w:line="215"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20"/>
          <w:szCs w:val="20"/>
          <w:b w:val="1"/>
          <w:bCs w:val="1"/>
          <w:color w:val="auto"/>
        </w:rPr>
        <w:t>RELEASE AGREEMENT</w:t>
      </w:r>
    </w:p>
    <w:p>
      <w:pPr>
        <w:spacing w:after="0" w:line="216"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20"/>
          <w:szCs w:val="20"/>
          <w:b w:val="1"/>
          <w:bCs w:val="1"/>
          <w:i w:val="1"/>
          <w:iCs w:val="1"/>
          <w:color w:val="auto"/>
        </w:rPr>
        <w:t>For Employee 40 Years Old or Older in Group Termination</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I understand and agree completely to the terms set forth in my Change in Control Severance Benefits Agreement (the “Agreement”) with Ambarella, Inc. (the “Company”).</w:t>
      </w:r>
    </w:p>
    <w:p>
      <w:pPr>
        <w:spacing w:after="0" w:line="15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I understand that this Release Agreement (“Release”), together with the Agreement, constitutes the complete, final and exclusive embodiment of the entire agreement between the Company and me with regard to the subject matter hereof. I am not relying on any promise or representation by the Company that is not expressly stated herein.</w:t>
      </w:r>
    </w:p>
    <w:p>
      <w:pPr>
        <w:spacing w:after="0" w:line="174"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I hereby confirm my obligations under the Company’s At-Will Employment, Confidential Information, Invention Assignment, and Arbitration Agreement (the “Confidentiality Agreement”).</w:t>
      </w:r>
    </w:p>
    <w:p>
      <w:pPr>
        <w:spacing w:after="0" w:line="159"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20"/>
          <w:szCs w:val="20"/>
          <w:color w:val="auto"/>
        </w:rPr>
        <w:t xml:space="preserve">In consideration of the severance benefits I will receive under the Agreement, I, on my behalf and on behalf of my heirs, family members, executors, agents, and assigns, hereby generally and completely release the Company and its current and former directors, officers, employees, investors, shareholders, administrators, benefit plans, plan administrators, professional employer organization or co-employer, partners, agents, attorneys, predecessors, successors, parent and subsidiary entities, insurers, affiliates, and assigns from any and all claims, liabilities and obligations, both known and unknown, that arise out of or are in any way related to events, acts, conduct, or omissions occurring prior to my signing this Release. This general release includes, but is not limited to: (a) all claims arising out of or in any way related to my employment with the Company, or the termination of that employment; (b) all claims related to my compensation or benefits from the Company, including, but not limited to,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but not limited to, claims for fraud, defamation, emotional distress, and discharge in violation of public policy; (e) all federal, state, and local statutory claims, including, but not limited to, claims for discrimination, harassment, retaliation, attorneys’ fees, or other claims arising under Title VII of the Civil Rights Act of 1964, the Civil Rights Act of 1991, the Rehabilitation Act of 1973, the Americans with Disabilities Act of 1990, the Equal Pay Act, the Fair Labor Standards Act, the Fair Credit Reporting Act, the Age Discrimination in Employment Act of 1967 (“ADEA”), the Older Workers Benefit Protection Act, the Employee Retirement Income Security Act of 1974, the Worker Adjustment and Retraining Notification Act, the Family and Medical Leave Act, the Immigration Reform and Control Act, the California Family Rights Act, the California Labor Code, the California Workers’ Compensation Act, and the California Fair Employment and Housing Act, all as amended; (f) any claim for any loss, cost, damage, or expense arising out of any dispute over the nonwithholding or other tax treatment of any of the proceeds I receive as a result of the Agreement; and (g) any and all claims for attorneys’ fees and costs;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nothing in this paragraph shall be construed in any way to release the Company from its obligation to indemnify me pursuant to a written agreement between me and the Company or applicable law.</w:t>
      </w:r>
    </w:p>
    <w:p>
      <w:pPr>
        <w:spacing w:after="0" w:line="206"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I agree that this Release shall be and remain in effect in all respects as a complete general release as to the matters released. This Release does not extend to any obligations incurred under the Agreement. This Release does not release claims that cannot be released as a matter of law, including, but not limited to, my right to file a charge with or participate in a charge by the Equal Employment Opportunity Commission, or any other local, state, or federal administrative body or government agency that is authorized to enforce or administer laws related to employment, against the Company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5" w:name="page76"/>
    <w:bookmarkEnd w:id="75"/>
    <w:p>
      <w:pPr>
        <w:jc w:val="both"/>
        <w:ind w:left="100"/>
        <w:spacing w:after="0" w:line="268" w:lineRule="auto"/>
        <w:rPr>
          <w:sz w:val="20"/>
          <w:szCs w:val="20"/>
          <w:color w:val="auto"/>
        </w:rPr>
      </w:pPr>
      <w:r>
        <w:rPr>
          <w:rFonts w:ascii="Times New Roman" w:cs="Times New Roman" w:eastAsia="Times New Roman" w:hAnsi="Times New Roman"/>
          <w:sz w:val="20"/>
          <w:szCs w:val="20"/>
          <w:color w:val="auto"/>
        </w:rPr>
        <w:t>understanding that any such filing or participation does not give me the right to recover any monetary damages against the Company, except as otherwise permitted by law; my release of claims herein bars me from recovering such monetary relief from the Company).</w:t>
      </w:r>
    </w:p>
    <w:p>
      <w:pPr>
        <w:spacing w:after="0" w:line="161" w:lineRule="exact"/>
        <w:rPr>
          <w:sz w:val="20"/>
          <w:szCs w:val="20"/>
          <w:color w:val="auto"/>
        </w:rPr>
      </w:pPr>
    </w:p>
    <w:p>
      <w:pPr>
        <w:jc w:val="both"/>
        <w:ind w:left="100" w:firstLine="864"/>
        <w:spacing w:after="0" w:line="243" w:lineRule="auto"/>
        <w:rPr>
          <w:sz w:val="20"/>
          <w:szCs w:val="20"/>
          <w:color w:val="auto"/>
        </w:rPr>
      </w:pPr>
      <w:r>
        <w:rPr>
          <w:rFonts w:ascii="Times New Roman" w:cs="Times New Roman" w:eastAsia="Times New Roman" w:hAnsi="Times New Roman"/>
          <w:sz w:val="20"/>
          <w:szCs w:val="20"/>
          <w:color w:val="auto"/>
        </w:rPr>
        <w:t>I acknowledge that I am knowingly and voluntarily waiving and releasing any rights I may have under the ADEA (“ADEA Waiver”). I also acknowledge that the consideration given for the ADEA Waiver is in addition to anything of value to which I was already entitled. I further acknowledge that I have been advised by this writing, as required by the ADEA, that: (a) my ADEA Waiver does not apply to any rights or claims that arise after the date I sign this Release; (b) I should consult with an attorney prior to signing this Release (although I may choose voluntarily not to do so); (c) I have forty-five (45) days to consider this Release (although I may choose voluntarily to sign it sooner); (d) I have seven (7) days following the date I sign this Release to revoke the ADEA Waiver by providing written notice to the Company’s Board of Directors; and (e) the ADEA Waiver will not be effective until the date upon which the revocation period has expired unexercised, which will be the eighth day after I sign this Release (“Effective Date”).</w:t>
      </w:r>
    </w:p>
    <w:p>
      <w:pPr>
        <w:spacing w:after="0" w:line="189" w:lineRule="exact"/>
        <w:rPr>
          <w:sz w:val="20"/>
          <w:szCs w:val="20"/>
          <w:color w:val="auto"/>
        </w:rPr>
      </w:pPr>
    </w:p>
    <w:p>
      <w:pPr>
        <w:jc w:val="both"/>
        <w:ind w:left="100" w:firstLine="864"/>
        <w:spacing w:after="0" w:line="249" w:lineRule="auto"/>
        <w:rPr>
          <w:sz w:val="20"/>
          <w:szCs w:val="20"/>
          <w:color w:val="auto"/>
        </w:rPr>
      </w:pPr>
      <w:r>
        <w:rPr>
          <w:rFonts w:ascii="Times New Roman" w:cs="Times New Roman" w:eastAsia="Times New Roman" w:hAnsi="Times New Roman"/>
          <w:sz w:val="20"/>
          <w:szCs w:val="20"/>
          <w:color w:val="auto"/>
        </w:rPr>
        <w:t>I have received with this Release all of the information required by the ADEA, including without limitation a detailed list of the job titles and ages of all employees who were terminated in this group termination and the ages of all employees of the Company in the same job classification or organizational unit who were not terminated, along with information on the eligibility factors used to select employees for the group termination and any time limits applicable to this group termination program.</w:t>
      </w:r>
    </w:p>
    <w:p>
      <w:pPr>
        <w:spacing w:after="0" w:line="176" w:lineRule="exact"/>
        <w:rPr>
          <w:sz w:val="20"/>
          <w:szCs w:val="20"/>
          <w:color w:val="auto"/>
        </w:rPr>
      </w:pPr>
    </w:p>
    <w:p>
      <w:pPr>
        <w:jc w:val="both"/>
        <w:ind w:left="100" w:firstLine="864"/>
        <w:spacing w:after="0" w:line="247" w:lineRule="auto"/>
        <w:rPr>
          <w:sz w:val="20"/>
          <w:szCs w:val="20"/>
          <w:color w:val="auto"/>
        </w:rPr>
      </w:pPr>
      <w:r>
        <w:rPr>
          <w:rFonts w:ascii="Times New Roman" w:cs="Times New Roman" w:eastAsia="Times New Roman" w:hAnsi="Times New Roman"/>
          <w:sz w:val="20"/>
          <w:szCs w:val="20"/>
          <w:color w:val="auto"/>
        </w:rPr>
        <w:t xml:space="preserve">I acknowledge that I have read and understand Section 1542 of the California Civil Code which reads as follows: </w:t>
      </w:r>
      <w:r>
        <w:rPr>
          <w:rFonts w:ascii="Times New Roman" w:cs="Times New Roman" w:eastAsia="Times New Roman" w:hAnsi="Times New Roman"/>
          <w:sz w:val="20"/>
          <w:szCs w:val="20"/>
          <w:b w:val="1"/>
          <w:bCs w:val="1"/>
          <w:color w:val="auto"/>
        </w:rPr>
        <w:t>“A general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release does not extend to claims which the creditor does not know or suspect to exist in his or her favor at the time of executing the release, which if known by him or her must have materially affected his settlement with the debtor.” </w:t>
      </w:r>
      <w:r>
        <w:rPr>
          <w:rFonts w:ascii="Times New Roman" w:cs="Times New Roman" w:eastAsia="Times New Roman" w:hAnsi="Times New Roman"/>
          <w:sz w:val="20"/>
          <w:szCs w:val="20"/>
          <w:color w:val="auto"/>
        </w:rPr>
        <w:t>I hereby expressly waive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relinquish all rights and benefits under that section and any law of any jurisdiction of similar effect with respect to my release of any claims hereunder, including but not limited to my release of unknown claims.</w:t>
      </w:r>
    </w:p>
    <w:p>
      <w:pPr>
        <w:spacing w:after="0" w:line="184" w:lineRule="exact"/>
        <w:rPr>
          <w:sz w:val="20"/>
          <w:szCs w:val="20"/>
          <w:color w:val="auto"/>
        </w:rPr>
      </w:pPr>
    </w:p>
    <w:p>
      <w:pPr>
        <w:jc w:val="both"/>
        <w:ind w:left="100" w:firstLine="864"/>
        <w:spacing w:after="0" w:line="249" w:lineRule="auto"/>
        <w:rPr>
          <w:sz w:val="20"/>
          <w:szCs w:val="20"/>
          <w:color w:val="auto"/>
        </w:rPr>
      </w:pPr>
      <w:r>
        <w:rPr>
          <w:rFonts w:ascii="Times New Roman" w:cs="Times New Roman" w:eastAsia="Times New Roman" w:hAnsi="Times New Roman"/>
          <w:sz w:val="20"/>
          <w:szCs w:val="20"/>
          <w:color w:val="auto"/>
        </w:rPr>
        <w:t>I hereby represent that I have been paid or provided all salary, wages, bonuses, accrued vacation/paid time off, premiums, leaves, housing allowances, relocation costs, interest, severance, outplacement costs, fees, reimbursable expenses, commissions, stock, stock options, vesting, and any and all other benefits and compensation due to me, and I have not suffered any on-the-job injury for which I have not already filed a claim.</w:t>
      </w:r>
    </w:p>
    <w:p>
      <w:pPr>
        <w:spacing w:after="0" w:line="180" w:lineRule="exact"/>
        <w:rPr>
          <w:sz w:val="20"/>
          <w:szCs w:val="20"/>
          <w:color w:val="auto"/>
        </w:rPr>
      </w:pPr>
    </w:p>
    <w:p>
      <w:pPr>
        <w:jc w:val="both"/>
        <w:ind w:left="100" w:firstLine="864"/>
        <w:spacing w:after="0" w:line="269" w:lineRule="auto"/>
        <w:rPr>
          <w:sz w:val="20"/>
          <w:szCs w:val="20"/>
          <w:color w:val="auto"/>
        </w:rPr>
      </w:pPr>
      <w:r>
        <w:rPr>
          <w:rFonts w:ascii="Times New Roman" w:cs="Times New Roman" w:eastAsia="Times New Roman" w:hAnsi="Times New Roman"/>
          <w:sz w:val="20"/>
          <w:szCs w:val="20"/>
          <w:color w:val="auto"/>
        </w:rPr>
        <w:t>I acknowledge that to become effective, I must sign and return this Release to the Company so that it is received not later than forty-five (45) days following the date it is provided to 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1372870</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340"/>
          </w:cols>
          <w:pgMar w:left="220" w:top="118" w:right="339" w:bottom="1440" w:gutter="0" w:footer="0" w:header="0"/>
        </w:sectPr>
      </w:pPr>
    </w:p>
    <w:bookmarkStart w:id="76" w:name="page77"/>
    <w:bookmarkEnd w:id="76"/>
    <w:p>
      <w:pPr>
        <w:jc w:val="center"/>
        <w:ind w:left="86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B</w:t>
      </w:r>
    </w:p>
    <w:p>
      <w:pPr>
        <w:spacing w:after="0" w:line="216"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20"/>
          <w:szCs w:val="20"/>
          <w:b w:val="1"/>
          <w:bCs w:val="1"/>
          <w:color w:val="auto"/>
        </w:rPr>
        <w:t>RELEASE AGREEMENT</w:t>
      </w:r>
    </w:p>
    <w:p>
      <w:pPr>
        <w:spacing w:after="0" w:line="21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i w:val="1"/>
          <w:iCs w:val="1"/>
          <w:color w:val="auto"/>
        </w:rPr>
        <w:t>For Employee 40 Years Old or Older in Individual Termination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I understand and agree completely to the terms set forth in my Change in Control Severance Benefits Agreement (the “Agreement”) with Ambarella, Inc. (the “Company”).</w:t>
      </w:r>
    </w:p>
    <w:p>
      <w:pPr>
        <w:spacing w:after="0" w:line="15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I understand that this Release Agreement (“Release”), together with the Agreement, constitutes the complete, final and exclusive embodiment of the entire agreement between the Company and me with regard to the subject matter hereof. I am not relying on any promise or representation by the Company that is not expressly stated herein.</w:t>
      </w:r>
    </w:p>
    <w:p>
      <w:pPr>
        <w:spacing w:after="0" w:line="174"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I hereby confirm my obligations under the Company’s At-Will Employment, Confidential Information, Invention Assignment, and Arbitration Agreement (the “Confidentiality Agreement”).</w:t>
      </w:r>
    </w:p>
    <w:p>
      <w:pPr>
        <w:spacing w:after="0" w:line="159"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20"/>
          <w:szCs w:val="20"/>
          <w:color w:val="auto"/>
        </w:rPr>
        <w:t xml:space="preserve">In consideration of the severance benefits I will receive under the Agreement, I, on my behalf and on behalf of my heirs, family members, executors, agents, and assigns, hereby generally and completely release the Company and its current and former directors, officers, employees, investors, shareholders, administrators, benefit plans, plan administrators, professional employer organization or co-employer, partners, agents, attorneys, predecessors, successors, parent and subsidiary entities, insurers, affiliates, and assigns from any and all claims, liabilities and obligations, both known and unknown, that arise out of or are in any way related to events, acts, conduct, or omissions occurring prior to my signing this Release. This general release includes, but is not limited to: (a) all claims arising out of or in any way related to my employment with the Company, or the termination of that employment; (b) all claims related to my compensation or benefits from the Company, including, but not limited to,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but not limited to, claims for fraud, defamation, emotional distress, and discharge in violation of public policy; (e) all federal, state, and local statutory claims, including, but not limited to, claims for discrimination, harassment, retaliation, attorneys’ fees, or other claims arising under Title VII of the Civil Rights Act of 1964, the Civil Rights Act of 1991, the Rehabilitation Act of 1973, the Americans with Disabilities Act of 1990, the Equal Pay Act, the Fair Labor Standards Act, the Fair Credit Reporting Act, the Age Discrimination in Employment Act of 1967 (“ADEA”), the Older Workers Benefit Protection Act, the Employee Retirement Income Security Act of 1974, the Worker Adjustment and Retraining Notification Act, the Family and Medical Leave Act, the Immigration Reform and Control Act, the California Family Rights Act, the California Labor Code, the California Workers’ Compensation Act, and the California Fair Employment and Housing Act, all as amended; (f) any claim for any loss, cost, damage, or expense arising out of any dispute over the nonwithholding or other tax treatment of any of the proceeds I receive as a result of the Agreement; and (g) any and all claims for attorneys’ fees and costs;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nothing in this paragraph shall be construed in any way to release the Company from its obligation to indemnify me pursuant to a written agreement between me and the Company or applicable law.</w:t>
      </w:r>
    </w:p>
    <w:p>
      <w:pPr>
        <w:spacing w:after="0" w:line="206"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I acknowledge that I am knowingly and voluntarily waiving and releasing any rights I may have under the ADEA (“ADEA Waiver”). I also acknowledge that the consideration given for the ADEA Waiver is in addition to anything of value to which I was already entitled. I further acknowledge that I have been advised by this writing, as required by the ADEA, that: (a) my ADEA Waiver does not apply to any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355600</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7" w:name="page78"/>
    <w:bookmarkEnd w:id="77"/>
    <w:p>
      <w:pPr>
        <w:jc w:val="both"/>
        <w:ind w:left="100"/>
        <w:spacing w:after="0" w:line="246" w:lineRule="auto"/>
        <w:rPr>
          <w:sz w:val="20"/>
          <w:szCs w:val="20"/>
          <w:color w:val="auto"/>
        </w:rPr>
      </w:pPr>
      <w:r>
        <w:rPr>
          <w:rFonts w:ascii="Times New Roman" w:cs="Times New Roman" w:eastAsia="Times New Roman" w:hAnsi="Times New Roman"/>
          <w:sz w:val="20"/>
          <w:szCs w:val="20"/>
          <w:color w:val="auto"/>
        </w:rPr>
        <w:t>or claims that arise after the date I sign this Release; (b) I should consult with an attorney prior to signing this Release (although I may choose voluntarily not to do so); (c) I have twenty-one (21) days to consider this Release (although I may choose voluntarily to sign it sooner); (d) I have seven (7) days following the date I sign this Release to revoke the ADEA Waiver by providing written notice to the Company’s Board of Directors; and (e) the ADEA Waiver will not be effective until the date upon which the revocation period has expired unexercised, which will be the eighth day after I sign this Release (“Effective Date”).</w:t>
      </w:r>
    </w:p>
    <w:p>
      <w:pPr>
        <w:spacing w:after="0" w:line="184" w:lineRule="exact"/>
        <w:rPr>
          <w:sz w:val="20"/>
          <w:szCs w:val="20"/>
          <w:color w:val="auto"/>
        </w:rPr>
      </w:pPr>
    </w:p>
    <w:p>
      <w:pPr>
        <w:jc w:val="both"/>
        <w:ind w:left="100" w:firstLine="864"/>
        <w:spacing w:after="0" w:line="244" w:lineRule="auto"/>
        <w:rPr>
          <w:sz w:val="20"/>
          <w:szCs w:val="20"/>
          <w:color w:val="auto"/>
        </w:rPr>
      </w:pPr>
      <w:r>
        <w:rPr>
          <w:rFonts w:ascii="Times New Roman" w:cs="Times New Roman" w:eastAsia="Times New Roman" w:hAnsi="Times New Roman"/>
          <w:sz w:val="20"/>
          <w:szCs w:val="20"/>
          <w:color w:val="auto"/>
        </w:rPr>
        <w:t>I agree that this Release shall be and remain in effect in all respects as a complete general release as to the matters released. This Release does not extend to any obligations incurred under the Agreement. This Release does not release claims that cannot be released as a matter of law, including, but not limited to, my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me the right to recover any monetary damages against the Company, except as otherwise permitted by law; my release of claims herein bars me from recovering such monetary relief from the Company).</w:t>
      </w:r>
    </w:p>
    <w:p>
      <w:pPr>
        <w:spacing w:after="0" w:line="182" w:lineRule="exact"/>
        <w:rPr>
          <w:sz w:val="20"/>
          <w:szCs w:val="20"/>
          <w:color w:val="auto"/>
        </w:rPr>
      </w:pPr>
    </w:p>
    <w:p>
      <w:pPr>
        <w:jc w:val="both"/>
        <w:ind w:left="100" w:firstLine="864"/>
        <w:spacing w:after="0" w:line="247" w:lineRule="auto"/>
        <w:rPr>
          <w:sz w:val="20"/>
          <w:szCs w:val="20"/>
          <w:color w:val="auto"/>
        </w:rPr>
      </w:pPr>
      <w:r>
        <w:rPr>
          <w:rFonts w:ascii="Times New Roman" w:cs="Times New Roman" w:eastAsia="Times New Roman" w:hAnsi="Times New Roman"/>
          <w:sz w:val="20"/>
          <w:szCs w:val="20"/>
          <w:color w:val="auto"/>
        </w:rPr>
        <w:t xml:space="preserve">I acknowledge that I have read and understand Section 1542 of the California Civil Code which reads as follows: </w:t>
      </w:r>
      <w:r>
        <w:rPr>
          <w:rFonts w:ascii="Times New Roman" w:cs="Times New Roman" w:eastAsia="Times New Roman" w:hAnsi="Times New Roman"/>
          <w:sz w:val="20"/>
          <w:szCs w:val="20"/>
          <w:b w:val="1"/>
          <w:bCs w:val="1"/>
          <w:color w:val="auto"/>
        </w:rPr>
        <w:t>“A general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release does not extend to claims which the creditor does not know or suspect to exist in his or her favor at the time of executing the release, which if known by him or her must have materially affected his settlement with the debtor.” </w:t>
      </w:r>
      <w:r>
        <w:rPr>
          <w:rFonts w:ascii="Times New Roman" w:cs="Times New Roman" w:eastAsia="Times New Roman" w:hAnsi="Times New Roman"/>
          <w:sz w:val="20"/>
          <w:szCs w:val="20"/>
          <w:color w:val="auto"/>
        </w:rPr>
        <w:t>I hereby expressly waive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relinquish all rights and benefits under that section and any law of any jurisdiction of similar effect with respect to my release of any claims hereunder, including but not limited to my release of unknown claims.</w:t>
      </w:r>
    </w:p>
    <w:p>
      <w:pPr>
        <w:spacing w:after="0" w:line="184" w:lineRule="exact"/>
        <w:rPr>
          <w:sz w:val="20"/>
          <w:szCs w:val="20"/>
          <w:color w:val="auto"/>
        </w:rPr>
      </w:pPr>
    </w:p>
    <w:p>
      <w:pPr>
        <w:jc w:val="both"/>
        <w:ind w:left="100" w:firstLine="864"/>
        <w:spacing w:after="0" w:line="249" w:lineRule="auto"/>
        <w:rPr>
          <w:sz w:val="20"/>
          <w:szCs w:val="20"/>
          <w:color w:val="auto"/>
        </w:rPr>
      </w:pPr>
      <w:r>
        <w:rPr>
          <w:rFonts w:ascii="Times New Roman" w:cs="Times New Roman" w:eastAsia="Times New Roman" w:hAnsi="Times New Roman"/>
          <w:sz w:val="20"/>
          <w:szCs w:val="20"/>
          <w:color w:val="auto"/>
        </w:rPr>
        <w:t>I hereby represent that I have been paid or provided all salary, wages, bonuses, accrued vacation/paid time off, premiums, leaves, housing allowances, relocation costs, interest, severance, outplacement costs, fees, reimbursable expenses, commissions, stock, stock options, vesting, and any and all other benefits and compensation due to me, and I have not suffered any on-the-job injury for which I have not already filed a claim.</w:t>
      </w:r>
    </w:p>
    <w:p>
      <w:pPr>
        <w:spacing w:after="0" w:line="180" w:lineRule="exact"/>
        <w:rPr>
          <w:sz w:val="20"/>
          <w:szCs w:val="20"/>
          <w:color w:val="auto"/>
        </w:rPr>
      </w:pPr>
    </w:p>
    <w:p>
      <w:pPr>
        <w:jc w:val="both"/>
        <w:ind w:left="100" w:firstLine="864"/>
        <w:spacing w:after="0" w:line="269" w:lineRule="auto"/>
        <w:rPr>
          <w:sz w:val="20"/>
          <w:szCs w:val="20"/>
          <w:color w:val="auto"/>
        </w:rPr>
      </w:pPr>
      <w:r>
        <w:rPr>
          <w:rFonts w:ascii="Times New Roman" w:cs="Times New Roman" w:eastAsia="Times New Roman" w:hAnsi="Times New Roman"/>
          <w:sz w:val="20"/>
          <w:szCs w:val="20"/>
          <w:color w:val="auto"/>
        </w:rPr>
        <w:t>I acknowledge that to become effective, I must sign and return this Release to the Company so that it is received not later than twenty-one (21) days following the date it is provided to me.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1372870</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340"/>
          </w:cols>
          <w:pgMar w:left="220" w:top="118" w:right="339" w:bottom="1440" w:gutter="0" w:footer="0" w:header="0"/>
        </w:sectPr>
      </w:pPr>
    </w:p>
    <w:bookmarkStart w:id="78" w:name="page79"/>
    <w:bookmarkEnd w:id="78"/>
    <w:p>
      <w:pPr>
        <w:jc w:val="center"/>
        <w:ind w:left="86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C</w:t>
      </w:r>
    </w:p>
    <w:p>
      <w:pPr>
        <w:spacing w:after="0" w:line="216"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20"/>
          <w:szCs w:val="20"/>
          <w:b w:val="1"/>
          <w:bCs w:val="1"/>
          <w:color w:val="auto"/>
        </w:rPr>
        <w:t>RELEASE AGREEMENT</w:t>
      </w:r>
    </w:p>
    <w:p>
      <w:pPr>
        <w:spacing w:after="0" w:line="2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b w:val="1"/>
          <w:bCs w:val="1"/>
          <w:i w:val="1"/>
          <w:iCs w:val="1"/>
          <w:color w:val="auto"/>
        </w:rPr>
        <w:t>For Employee Under 40 Years Old in Individual or Group Termination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I understand and agree completely to the terms set forth in my Change in Control Severance Benefits Agreement (the “Agreement”) with Ambarella, Inc. (the “Company”).</w:t>
      </w:r>
    </w:p>
    <w:p>
      <w:pPr>
        <w:spacing w:after="0" w:line="15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I understand that this Release Agreement (“Release”), together with the Agreement, constitutes the complete, final and exclusive embodiment of the entire agreement between the Company and me with regard to the subject matter hereof. I am not relying on any promise or representation by the Company that is not expressly stated herein.</w:t>
      </w:r>
    </w:p>
    <w:p>
      <w:pPr>
        <w:spacing w:after="0" w:line="174"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I hereby confirm my obligations under the Company’s At-Will Employment, Confidential Information, Invention Assignment, and Arbitration Agreement (the “Confidentiality Agreement”).</w:t>
      </w:r>
    </w:p>
    <w:p>
      <w:pPr>
        <w:spacing w:after="0" w:line="159"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20"/>
          <w:szCs w:val="20"/>
          <w:color w:val="auto"/>
        </w:rPr>
        <w:t xml:space="preserve">In consideration of the severance benefits I will receive under the Agreement, I, on my behalf and on behalf of my heirs, family members, executors, agents, and assigns, hereby generally and completely release the Company and its current and former directors, officers, employees, investors, shareholders, administrators, benefit plans, plan administrators, professional employer organization or co-employer, partners, agents, attorneys, predecessors, successors, parent and subsidiary entities, insurers, affiliates, and assigns from any and all claims, liabilities and obligations, both known and unknown, that arise out of or are in any way related to events, acts, conduct, or omissions occurring prior to my signing this Release. This general release includes, but is not limited to: (a) all claims arising out of or in any way related to my employment with the Company, or the termination of that employment; (b) all claims related to my compensation or benefits from the Company, including, but not limited to,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but not limited to, claims for fraud, defamation, emotional distress, and discharge in violation of public policy; (e) all federal, state, and local statutory claims, including, but not limited to, claims for discrimination, harassment, retaliation, attorneys’ fees, or other claims arising under Title VII of the Civil Rights Act of 1964, the Civil Rights Act of 1991, the Rehabilitation Act of 1973, the Americans with Disabilities Act of 1990, the Equal Pay Act, the Fair Labor Standards Act, the Fair Credit Reporting Act, the Age Discrimination in Employment Act of 1967 (“ADEA”), the Older Workers Benefit Protection Act, the Employee Retirement Income Security Act of 1974, the Worker Adjustment and Retraining Notification Act, the Family and Medical Leave Act, the Immigration Reform and Control Act, the California Family Rights Act, the California Labor Code, the California Workers’ Compensation Act, and the California Fair Employment and Housing Act, all as amended; (f) any claim for any loss, cost, damage, or expense arising out of any dispute over the nonwithholding or other tax treatment of any of the proceeds I receive as a result of the Agreement; and (g) any and all claims for attorneys’ fees and costs;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nothing in this paragraph shall be construed in any way to release the Company from its obligation to indemnify me pursuant to a written agreement between me and the Company or applicable law.</w:t>
      </w:r>
    </w:p>
    <w:p>
      <w:pPr>
        <w:spacing w:after="0" w:line="206" w:lineRule="exact"/>
        <w:rPr>
          <w:sz w:val="20"/>
          <w:szCs w:val="20"/>
          <w:color w:val="auto"/>
        </w:rPr>
      </w:pPr>
    </w:p>
    <w:p>
      <w:pPr>
        <w:jc w:val="both"/>
        <w:ind w:firstLine="864"/>
        <w:spacing w:after="0" w:line="269" w:lineRule="auto"/>
        <w:rPr>
          <w:sz w:val="20"/>
          <w:szCs w:val="20"/>
          <w:color w:val="auto"/>
        </w:rPr>
      </w:pPr>
      <w:r>
        <w:rPr>
          <w:rFonts w:ascii="Times New Roman" w:cs="Times New Roman" w:eastAsia="Times New Roman" w:hAnsi="Times New Roman"/>
          <w:sz w:val="20"/>
          <w:szCs w:val="20"/>
          <w:color w:val="auto"/>
        </w:rPr>
        <w:t>I agree that this Release shall be and remain in effect in all respects as a complete general release as to the matters released. This Release does not extend to any obligations incurred under the Agreement. This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79" w:name="page80"/>
    <w:bookmarkEnd w:id="79"/>
    <w:p>
      <w:pPr>
        <w:jc w:val="both"/>
        <w:ind w:left="100"/>
        <w:spacing w:after="0" w:line="246" w:lineRule="auto"/>
        <w:rPr>
          <w:sz w:val="20"/>
          <w:szCs w:val="20"/>
          <w:color w:val="auto"/>
        </w:rPr>
      </w:pPr>
      <w:r>
        <w:rPr>
          <w:rFonts w:ascii="Times New Roman" w:cs="Times New Roman" w:eastAsia="Times New Roman" w:hAnsi="Times New Roman"/>
          <w:sz w:val="20"/>
          <w:szCs w:val="20"/>
          <w:color w:val="auto"/>
        </w:rPr>
        <w:t>Release does not release claims that cannot be released as a matter of law, including, but not limited to, my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me the right to recover any monetary damages against the Company, except as otherwise permitted by law; my release of claims herein bars me from recovering such monetary relief from the Company).</w:t>
      </w:r>
    </w:p>
    <w:p>
      <w:pPr>
        <w:spacing w:after="0" w:line="180" w:lineRule="exact"/>
        <w:rPr>
          <w:sz w:val="20"/>
          <w:szCs w:val="20"/>
          <w:color w:val="auto"/>
        </w:rPr>
      </w:pPr>
    </w:p>
    <w:p>
      <w:pPr>
        <w:jc w:val="both"/>
        <w:ind w:left="100" w:firstLine="864"/>
        <w:spacing w:after="0" w:line="247" w:lineRule="auto"/>
        <w:rPr>
          <w:sz w:val="20"/>
          <w:szCs w:val="20"/>
          <w:color w:val="auto"/>
        </w:rPr>
      </w:pPr>
      <w:r>
        <w:rPr>
          <w:rFonts w:ascii="Times New Roman" w:cs="Times New Roman" w:eastAsia="Times New Roman" w:hAnsi="Times New Roman"/>
          <w:sz w:val="20"/>
          <w:szCs w:val="20"/>
          <w:color w:val="auto"/>
        </w:rPr>
        <w:t xml:space="preserve">I acknowledge that I have read and understand Section 1542 of the California Civil Code which reads as follows: </w:t>
      </w:r>
      <w:r>
        <w:rPr>
          <w:rFonts w:ascii="Times New Roman" w:cs="Times New Roman" w:eastAsia="Times New Roman" w:hAnsi="Times New Roman"/>
          <w:sz w:val="20"/>
          <w:szCs w:val="20"/>
          <w:b w:val="1"/>
          <w:bCs w:val="1"/>
          <w:color w:val="auto"/>
        </w:rPr>
        <w:t>“A general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release does not extend to claims which the creditor does not know or suspect to exist in his or her favor at the time of executing the release, which if known by him or her must have materially affected his settlement with the debtor.” </w:t>
      </w:r>
      <w:r>
        <w:rPr>
          <w:rFonts w:ascii="Times New Roman" w:cs="Times New Roman" w:eastAsia="Times New Roman" w:hAnsi="Times New Roman"/>
          <w:sz w:val="20"/>
          <w:szCs w:val="20"/>
          <w:color w:val="auto"/>
        </w:rPr>
        <w:t>I hereby expressly waive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relinquish all rights and benefits under that section and any law of any jurisdiction of similar effect with respect to my release of any claims hereunder, including but not limited to my release of unknown claims.</w:t>
      </w:r>
    </w:p>
    <w:p>
      <w:pPr>
        <w:spacing w:after="0" w:line="184" w:lineRule="exact"/>
        <w:rPr>
          <w:sz w:val="20"/>
          <w:szCs w:val="20"/>
          <w:color w:val="auto"/>
        </w:rPr>
      </w:pPr>
    </w:p>
    <w:p>
      <w:pPr>
        <w:jc w:val="both"/>
        <w:ind w:left="100" w:firstLine="864"/>
        <w:spacing w:after="0" w:line="249" w:lineRule="auto"/>
        <w:rPr>
          <w:sz w:val="20"/>
          <w:szCs w:val="20"/>
          <w:color w:val="auto"/>
        </w:rPr>
      </w:pPr>
      <w:r>
        <w:rPr>
          <w:rFonts w:ascii="Times New Roman" w:cs="Times New Roman" w:eastAsia="Times New Roman" w:hAnsi="Times New Roman"/>
          <w:sz w:val="20"/>
          <w:szCs w:val="20"/>
          <w:color w:val="auto"/>
        </w:rPr>
        <w:t>I hereby represent that I have been paid or provided all salary, wages, bonuses, accrued vacation/paid time off, premiums, leaves, housing allowances, relocation costs, interest, severance, outplacement costs, fees, reimbursable expenses, commissions, stock, stock options, vesting, and any and all other benefits and compensation due to me, and I have not suffered any on-the-job injury for which I have not already filed a claim.</w:t>
      </w:r>
    </w:p>
    <w:p>
      <w:pPr>
        <w:spacing w:after="0" w:line="180" w:lineRule="exact"/>
        <w:rPr>
          <w:sz w:val="20"/>
          <w:szCs w:val="20"/>
          <w:color w:val="auto"/>
        </w:rPr>
      </w:pPr>
    </w:p>
    <w:p>
      <w:pPr>
        <w:jc w:val="both"/>
        <w:ind w:left="100" w:firstLine="864"/>
        <w:spacing w:after="0" w:line="269" w:lineRule="auto"/>
        <w:rPr>
          <w:sz w:val="20"/>
          <w:szCs w:val="20"/>
          <w:color w:val="auto"/>
        </w:rPr>
      </w:pPr>
      <w:r>
        <w:rPr>
          <w:rFonts w:ascii="Times New Roman" w:cs="Times New Roman" w:eastAsia="Times New Roman" w:hAnsi="Times New Roman"/>
          <w:sz w:val="20"/>
          <w:szCs w:val="20"/>
          <w:color w:val="auto"/>
        </w:rPr>
        <w:t>I acknowledge that to become effective, I must sign and return this Release to the Company so that it is received not later than fourteen (14) days following the date it is provided to 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340"/>
          </w:cols>
          <w:pgMar w:left="220" w:top="118"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8"/>
        <w:spacing w:after="0" w:line="266" w:lineRule="auto"/>
        <w:tabs>
          <w:tab w:leader="none" w:pos="75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8"/>
        <w:spacing w:after="0" w:line="266" w:lineRule="auto"/>
        <w:tabs>
          <w:tab w:leader="none" w:pos="76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80" w:firstLine="518"/>
        <w:spacing w:after="0" w:line="282" w:lineRule="auto"/>
        <w:tabs>
          <w:tab w:leader="none" w:pos="75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18"/>
        <w:spacing w:after="0" w:line="266" w:lineRule="auto"/>
        <w:tabs>
          <w:tab w:leader="none" w:pos="76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8"/>
        <w:spacing w:after="0" w:line="282" w:lineRule="auto"/>
        <w:tabs>
          <w:tab w:leader="none" w:pos="75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8"/>
        <w:spacing w:after="0" w:line="282" w:lineRule="auto"/>
        <w:tabs>
          <w:tab w:leader="none" w:pos="76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8, 2022</w:t>
      </w:r>
    </w:p>
    <w:p>
      <w:pPr>
        <w:spacing w:after="0" w:line="23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Feng-Ming Wang</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9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C. White, certify that:</w:t>
      </w:r>
    </w:p>
    <w:p>
      <w:pPr>
        <w:spacing w:after="0" w:line="225" w:lineRule="exact"/>
        <w:rPr>
          <w:sz w:val="20"/>
          <w:szCs w:val="20"/>
          <w:color w:val="auto"/>
        </w:rPr>
      </w:pPr>
    </w:p>
    <w:p>
      <w:pPr>
        <w:ind w:left="180" w:hanging="172"/>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8"/>
        <w:spacing w:after="0" w:line="266" w:lineRule="auto"/>
        <w:tabs>
          <w:tab w:leader="none" w:pos="75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8"/>
        <w:spacing w:after="0" w:line="266" w:lineRule="auto"/>
        <w:tabs>
          <w:tab w:leader="none" w:pos="76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80" w:firstLine="518"/>
        <w:spacing w:after="0" w:line="282" w:lineRule="auto"/>
        <w:tabs>
          <w:tab w:leader="none" w:pos="75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18"/>
        <w:spacing w:after="0" w:line="266" w:lineRule="auto"/>
        <w:tabs>
          <w:tab w:leader="none" w:pos="76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8"/>
        <w:spacing w:after="0" w:line="282" w:lineRule="auto"/>
        <w:tabs>
          <w:tab w:leader="none" w:pos="75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8"/>
        <w:spacing w:after="0" w:line="282" w:lineRule="auto"/>
        <w:tabs>
          <w:tab w:leader="none" w:pos="76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8, 2022</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Brian C.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5715</wp:posOffset>
            </wp:positionV>
            <wp:extent cx="2837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8"/>
          <w:szCs w:val="18"/>
          <w:color w:val="auto"/>
        </w:rPr>
        <w:t>Brian C. White</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Feng-Ming Wang, certify, pursuant to 18 U.S.C. Section 1350, as adopted pursuant to Section 906 of the Sarbanes-Oxley Act of 2002, that the Quarterly Report of Ambarella, Inc. on Form 10-Q for the fiscal quarter ended April 30, 2022 fully complies with the requirements of Section 13(a) or 15(d) of the Securities Exchange Act of 1934 and that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8, 2022</w:t>
      </w:r>
    </w:p>
    <w:p>
      <w:pPr>
        <w:spacing w:after="0" w:line="27" w:lineRule="exact"/>
        <w:rPr>
          <w:sz w:val="20"/>
          <w:szCs w:val="20"/>
          <w:color w:val="auto"/>
        </w:rPr>
      </w:pPr>
    </w:p>
    <w:tbl>
      <w:tblPr>
        <w:tblLayout w:type="fixed"/>
        <w:tblInd w:w="710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Feng-Ming Wang</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Feng-Ming Wang</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Brian C. White, certify, pursuant to 18 U.S.C. Section 1350, as adopted pursuant to Section 906 of the Sarbanes-Oxley Act of 2002, that the Quarterly Report of Ambarella, Inc. on Form 10-Q for the fiscal quarter ended April 30, 2022 fully complies with the requirements of Section 13(a) or 15(d) of the Securities Exchange Act of 1934 and that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8, 2022</w:t>
      </w:r>
    </w:p>
    <w:p>
      <w:pPr>
        <w:spacing w:after="0" w:line="27" w:lineRule="exact"/>
        <w:rPr>
          <w:sz w:val="20"/>
          <w:szCs w:val="20"/>
          <w:color w:val="auto"/>
        </w:rPr>
      </w:pPr>
    </w:p>
    <w:tbl>
      <w:tblPr>
        <w:tblLayout w:type="fixed"/>
        <w:tblInd w:w="710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C. White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C. White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8"/>
    </w:lvl>
  </w:abstractNum>
  <w:abstractNum w:abstractNumId="3">
    <w:nsid w:val="189A769B"/>
    <w:multiLevelType w:val="hybridMultilevel"/>
    <w:lvl w:ilvl="0">
      <w:lvlJc w:val="left"/>
      <w:lvlText w:val="%1."/>
      <w:numFmt w:val="decimal"/>
      <w:start w:val="12"/>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decimal"/>
      <w:start w:val="104"/>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lowerRoman"/>
      <w:start w:val="2"/>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9">
    <w:nsid w:val="51EAD36B"/>
    <w:multiLevelType w:val="hybridMultilevel"/>
    <w:lvl w:ilvl="0">
      <w:lvlJc w:val="left"/>
      <w:lvlText w:val="(%1)"/>
      <w:numFmt w:val="lowerLetter"/>
      <w:start w:val="2"/>
    </w:lvl>
    <w:lvl w:ilvl="1">
      <w:lvlJc w:val="left"/>
      <w:lvlText w:val="(%2)"/>
      <w:numFmt w:val="lowerRoman"/>
      <w:start w:val="1"/>
    </w:lvl>
  </w:abstractNum>
  <w:abstractNum w:abstractNumId="30">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1">
    <w:nsid w:val="580BD78F"/>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2">
    <w:nsid w:val="153EA43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3">
    <w:nsid w:val="3855585C"/>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2"/>
    </w:lvl>
  </w:abstractNum>
  <w:abstractNum w:abstractNumId="34">
    <w:nsid w:val="70A64E2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5">
    <w:nsid w:val="6A2342EC"/>
    <w:multiLevelType w:val="hybridMultilevel"/>
    <w:lvl w:ilvl="0">
      <w:lvlJc w:val="left"/>
      <w:lvlText w:val="%1"/>
      <w:numFmt w:val="decimal"/>
      <w:start w:val="1"/>
    </w:lvl>
    <w:lvl w:ilvl="1">
      <w:lvlJc w:val="left"/>
      <w:lvlText w:val="(%2)"/>
      <w:numFmt w:val="lowerLetter"/>
      <w:start w:val="2"/>
    </w:lvl>
  </w:abstractNum>
  <w:abstractNum w:abstractNumId="36">
    <w:nsid w:val="2A487CB0"/>
    <w:multiLevelType w:val="hybridMultilevel"/>
    <w:lvl w:ilvl="0">
      <w:lvlJc w:val="left"/>
      <w:lvlText w:val="%1."/>
      <w:numFmt w:val="decimal"/>
      <w:start w:val="6"/>
    </w:lvl>
    <w:lvl w:ilvl="1">
      <w:lvlJc w:val="left"/>
      <w:lvlText w:val="(%2)"/>
      <w:numFmt w:val="lowerLetter"/>
      <w:start w:val="1"/>
    </w:lvl>
  </w:abstractNum>
  <w:abstractNum w:abstractNumId="37">
    <w:nsid w:val="1D4ED43B"/>
    <w:multiLevelType w:val="hybridMultilevel"/>
    <w:lvl w:ilvl="0">
      <w:lvlJc w:val="left"/>
      <w:lvlText w:val="(%1)"/>
      <w:numFmt w:val="lowerLetter"/>
      <w:start w:val="2"/>
    </w:lvl>
  </w:abstractNum>
  <w:abstractNum w:abstractNumId="38">
    <w:nsid w:val="725A06F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9">
    <w:nsid w:val="2CD89A32"/>
    <w:multiLevelType w:val="hybridMultilevel"/>
    <w:lvl w:ilvl="0">
      <w:lvlJc w:val="left"/>
      <w:lvlText w:val="(%1)"/>
      <w:numFmt w:val="lowerLetter"/>
      <w:start w:val="2"/>
    </w:lvl>
    <w:lvl w:ilvl="1">
      <w:lvlJc w:val="left"/>
      <w:lvlText w:val="(%2)"/>
      <w:numFmt w:val="lowerRoman"/>
      <w:start w:val="1"/>
    </w:lvl>
  </w:abstractNum>
  <w:abstractNum w:abstractNumId="40">
    <w:nsid w:val="57E4CCAF"/>
    <w:multiLevelType w:val="hybridMultilevel"/>
    <w:lvl w:ilvl="0">
      <w:lvlJc w:val="left"/>
      <w:lvlText w:val="(%1)"/>
      <w:numFmt w:val="lowerLetter"/>
      <w:start w:val="3"/>
    </w:lvl>
  </w:abstractNum>
  <w:abstractNum w:abstractNumId="41">
    <w:nsid w:val="7A6D8D3C"/>
    <w:multiLevelType w:val="hybridMultilevel"/>
    <w:lvl w:ilvl="0">
      <w:lvlJc w:val="left"/>
      <w:lvlText w:val="(%1)"/>
      <w:numFmt w:val="lowerLetter"/>
      <w:start w:val="4"/>
    </w:lvl>
    <w:lvl w:ilvl="1">
      <w:lvlJc w:val="left"/>
      <w:lvlText w:val="(%2)"/>
      <w:numFmt w:val="lowerRoman"/>
      <w:start w:val="1"/>
    </w:lvl>
  </w:abstractNum>
  <w:abstractNum w:abstractNumId="42">
    <w:nsid w:val="4B588F54"/>
    <w:multiLevelType w:val="hybridMultilevel"/>
    <w:lvl w:ilvl="0">
      <w:lvlJc w:val="left"/>
      <w:lvlText w:val="(%1)"/>
      <w:numFmt w:val="lowerLetter"/>
      <w:start w:val="5"/>
    </w:lvl>
  </w:abstractNum>
  <w:abstractNum w:abstractNumId="43">
    <w:nsid w:val="542289EC"/>
    <w:multiLevelType w:val="hybridMultilevel"/>
    <w:lvl w:ilvl="0">
      <w:lvlJc w:val="left"/>
      <w:lvlText w:val="%1."/>
      <w:numFmt w:val="decimal"/>
      <w:start w:val="8"/>
    </w:lvl>
    <w:lvl w:ilvl="1">
      <w:lvlJc w:val="left"/>
      <w:lvlText w:val="(%2)"/>
      <w:numFmt w:val="lowerLetter"/>
      <w:start w:val="1"/>
    </w:lvl>
  </w:abstractNum>
  <w:abstractNum w:abstractNumId="44">
    <w:nsid w:val="6DE91B18"/>
    <w:multiLevelType w:val="hybridMultilevel"/>
    <w:lvl w:ilvl="0">
      <w:lvlJc w:val="left"/>
      <w:lvlText w:val="(%1)"/>
      <w:numFmt w:val="lowerLetter"/>
      <w:start w:val="2"/>
    </w:lvl>
  </w:abstractNum>
  <w:abstractNum w:abstractNumId="45">
    <w:nsid w:val="38437FDB"/>
    <w:multiLevelType w:val="hybridMultilevel"/>
    <w:lvl w:ilvl="0">
      <w:lvlJc w:val="left"/>
      <w:lvlText w:val="%1."/>
      <w:numFmt w:val="decimal"/>
      <w:start w:val="10"/>
    </w:lvl>
    <w:lvl w:ilvl="1">
      <w:lvlJc w:val="left"/>
      <w:lvlText w:val="(%2)"/>
      <w:numFmt w:val="lowerLetter"/>
      <w:start w:val="1"/>
    </w:lvl>
  </w:abstractNum>
  <w:abstractNum w:abstractNumId="46">
    <w:nsid w:val="7644A45C"/>
    <w:multiLevelType w:val="hybridMultilevel"/>
    <w:lvl w:ilvl="0">
      <w:lvlJc w:val="left"/>
      <w:lvlText w:val="(%1)"/>
      <w:numFmt w:val="lowerLetter"/>
      <w:start w:val="5"/>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jpe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82" Type="http://schemas.openxmlformats.org/officeDocument/2006/relationships/hyperlink" Target="http://www.sec.gov/Archives/edgar/data/0001280263/000119312512389774/d19354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2022-06-08T12:04:32Z</dcterms:created>
  <dcterms:modified xsi:type="dcterms:W3CDTF">2022-06-08T12:04:32Z</dcterms:modified>
</cp:coreProperties>
</file>