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80" w:right="160" w:hanging="559"/>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31, 2023</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580" w:right="140" w:hanging="559"/>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tbl>
      <w:tblPr>
        <w:tblLayout w:type="fixed"/>
        <w:tblInd w:w="38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Borders>
              <w:bottom w:val="single" w:sz="8" w:color="auto"/>
            </w:tcBorders>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8"/>
                <w:szCs w:val="18"/>
                <w:b w:val="1"/>
                <w:bCs w:val="1"/>
                <w:color w:val="auto"/>
              </w:rPr>
              <w:t>to</w:t>
            </w:r>
          </w:p>
        </w:tc>
      </w:tr>
      <w:tr>
        <w:trPr>
          <w:trHeight w:val="345"/>
        </w:trPr>
        <w:tc>
          <w:tcPr>
            <w:tcW w:w="3220" w:type="dxa"/>
            <w:vAlign w:val="bottom"/>
            <w:gridSpan w:val="3"/>
          </w:tcPr>
          <w:p>
            <w:pPr>
              <w:ind w:left="440"/>
              <w:spacing w:after="0"/>
              <w:rPr>
                <w:sz w:val="20"/>
                <w:szCs w:val="20"/>
                <w:color w:val="auto"/>
              </w:rPr>
            </w:pPr>
            <w:r>
              <w:rPr>
                <w:rFonts w:ascii="Arial" w:cs="Arial" w:eastAsia="Arial" w:hAnsi="Arial"/>
                <w:sz w:val="18"/>
                <w:szCs w:val="18"/>
                <w:b w:val="1"/>
                <w:bCs w:val="1"/>
                <w:color w:val="auto"/>
                <w:w w:val="89"/>
              </w:rPr>
              <w:t>Commission file number: 001-35667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AMBARELLA,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6"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5940" w:type="dxa"/>
            <w:vAlign w:val="bottom"/>
          </w:tcPr>
          <w:p>
            <w:pPr>
              <w:jc w:val="center"/>
              <w:ind w:right="3499"/>
              <w:spacing w:after="0"/>
              <w:rPr>
                <w:sz w:val="20"/>
                <w:szCs w:val="20"/>
                <w:color w:val="auto"/>
              </w:rPr>
            </w:pPr>
            <w:r>
              <w:rPr>
                <w:rFonts w:ascii="Arial" w:cs="Arial" w:eastAsia="Arial" w:hAnsi="Arial"/>
                <w:sz w:val="18"/>
                <w:szCs w:val="18"/>
                <w:b w:val="1"/>
                <w:bCs w:val="1"/>
                <w:color w:val="auto"/>
                <w:w w:val="90"/>
              </w:rPr>
              <w:t>Cayman Islands</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98-0459628</w:t>
            </w:r>
          </w:p>
        </w:tc>
      </w:tr>
      <w:tr>
        <w:trPr>
          <w:trHeight w:val="153"/>
        </w:trPr>
        <w:tc>
          <w:tcPr>
            <w:tcW w:w="5940" w:type="dxa"/>
            <w:vAlign w:val="bottom"/>
          </w:tcPr>
          <w:p>
            <w:pPr>
              <w:jc w:val="center"/>
              <w:ind w:right="3499"/>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261"/>
              <w:spacing w:after="0" w:line="153"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940" w:type="dxa"/>
            <w:vAlign w:val="bottom"/>
          </w:tcPr>
          <w:p>
            <w:pPr>
              <w:jc w:val="center"/>
              <w:ind w:right="3499"/>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5940" w:type="dxa"/>
            <w:vAlign w:val="bottom"/>
          </w:tcPr>
          <w:p>
            <w:pPr>
              <w:jc w:val="center"/>
              <w:ind w:right="3479"/>
              <w:spacing w:after="0"/>
              <w:rPr>
                <w:sz w:val="20"/>
                <w:szCs w:val="20"/>
                <w:color w:val="auto"/>
              </w:rPr>
            </w:pPr>
            <w:r>
              <w:rPr>
                <w:rFonts w:ascii="Arial" w:cs="Arial" w:eastAsia="Arial" w:hAnsi="Arial"/>
                <w:sz w:val="18"/>
                <w:szCs w:val="18"/>
                <w:b w:val="1"/>
                <w:bCs w:val="1"/>
                <w:color w:val="auto"/>
                <w:w w:val="89"/>
              </w:rPr>
              <w:t>3101 Jay Street</w:t>
            </w:r>
          </w:p>
        </w:tc>
        <w:tc>
          <w:tcPr>
            <w:tcW w:w="1500" w:type="dxa"/>
            <w:vAlign w:val="bottom"/>
          </w:tcPr>
          <w:p>
            <w:pPr>
              <w:spacing w:after="0"/>
              <w:rPr>
                <w:sz w:val="24"/>
                <w:szCs w:val="24"/>
                <w:color w:val="auto"/>
              </w:rPr>
            </w:pPr>
          </w:p>
        </w:tc>
      </w:tr>
      <w:tr>
        <w:trPr>
          <w:trHeight w:val="234"/>
        </w:trPr>
        <w:tc>
          <w:tcPr>
            <w:tcW w:w="5940" w:type="dxa"/>
            <w:vAlign w:val="bottom"/>
          </w:tcPr>
          <w:p>
            <w:pPr>
              <w:jc w:val="center"/>
              <w:ind w:right="3499"/>
              <w:spacing w:after="0"/>
              <w:rPr>
                <w:sz w:val="20"/>
                <w:szCs w:val="20"/>
                <w:color w:val="auto"/>
              </w:rPr>
            </w:pPr>
            <w:r>
              <w:rPr>
                <w:rFonts w:ascii="Arial" w:cs="Arial" w:eastAsia="Arial" w:hAnsi="Arial"/>
                <w:sz w:val="18"/>
                <w:szCs w:val="18"/>
                <w:b w:val="1"/>
                <w:bCs w:val="1"/>
                <w:color w:val="auto"/>
                <w:w w:val="93"/>
              </w:rPr>
              <w:t>Santa Clara, California</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95054</w:t>
            </w:r>
          </w:p>
        </w:tc>
      </w:tr>
      <w:tr>
        <w:trPr>
          <w:trHeight w:val="190"/>
        </w:trPr>
        <w:tc>
          <w:tcPr>
            <w:tcW w:w="5940" w:type="dxa"/>
            <w:vAlign w:val="bottom"/>
          </w:tcPr>
          <w:p>
            <w:pPr>
              <w:jc w:val="center"/>
              <w:ind w:right="34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5940" w:type="dxa"/>
            <w:vAlign w:val="bottom"/>
          </w:tcPr>
          <w:p>
            <w:pPr>
              <w:jc w:val="right"/>
              <w:ind w:right="1339"/>
              <w:spacing w:after="0"/>
              <w:rPr>
                <w:sz w:val="20"/>
                <w:szCs w:val="20"/>
                <w:color w:val="auto"/>
              </w:rPr>
            </w:pPr>
            <w:r>
              <w:rPr>
                <w:rFonts w:ascii="Arial" w:cs="Arial" w:eastAsia="Arial" w:hAnsi="Arial"/>
                <w:sz w:val="18"/>
                <w:szCs w:val="18"/>
                <w:b w:val="1"/>
                <w:bCs w:val="1"/>
                <w:color w:val="auto"/>
              </w:rPr>
              <w:t>(408) 734-8888</w:t>
            </w:r>
          </w:p>
        </w:tc>
        <w:tc>
          <w:tcPr>
            <w:tcW w:w="1500" w:type="dxa"/>
            <w:vAlign w:val="bottom"/>
          </w:tcPr>
          <w:p>
            <w:pPr>
              <w:spacing w:after="0"/>
              <w:rPr>
                <w:sz w:val="24"/>
                <w:szCs w:val="24"/>
                <w:color w:val="auto"/>
              </w:rPr>
            </w:pPr>
          </w:p>
        </w:tc>
      </w:tr>
      <w:tr>
        <w:trPr>
          <w:trHeight w:val="186"/>
        </w:trPr>
        <w:tc>
          <w:tcPr>
            <w:tcW w:w="5940" w:type="dxa"/>
            <w:vAlign w:val="bottom"/>
          </w:tcPr>
          <w:p>
            <w:pPr>
              <w:jc w:val="center"/>
              <w:ind w:left="189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11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-130175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2" w:lineRule="exact"/>
        <w:rPr>
          <w:sz w:val="24"/>
          <w:szCs w:val="24"/>
          <w:color w:val="auto"/>
        </w:rPr>
      </w:pPr>
    </w:p>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4"/>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Ordinary Shares, $0.00045 Par Value Per Share</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AMBA</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40" w:lineRule="exact"/>
        <w:rPr>
          <w:sz w:val="24"/>
          <w:szCs w:val="24"/>
          <w:color w:val="auto"/>
        </w:rPr>
      </w:pPr>
    </w:p>
    <w:p>
      <w:pPr>
        <w:ind w:right="30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ind w:right="12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ind w:right="3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3"/>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66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6"/>
        </w:trPr>
        <w:tc>
          <w:tcPr>
            <w:tcW w:w="23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4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1580"/>
        <w:spacing w:after="0" w:line="26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ordinary shares of the Registrant outstanding as of August 31, 2023 was 39,878,231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416560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83"/>
              </w:rPr>
              <w:t>Page</w:t>
            </w:r>
          </w:p>
        </w:tc>
      </w:tr>
      <w:tr>
        <w:trPr>
          <w:trHeight w:val="466"/>
        </w:trPr>
        <w:tc>
          <w:tcPr>
            <w:tcW w:w="9820" w:type="dxa"/>
            <w:vAlign w:val="bottom"/>
            <w:gridSpan w:val="22"/>
          </w:tcPr>
          <w:p>
            <w:pPr>
              <w:spacing w:after="0"/>
              <w:rPr>
                <w:sz w:val="20"/>
                <w:szCs w:val="20"/>
                <w:color w:val="auto"/>
              </w:rPr>
            </w:pPr>
            <w:r>
              <w:rPr>
                <w:rFonts w:ascii="Arial" w:cs="Arial" w:eastAsia="Arial" w:hAnsi="Arial"/>
                <w:sz w:val="18"/>
                <w:szCs w:val="18"/>
                <w:b w:val="1"/>
                <w:bCs w:val="1"/>
                <w:color w:val="0000FF"/>
              </w:rPr>
              <w:t>PART I. FINANCIAL INFORMATION</w:t>
            </w:r>
          </w:p>
        </w:tc>
        <w:tc>
          <w:tcPr>
            <w:tcW w:w="720" w:type="dxa"/>
            <w:vAlign w:val="bottom"/>
            <w:gridSpan w:val="2"/>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9060" w:type="dxa"/>
            <w:vAlign w:val="bottom"/>
            <w:gridSpan w:val="21"/>
          </w:tcPr>
          <w:p>
            <w:pPr>
              <w:spacing w:after="0"/>
              <w:rPr>
                <w:sz w:val="20"/>
                <w:szCs w:val="20"/>
                <w:color w:val="auto"/>
              </w:rPr>
            </w:pPr>
            <w:r>
              <w:rPr>
                <w:rFonts w:ascii="Arial" w:cs="Arial" w:eastAsia="Arial" w:hAnsi="Arial"/>
                <w:sz w:val="18"/>
                <w:szCs w:val="18"/>
                <w:color w:val="0000FF"/>
              </w:rPr>
              <w:t>Financial Statements</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65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8"/>
              </w:rPr>
              <w:t>Unaudited Condensed Consolidated Balance Sheets at July 31, 2023 and January 31, 2023</w:t>
            </w:r>
          </w:p>
        </w:tc>
        <w:tc>
          <w:tcPr>
            <w:tcW w:w="20" w:type="dxa"/>
            <w:vAlign w:val="bottom"/>
            <w:tcBorders>
              <w:bottom w:val="single" w:sz="8" w:color="0000EE"/>
            </w:tcBorders>
          </w:tcPr>
          <w:p>
            <w:pPr>
              <w:spacing w:after="0"/>
              <w:rPr>
                <w:sz w:val="24"/>
                <w:szCs w:val="24"/>
                <w:color w:val="auto"/>
              </w:rPr>
            </w:pPr>
          </w:p>
        </w:tc>
        <w:tc>
          <w:tcPr>
            <w:tcW w:w="2540" w:type="dxa"/>
            <w:vAlign w:val="bottom"/>
            <w:gridSpan w:val="4"/>
          </w:tcPr>
          <w:p>
            <w:pPr>
              <w:spacing w:after="0"/>
              <w:rPr>
                <w:sz w:val="24"/>
                <w:szCs w:val="24"/>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3</w:t>
            </w:r>
          </w:p>
        </w:tc>
      </w:tr>
      <w:tr>
        <w:trPr>
          <w:trHeight w:val="372"/>
        </w:trPr>
        <w:tc>
          <w:tcPr>
            <w:tcW w:w="760" w:type="dxa"/>
            <w:vAlign w:val="bottom"/>
          </w:tcPr>
          <w:p>
            <w:pPr>
              <w:spacing w:after="0"/>
              <w:rPr>
                <w:sz w:val="24"/>
                <w:szCs w:val="24"/>
                <w:color w:val="auto"/>
              </w:rPr>
            </w:pPr>
          </w:p>
        </w:tc>
        <w:tc>
          <w:tcPr>
            <w:tcW w:w="870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9"/>
              </w:rPr>
              <w:t>Unaudited Condensed Consolidated Statements of Operations for the three and six months ended July 31, 2023 and 2022</w:t>
            </w:r>
          </w:p>
        </w:tc>
        <w:tc>
          <w:tcPr>
            <w:tcW w:w="20" w:type="dxa"/>
            <w:vAlign w:val="bottom"/>
            <w:tcBorders>
              <w:bottom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4</w:t>
            </w:r>
          </w:p>
        </w:tc>
      </w:tr>
      <w:tr>
        <w:trPr>
          <w:trHeight w:val="371"/>
        </w:trPr>
        <w:tc>
          <w:tcPr>
            <w:tcW w:w="760" w:type="dxa"/>
            <w:vAlign w:val="bottom"/>
          </w:tcPr>
          <w:p>
            <w:pPr>
              <w:spacing w:after="0"/>
              <w:rPr>
                <w:sz w:val="24"/>
                <w:szCs w:val="24"/>
                <w:color w:val="auto"/>
              </w:rPr>
            </w:pPr>
          </w:p>
        </w:tc>
        <w:tc>
          <w:tcPr>
            <w:tcW w:w="906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89"/>
              </w:rPr>
              <w:t>Unaudited Condensed Consolidated Statements of Comprehensive Loss for the three and six months ended July 31, 2023 and</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0000FF"/>
                <w:w w:val="79"/>
              </w:rPr>
              <w:t>2022</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71"/>
        </w:trPr>
        <w:tc>
          <w:tcPr>
            <w:tcW w:w="760" w:type="dxa"/>
            <w:vAlign w:val="bottom"/>
          </w:tcPr>
          <w:p>
            <w:pPr>
              <w:spacing w:after="0"/>
              <w:rPr>
                <w:sz w:val="24"/>
                <w:szCs w:val="24"/>
                <w:color w:val="auto"/>
              </w:rPr>
            </w:pPr>
          </w:p>
        </w:tc>
        <w:tc>
          <w:tcPr>
            <w:tcW w:w="906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89"/>
              </w:rPr>
              <w:t>Unaudited Condensed Consolidated Statements of Shareholders’ Equity for the three and six months ended July 31, 2023 and</w:t>
            </w:r>
          </w:p>
        </w:tc>
        <w:tc>
          <w:tcPr>
            <w:tcW w:w="20" w:type="dxa"/>
            <w:vAlign w:val="bottom"/>
            <w:tcBorders>
              <w:bottom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34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79"/>
              </w:rPr>
              <w:t>2022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6</w:t>
            </w:r>
          </w:p>
        </w:tc>
      </w:tr>
      <w:tr>
        <w:trPr>
          <w:trHeight w:val="371"/>
        </w:trPr>
        <w:tc>
          <w:tcPr>
            <w:tcW w:w="760" w:type="dxa"/>
            <w:vAlign w:val="bottom"/>
          </w:tcPr>
          <w:p>
            <w:pPr>
              <w:spacing w:after="0"/>
              <w:rPr>
                <w:sz w:val="24"/>
                <w:szCs w:val="24"/>
                <w:color w:val="auto"/>
              </w:rPr>
            </w:pPr>
          </w:p>
        </w:tc>
        <w:tc>
          <w:tcPr>
            <w:tcW w:w="9060" w:type="dxa"/>
            <w:vAlign w:val="bottom"/>
            <w:gridSpan w:val="21"/>
          </w:tcPr>
          <w:p>
            <w:pPr>
              <w:spacing w:after="0"/>
              <w:rPr>
                <w:sz w:val="20"/>
                <w:szCs w:val="20"/>
                <w:color w:val="auto"/>
              </w:rPr>
            </w:pPr>
            <w:r>
              <w:rPr>
                <w:rFonts w:ascii="Arial" w:cs="Arial" w:eastAsia="Arial" w:hAnsi="Arial"/>
                <w:sz w:val="18"/>
                <w:szCs w:val="18"/>
                <w:color w:val="0000FF"/>
              </w:rPr>
              <w:t>Unaudited Condensed Consolidated Statements of Cash Flows for the six months ended July 31, 2023 and 2022</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7</w:t>
            </w:r>
          </w:p>
        </w:tc>
      </w:tr>
      <w:tr>
        <w:trPr>
          <w:trHeight w:val="372"/>
        </w:trPr>
        <w:tc>
          <w:tcPr>
            <w:tcW w:w="760" w:type="dxa"/>
            <w:vAlign w:val="bottom"/>
          </w:tcPr>
          <w:p>
            <w:pPr>
              <w:spacing w:after="0"/>
              <w:rPr>
                <w:sz w:val="24"/>
                <w:szCs w:val="24"/>
                <w:color w:val="auto"/>
              </w:rPr>
            </w:pPr>
          </w:p>
        </w:tc>
        <w:tc>
          <w:tcPr>
            <w:tcW w:w="478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89"/>
              </w:rPr>
              <w:t>Notes to Unaudited Condensed Consolidated Financial Statements</w:t>
            </w:r>
          </w:p>
        </w:tc>
        <w:tc>
          <w:tcPr>
            <w:tcW w:w="20" w:type="dxa"/>
            <w:vAlign w:val="bottom"/>
            <w:tcBorders>
              <w:top w:val="single" w:sz="8" w:color="0000FF"/>
              <w:bottom w:val="single" w:sz="8" w:color="0000EE"/>
            </w:tcBorders>
          </w:tcPr>
          <w:p>
            <w:pPr>
              <w:spacing w:after="0"/>
              <w:rPr>
                <w:sz w:val="24"/>
                <w:szCs w:val="24"/>
                <w:color w:val="auto"/>
              </w:rPr>
            </w:pPr>
          </w:p>
        </w:tc>
        <w:tc>
          <w:tcPr>
            <w:tcW w:w="3240" w:type="dxa"/>
            <w:vAlign w:val="bottom"/>
            <w:tcBorders>
              <w:top w:val="single" w:sz="8" w:color="0000FF"/>
            </w:tcBorders>
            <w:gridSpan w:val="4"/>
          </w:tcPr>
          <w:p>
            <w:pPr>
              <w:spacing w:after="0"/>
              <w:rPr>
                <w:sz w:val="24"/>
                <w:szCs w:val="24"/>
                <w:color w:val="auto"/>
              </w:rPr>
            </w:pPr>
          </w:p>
        </w:tc>
        <w:tc>
          <w:tcPr>
            <w:tcW w:w="1020" w:type="dxa"/>
            <w:vAlign w:val="bottom"/>
            <w:gridSpan w:val="3"/>
          </w:tcPr>
          <w:p>
            <w:pPr>
              <w:spacing w:after="0"/>
              <w:rPr>
                <w:sz w:val="24"/>
                <w:szCs w:val="24"/>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8</w:t>
            </w: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906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19</w:t>
            </w: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620" w:type="dxa"/>
            <w:vAlign w:val="bottom"/>
            <w:gridSpan w:val="6"/>
          </w:tcPr>
          <w:p>
            <w:pPr>
              <w:spacing w:after="0"/>
              <w:rPr>
                <w:sz w:val="24"/>
                <w:szCs w:val="24"/>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28</w:t>
            </w:r>
          </w:p>
        </w:tc>
      </w:tr>
      <w:tr>
        <w:trPr>
          <w:trHeight w:val="371"/>
        </w:trPr>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87"/>
              </w:rPr>
              <w:t>Controls and Procedures</w:t>
            </w:r>
          </w:p>
        </w:tc>
        <w:tc>
          <w:tcPr>
            <w:tcW w:w="20" w:type="dxa"/>
            <w:vAlign w:val="bottom"/>
            <w:tcBorders>
              <w:top w:val="single" w:sz="8" w:color="0000FF"/>
              <w:bottom w:val="single" w:sz="8" w:color="0000EE"/>
            </w:tcBorders>
          </w:tcPr>
          <w:p>
            <w:pPr>
              <w:spacing w:after="0"/>
              <w:rPr>
                <w:sz w:val="24"/>
                <w:szCs w:val="24"/>
                <w:color w:val="auto"/>
              </w:rPr>
            </w:pPr>
          </w:p>
        </w:tc>
        <w:tc>
          <w:tcPr>
            <w:tcW w:w="2560" w:type="dxa"/>
            <w:vAlign w:val="bottom"/>
            <w:tcBorders>
              <w:top w:val="single" w:sz="8" w:color="0000FF"/>
            </w:tcBorders>
            <w:gridSpan w:val="3"/>
          </w:tcPr>
          <w:p>
            <w:pPr>
              <w:spacing w:after="0"/>
              <w:rPr>
                <w:sz w:val="24"/>
                <w:szCs w:val="24"/>
                <w:color w:val="auto"/>
              </w:rPr>
            </w:pPr>
          </w:p>
        </w:tc>
        <w:tc>
          <w:tcPr>
            <w:tcW w:w="4720" w:type="dxa"/>
            <w:vAlign w:val="bottom"/>
            <w:gridSpan w:val="9"/>
          </w:tcPr>
          <w:p>
            <w:pPr>
              <w:spacing w:after="0"/>
              <w:rPr>
                <w:sz w:val="24"/>
                <w:szCs w:val="24"/>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29</w:t>
            </w:r>
          </w:p>
        </w:tc>
      </w:tr>
      <w:tr>
        <w:trPr>
          <w:trHeight w:val="493"/>
        </w:trPr>
        <w:tc>
          <w:tcPr>
            <w:tcW w:w="9820" w:type="dxa"/>
            <w:vAlign w:val="bottom"/>
            <w:gridSpan w:val="22"/>
          </w:tcPr>
          <w:p>
            <w:pPr>
              <w:spacing w:after="0"/>
              <w:rPr>
                <w:sz w:val="20"/>
                <w:szCs w:val="20"/>
                <w:color w:val="auto"/>
              </w:rPr>
            </w:pPr>
            <w:r>
              <w:rPr>
                <w:rFonts w:ascii="Arial" w:cs="Arial" w:eastAsia="Arial" w:hAnsi="Arial"/>
                <w:sz w:val="18"/>
                <w:szCs w:val="18"/>
                <w:b w:val="1"/>
                <w:bCs w:val="1"/>
                <w:color w:val="0000FF"/>
              </w:rPr>
              <w:t>PART II. OTHER INFORMATION</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7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7060" w:type="dxa"/>
            <w:vAlign w:val="bottom"/>
            <w:gridSpan w:val="11"/>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7"/>
              </w:rPr>
              <w:t>Legal Proceedings</w:t>
            </w:r>
          </w:p>
        </w:tc>
        <w:tc>
          <w:tcPr>
            <w:tcW w:w="7740" w:type="dxa"/>
            <w:vAlign w:val="bottom"/>
            <w:gridSpan w:val="15"/>
          </w:tcPr>
          <w:p>
            <w:pPr>
              <w:spacing w:after="0"/>
              <w:rPr>
                <w:sz w:val="24"/>
                <w:szCs w:val="24"/>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29</w:t>
            </w:r>
          </w:p>
        </w:tc>
      </w:tr>
      <w:tr>
        <w:trPr>
          <w:trHeight w:val="371"/>
        </w:trPr>
        <w:tc>
          <w:tcPr>
            <w:tcW w:w="760" w:type="dxa"/>
            <w:vAlign w:val="bottom"/>
          </w:tcPr>
          <w:p>
            <w:pPr>
              <w:spacing w:after="0"/>
              <w:rPr>
                <w:sz w:val="20"/>
                <w:szCs w:val="20"/>
                <w:color w:val="auto"/>
              </w:rPr>
            </w:pPr>
            <w:r>
              <w:rPr>
                <w:rFonts w:ascii="Arial" w:cs="Arial" w:eastAsia="Arial" w:hAnsi="Arial"/>
                <w:sz w:val="18"/>
                <w:szCs w:val="18"/>
                <w:color w:val="auto"/>
              </w:rPr>
              <w:t>Item 1A.</w:t>
            </w:r>
          </w:p>
        </w:tc>
        <w:tc>
          <w:tcPr>
            <w:tcW w:w="906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760" w:type="dxa"/>
            <w:vAlign w:val="bottom"/>
            <w:gridSpan w:val="16"/>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Item 5.</w:t>
            </w:r>
          </w:p>
        </w:tc>
        <w:tc>
          <w:tcPr>
            <w:tcW w:w="13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Other Information</w:t>
            </w:r>
          </w:p>
        </w:tc>
        <w:tc>
          <w:tcPr>
            <w:tcW w:w="7760" w:type="dxa"/>
            <w:vAlign w:val="bottom"/>
            <w:gridSpan w:val="16"/>
          </w:tcPr>
          <w:p>
            <w:pPr>
              <w:spacing w:after="0"/>
              <w:rPr>
                <w:sz w:val="24"/>
                <w:szCs w:val="24"/>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58</w:t>
            </w:r>
          </w:p>
        </w:tc>
      </w:tr>
      <w:tr>
        <w:trPr>
          <w:trHeight w:val="466"/>
        </w:trPr>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9060" w:type="dxa"/>
            <w:vAlign w:val="bottom"/>
            <w:gridSpan w:val="21"/>
          </w:tcPr>
          <w:p>
            <w:pPr>
              <w:spacing w:after="0"/>
              <w:rPr>
                <w:sz w:val="20"/>
                <w:szCs w:val="20"/>
                <w:color w:val="auto"/>
              </w:rPr>
            </w:pPr>
            <w:r>
              <w:rPr>
                <w:rFonts w:ascii="Arial" w:cs="Arial" w:eastAsia="Arial" w:hAnsi="Arial"/>
                <w:sz w:val="18"/>
                <w:szCs w:val="18"/>
                <w:color w:val="0000FF"/>
              </w:rPr>
              <w:t>Exhibits</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8480" w:type="dxa"/>
            <w:vAlign w:val="bottom"/>
            <w:gridSpan w:val="18"/>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r>
      <w:tr>
        <w:trPr>
          <w:trHeight w:val="371"/>
        </w:trPr>
        <w:tc>
          <w:tcPr>
            <w:tcW w:w="9820" w:type="dxa"/>
            <w:vAlign w:val="bottom"/>
            <w:gridSpan w:val="22"/>
          </w:tcPr>
          <w:p>
            <w:pPr>
              <w:spacing w:after="0"/>
              <w:rPr>
                <w:sz w:val="20"/>
                <w:szCs w:val="20"/>
                <w:color w:val="auto"/>
              </w:rPr>
            </w:pPr>
            <w:r>
              <w:rPr>
                <w:rFonts w:ascii="Arial" w:cs="Arial" w:eastAsia="Arial" w:hAnsi="Arial"/>
                <w:sz w:val="18"/>
                <w:szCs w:val="18"/>
                <w:color w:val="0000FF"/>
              </w:rPr>
              <w:t>Signatures</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7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7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July 31,</w:t>
            </w:r>
          </w:p>
        </w:tc>
        <w:tc>
          <w:tcPr>
            <w:tcW w:w="24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January 31,</w:t>
            </w:r>
          </w:p>
        </w:tc>
      </w:tr>
      <w:tr>
        <w:trPr>
          <w:trHeight w:val="228"/>
        </w:trPr>
        <w:tc>
          <w:tcPr>
            <w:tcW w:w="7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122,515</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113,541</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Marketable debt securities</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93,997</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93,322</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30,158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51,987</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34,770</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40,486</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r>
      <w:tr>
        <w:trPr>
          <w:trHeight w:val="24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5,199</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7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286,647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304,632</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11,246</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11,814</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Deferred tax assets, non-current</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22,184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19,276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63,121</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58,497</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6,626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8,339</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303,625</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303,625</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4,012</w:t>
            </w:r>
          </w:p>
        </w:tc>
        <w:tc>
          <w:tcPr>
            <w:tcW w:w="100" w:type="dxa"/>
            <w:vAlign w:val="bottom"/>
          </w:tcPr>
          <w:p>
            <w:pPr>
              <w:spacing w:after="0"/>
              <w:rPr>
                <w:sz w:val="21"/>
                <w:szCs w:val="21"/>
                <w:color w:val="auto"/>
              </w:rPr>
            </w:pPr>
          </w:p>
        </w:tc>
      </w:tr>
      <w:tr>
        <w:trPr>
          <w:trHeight w:val="277"/>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696,244</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710,195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11,943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17,845</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and other current liabilities</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54,032</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56,655</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Operating lease liabilities, current</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3,548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2,458</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Deferred revenue, current</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1"/>
                <w:szCs w:val="21"/>
                <w:color w:val="auto"/>
              </w:rPr>
            </w:pPr>
          </w:p>
        </w:tc>
      </w:tr>
      <w:tr>
        <w:trPr>
          <w:trHeight w:val="236"/>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74,690</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83,462</w:t>
            </w:r>
          </w:p>
        </w:tc>
        <w:tc>
          <w:tcPr>
            <w:tcW w:w="100" w:type="dxa"/>
            <w:vAlign w:val="bottom"/>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3,216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5,097</w:t>
            </w:r>
          </w:p>
        </w:tc>
        <w:tc>
          <w:tcPr>
            <w:tcW w:w="100" w:type="dxa"/>
            <w:vAlign w:val="bottom"/>
          </w:tcPr>
          <w:p>
            <w:pPr>
              <w:spacing w:after="0"/>
              <w:rPr>
                <w:sz w:val="20"/>
                <w:szCs w:val="20"/>
                <w:color w:val="auto"/>
              </w:rPr>
            </w:pPr>
          </w:p>
        </w:tc>
      </w:tr>
      <w:tr>
        <w:trPr>
          <w:trHeight w:val="24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16,020</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93,926</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104,107</w:t>
            </w:r>
          </w:p>
        </w:tc>
        <w:tc>
          <w:tcPr>
            <w:tcW w:w="100" w:type="dxa"/>
            <w:vAlign w:val="bottom"/>
          </w:tcPr>
          <w:p>
            <w:pPr>
              <w:spacing w:after="0"/>
              <w:rPr>
                <w:sz w:val="20"/>
                <w:szCs w:val="20"/>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13)</w:t>
            </w: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2"/>
              </w:rPr>
              <w:t>Preference shares, $0.00045 par value per share, 20,000,000 shares authorized and no shares issued</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and outstanding at July 31, 2023 and January 31, 2023, respectively</w:t>
            </w: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40" w:type="dxa"/>
            <w:vAlign w:val="bottom"/>
          </w:tcPr>
          <w:p>
            <w:pPr>
              <w:ind w:left="200"/>
              <w:spacing w:after="0"/>
              <w:rPr>
                <w:sz w:val="20"/>
                <w:szCs w:val="20"/>
                <w:color w:val="auto"/>
              </w:rPr>
            </w:pPr>
            <w:r>
              <w:rPr>
                <w:rFonts w:ascii="Arial" w:cs="Arial" w:eastAsia="Arial" w:hAnsi="Arial"/>
                <w:sz w:val="18"/>
                <w:szCs w:val="18"/>
                <w:color w:val="auto"/>
                <w:w w:val="98"/>
              </w:rPr>
              <w:t>Ordinary shares, $0.00045 par value per share, 200,000,000 shares authorized; 39,870,771 and</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w w:val="99"/>
              </w:rPr>
              <w:t>39,043,000 shares issued and outstanding at July 31, 2023 and January 31, 2023, respectively</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r>
      <w:tr>
        <w:trPr>
          <w:trHeight w:val="250"/>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635,844</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572,076</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(930 )</w:t>
            </w:r>
          </w:p>
        </w:tc>
        <w:tc>
          <w:tcPr>
            <w:tcW w:w="24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(492 )</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Retained earnings (accumulated deficit)</w:t>
            </w: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(32,614 )</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34,486</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602,318</w:t>
            </w:r>
          </w:p>
        </w:tc>
        <w:tc>
          <w:tcPr>
            <w:tcW w:w="3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606,088</w:t>
            </w:r>
          </w:p>
        </w:tc>
        <w:tc>
          <w:tcPr>
            <w:tcW w:w="100" w:type="dxa"/>
            <w:vAlign w:val="bottom"/>
            <w:tcBorders>
              <w:top w:val="single" w:sz="8" w:color="CFF0FC"/>
            </w:tcBorders>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696,244</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710,195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-4705350</wp:posOffset>
            </wp:positionV>
            <wp:extent cx="6858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-4705350</wp:posOffset>
            </wp:positionV>
            <wp:extent cx="6858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-3453765</wp:posOffset>
            </wp:positionV>
            <wp:extent cx="122555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25550" cy="18034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-1876425</wp:posOffset>
            </wp:positionV>
            <wp:extent cx="685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-351155</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jc w:val="right"/>
              <w:ind w:right="470"/>
              <w:spacing w:after="0"/>
              <w:rPr>
                <w:sz w:val="20"/>
                <w:szCs w:val="20"/>
                <w:color w:val="auto"/>
              </w:rPr>
            </w:pPr>
            <w:r>
              <w:rPr>
                <w:rFonts w:ascii="Arial" w:cs="Arial" w:eastAsia="Arial" w:hAnsi="Arial"/>
                <w:sz w:val="14"/>
                <w:szCs w:val="14"/>
                <w:b w:val="1"/>
                <w:bCs w:val="1"/>
                <w:color w:val="auto"/>
              </w:rPr>
              <w:t>Three Months Ended July 31,</w:t>
            </w:r>
          </w:p>
        </w:tc>
        <w:tc>
          <w:tcPr>
            <w:tcW w:w="180" w:type="dxa"/>
            <w:vAlign w:val="bottom"/>
          </w:tcPr>
          <w:p>
            <w:pPr>
              <w:spacing w:after="0"/>
              <w:rPr>
                <w:sz w:val="16"/>
                <w:szCs w:val="16"/>
                <w:color w:val="auto"/>
              </w:rPr>
            </w:pPr>
          </w:p>
        </w:tc>
        <w:tc>
          <w:tcPr>
            <w:tcW w:w="2320" w:type="dxa"/>
            <w:vAlign w:val="bottom"/>
            <w:gridSpan w:val="5"/>
          </w:tcPr>
          <w:p>
            <w:pPr>
              <w:jc w:val="right"/>
              <w:ind w:right="401"/>
              <w:spacing w:after="0"/>
              <w:rPr>
                <w:sz w:val="20"/>
                <w:szCs w:val="20"/>
                <w:color w:val="auto"/>
              </w:rPr>
            </w:pPr>
            <w:r>
              <w:rPr>
                <w:rFonts w:ascii="Arial" w:cs="Arial" w:eastAsia="Arial" w:hAnsi="Arial"/>
                <w:sz w:val="14"/>
                <w:szCs w:val="14"/>
                <w:b w:val="1"/>
                <w:bCs w:val="1"/>
                <w:color w:val="auto"/>
              </w:rPr>
              <w:t>Six Months Ended July 31,</w:t>
            </w:r>
          </w:p>
        </w:tc>
      </w:tr>
      <w:tr>
        <w:trPr>
          <w:trHeight w:val="183"/>
        </w:trPr>
        <w:tc>
          <w:tcPr>
            <w:tcW w:w="60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37"/>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62,121</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80,884</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124,263</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171,189</w:t>
            </w:r>
          </w:p>
        </w:tc>
        <w:tc>
          <w:tcPr>
            <w:tcW w:w="100" w:type="dxa"/>
            <w:vAlign w:val="bottom"/>
            <w:shd w:val="clear" w:color="auto" w:fill="CFF0FC"/>
          </w:tcPr>
          <w:p>
            <w:pPr>
              <w:spacing w:after="0"/>
              <w:rPr>
                <w:sz w:val="20"/>
                <w:szCs w:val="20"/>
                <w:color w:val="auto"/>
              </w:rPr>
            </w:pPr>
          </w:p>
        </w:tc>
      </w:tr>
      <w:tr>
        <w:trPr>
          <w:trHeight w:val="257"/>
        </w:trPr>
        <w:tc>
          <w:tcPr>
            <w:tcW w:w="60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23,659</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29,820</w:t>
            </w:r>
          </w:p>
        </w:tc>
        <w:tc>
          <w:tcPr>
            <w:tcW w:w="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48,282</w:t>
            </w:r>
          </w:p>
        </w:tc>
        <w:tc>
          <w:tcPr>
            <w:tcW w:w="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63,578</w:t>
            </w:r>
          </w:p>
        </w:tc>
        <w:tc>
          <w:tcPr>
            <w:tcW w:w="100" w:type="dxa"/>
            <w:vAlign w:val="bottom"/>
          </w:tcPr>
          <w:p>
            <w:pPr>
              <w:spacing w:after="0"/>
              <w:rPr>
                <w:sz w:val="22"/>
                <w:szCs w:val="22"/>
                <w:color w:val="auto"/>
              </w:rPr>
            </w:pPr>
          </w:p>
        </w:tc>
      </w:tr>
      <w:tr>
        <w:trPr>
          <w:trHeight w:val="236"/>
        </w:trPr>
        <w:tc>
          <w:tcPr>
            <w:tcW w:w="6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38,462</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51,064</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75,981</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107,611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57"/>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6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54,917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52,338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109,358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99,028</w:t>
            </w:r>
          </w:p>
        </w:tc>
        <w:tc>
          <w:tcPr>
            <w:tcW w:w="100" w:type="dxa"/>
            <w:vAlign w:val="bottom"/>
            <w:shd w:val="clear" w:color="auto" w:fill="CFF0FC"/>
          </w:tcPr>
          <w:p>
            <w:pPr>
              <w:spacing w:after="0"/>
              <w:rPr>
                <w:sz w:val="21"/>
                <w:szCs w:val="21"/>
                <w:color w:val="auto"/>
              </w:rPr>
            </w:pPr>
          </w:p>
        </w:tc>
      </w:tr>
      <w:tr>
        <w:trPr>
          <w:trHeight w:val="257"/>
        </w:trPr>
        <w:tc>
          <w:tcPr>
            <w:tcW w:w="60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18,884</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18,914</w:t>
            </w:r>
          </w:p>
        </w:tc>
        <w:tc>
          <w:tcPr>
            <w:tcW w:w="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37,504</w:t>
            </w:r>
          </w:p>
        </w:tc>
        <w:tc>
          <w:tcPr>
            <w:tcW w:w="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39,269</w:t>
            </w:r>
          </w:p>
        </w:tc>
        <w:tc>
          <w:tcPr>
            <w:tcW w:w="100" w:type="dxa"/>
            <w:vAlign w:val="bottom"/>
          </w:tcPr>
          <w:p>
            <w:pPr>
              <w:spacing w:after="0"/>
              <w:rPr>
                <w:sz w:val="22"/>
                <w:szCs w:val="22"/>
                <w:color w:val="auto"/>
              </w:rPr>
            </w:pPr>
          </w:p>
        </w:tc>
      </w:tr>
      <w:tr>
        <w:trPr>
          <w:trHeight w:val="237"/>
        </w:trPr>
        <w:tc>
          <w:tcPr>
            <w:tcW w:w="6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73,801</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71,252</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146,862</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57"/>
        </w:trPr>
        <w:tc>
          <w:tcPr>
            <w:tcW w:w="60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22"/>
                <w:szCs w:val="22"/>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(35,339 )</w:t>
            </w:r>
          </w:p>
        </w:tc>
        <w:tc>
          <w:tcPr>
            <w:tcW w:w="180" w:type="dxa"/>
            <w:vAlign w:val="bottom"/>
          </w:tcPr>
          <w:p>
            <w:pPr>
              <w:spacing w:after="0"/>
              <w:rPr>
                <w:sz w:val="22"/>
                <w:szCs w:val="22"/>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(20,188 )</w:t>
            </w:r>
          </w:p>
        </w:tc>
        <w:tc>
          <w:tcPr>
            <w:tcW w:w="180" w:type="dxa"/>
            <w:vAlign w:val="bottom"/>
          </w:tcPr>
          <w:p>
            <w:pPr>
              <w:spacing w:after="0"/>
              <w:rPr>
                <w:sz w:val="22"/>
                <w:szCs w:val="22"/>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(70,881 )</w:t>
            </w:r>
          </w:p>
        </w:tc>
        <w:tc>
          <w:tcPr>
            <w:tcW w:w="18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(30,686 )</w:t>
            </w:r>
          </w:p>
        </w:tc>
      </w:tr>
      <w:tr>
        <w:trPr>
          <w:trHeight w:val="250"/>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(26 )</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21"/>
                <w:szCs w:val="21"/>
                <w:color w:val="auto"/>
              </w:rPr>
            </w:pPr>
          </w:p>
        </w:tc>
      </w:tr>
      <w:tr>
        <w:trPr>
          <w:trHeight w:val="20"/>
        </w:trPr>
        <w:tc>
          <w:tcPr>
            <w:tcW w:w="60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7"/>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00" w:type="dxa"/>
            <w:vAlign w:val="bottom"/>
          </w:tcPr>
          <w:p>
            <w:pPr>
              <w:spacing w:after="0"/>
              <w:rPr>
                <w:sz w:val="22"/>
                <w:szCs w:val="22"/>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(34,602 )</w:t>
            </w:r>
          </w:p>
        </w:tc>
        <w:tc>
          <w:tcPr>
            <w:tcW w:w="180" w:type="dxa"/>
            <w:vAlign w:val="bottom"/>
          </w:tcPr>
          <w:p>
            <w:pPr>
              <w:spacing w:after="0"/>
              <w:rPr>
                <w:sz w:val="22"/>
                <w:szCs w:val="22"/>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(20,214 )</w:t>
            </w:r>
          </w:p>
        </w:tc>
        <w:tc>
          <w:tcPr>
            <w:tcW w:w="180" w:type="dxa"/>
            <w:vAlign w:val="bottom"/>
          </w:tcPr>
          <w:p>
            <w:pPr>
              <w:spacing w:after="0"/>
              <w:rPr>
                <w:sz w:val="22"/>
                <w:szCs w:val="22"/>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(68,858 )</w:t>
            </w:r>
          </w:p>
        </w:tc>
        <w:tc>
          <w:tcPr>
            <w:tcW w:w="18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(30,626 )</w:t>
            </w:r>
          </w:p>
        </w:tc>
      </w:tr>
      <w:tr>
        <w:trPr>
          <w:trHeight w:val="250"/>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(3,404 )</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(1,758 )</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w:t>
            </w:r>
          </w:p>
        </w:tc>
        <w:tc>
          <w:tcPr>
            <w:tcW w:w="100" w:type="dxa"/>
            <w:vAlign w:val="bottom"/>
            <w:shd w:val="clear" w:color="auto" w:fill="CFF0FC"/>
          </w:tcPr>
          <w:p>
            <w:pPr>
              <w:spacing w:after="0"/>
              <w:rPr>
                <w:sz w:val="21"/>
                <w:szCs w:val="21"/>
                <w:color w:val="auto"/>
              </w:rPr>
            </w:pPr>
          </w:p>
        </w:tc>
      </w:tr>
      <w:tr>
        <w:trPr>
          <w:trHeight w:val="20"/>
        </w:trPr>
        <w:tc>
          <w:tcPr>
            <w:tcW w:w="60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(31,198 )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(23,650 )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(67,100 )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(34,472 )</w:t>
            </w:r>
          </w:p>
        </w:tc>
      </w:tr>
      <w:tr>
        <w:trPr>
          <w:trHeight w:val="20"/>
        </w:trPr>
        <w:tc>
          <w:tcPr>
            <w:tcW w:w="6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attributable to ordinary shareholders:</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6020" w:type="dxa"/>
            <w:vAlign w:val="bottom"/>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(0.79 )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(0.62 )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(1.70 )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(0.91 )</w:t>
            </w:r>
          </w:p>
        </w:tc>
      </w:tr>
      <w:tr>
        <w:trPr>
          <w:trHeight w:val="20"/>
        </w:trPr>
        <w:tc>
          <w:tcPr>
            <w:tcW w:w="6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(0.79</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6020" w:type="dxa"/>
            <w:vAlign w:val="bottom"/>
          </w:tcPr>
          <w:p>
            <w:pPr>
              <w:ind w:left="20"/>
              <w:spacing w:after="0" w:line="195" w:lineRule="exact"/>
              <w:rPr>
                <w:sz w:val="20"/>
                <w:szCs w:val="20"/>
                <w:color w:val="auto"/>
              </w:rPr>
            </w:pPr>
            <w:r>
              <w:rPr>
                <w:rFonts w:ascii="Arial" w:cs="Arial" w:eastAsia="Arial" w:hAnsi="Arial"/>
                <w:sz w:val="18"/>
                <w:szCs w:val="18"/>
                <w:color w:val="auto"/>
                <w:w w:val="98"/>
              </w:rPr>
              <w:t>Weighted-average shares used to compute net loss per share attributable to</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ordinary shareholders: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0"/>
        </w:trPr>
        <w:tc>
          <w:tcPr>
            <w:tcW w:w="6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39,736,704</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38,258,341</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39,538,748</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37,986,839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020" w:type="dxa"/>
            <w:vAlign w:val="bottom"/>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39,736,704</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38,258,341</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39,538,748</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37,986,839</w:t>
            </w:r>
          </w:p>
        </w:tc>
        <w:tc>
          <w:tcPr>
            <w:tcW w:w="10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-2682240</wp:posOffset>
            </wp:positionV>
            <wp:extent cx="7747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-2682240</wp:posOffset>
            </wp:positionV>
            <wp:extent cx="7747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-2682240</wp:posOffset>
            </wp:positionV>
            <wp:extent cx="6858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-2022475</wp:posOffset>
            </wp:positionV>
            <wp:extent cx="7747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-2022475</wp:posOffset>
            </wp:positionV>
            <wp:extent cx="7747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-2022475</wp:posOffset>
            </wp:positionV>
            <wp:extent cx="6858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-1688465</wp:posOffset>
            </wp:positionV>
            <wp:extent cx="7747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-1688465</wp:posOffset>
            </wp:positionV>
            <wp:extent cx="7747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-1688465</wp:posOffset>
            </wp:positionV>
            <wp:extent cx="6858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-1688465</wp:posOffset>
            </wp:positionV>
            <wp:extent cx="6858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-1353820</wp:posOffset>
            </wp:positionV>
            <wp:extent cx="7747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-1353820</wp:posOffset>
            </wp:positionV>
            <wp:extent cx="7747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-1353820</wp:posOffset>
            </wp:positionV>
            <wp:extent cx="6858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-676275</wp:posOffset>
            </wp:positionV>
            <wp:extent cx="2606040" cy="316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6040" cy="31686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-205105</wp:posOffset>
            </wp:positionV>
            <wp:extent cx="2606040"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06040" cy="205740"/>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5"/>
          </w:tcPr>
          <w:p>
            <w:pPr>
              <w:jc w:val="right"/>
              <w:ind w:right="510"/>
              <w:spacing w:after="0"/>
              <w:rPr>
                <w:sz w:val="20"/>
                <w:szCs w:val="20"/>
                <w:color w:val="auto"/>
              </w:rPr>
            </w:pPr>
            <w:r>
              <w:rPr>
                <w:rFonts w:ascii="Arial" w:cs="Arial" w:eastAsia="Arial" w:hAnsi="Arial"/>
                <w:sz w:val="14"/>
                <w:szCs w:val="14"/>
                <w:b w:val="1"/>
                <w:bCs w:val="1"/>
                <w:color w:val="auto"/>
                <w:w w:val="99"/>
              </w:rPr>
              <w:t>Three Months Ended July 31,</w:t>
            </w:r>
          </w:p>
        </w:tc>
        <w:tc>
          <w:tcPr>
            <w:tcW w:w="260" w:type="dxa"/>
            <w:vAlign w:val="bottom"/>
          </w:tcPr>
          <w:p>
            <w:pPr>
              <w:spacing w:after="0"/>
              <w:rPr>
                <w:sz w:val="16"/>
                <w:szCs w:val="16"/>
                <w:color w:val="auto"/>
              </w:rPr>
            </w:pPr>
          </w:p>
        </w:tc>
        <w:tc>
          <w:tcPr>
            <w:tcW w:w="2360" w:type="dxa"/>
            <w:vAlign w:val="bottom"/>
            <w:gridSpan w:val="5"/>
          </w:tcPr>
          <w:p>
            <w:pPr>
              <w:jc w:val="right"/>
              <w:ind w:right="461"/>
              <w:spacing w:after="0"/>
              <w:rPr>
                <w:sz w:val="20"/>
                <w:szCs w:val="20"/>
                <w:color w:val="auto"/>
              </w:rPr>
            </w:pPr>
            <w:r>
              <w:rPr>
                <w:rFonts w:ascii="Arial" w:cs="Arial" w:eastAsia="Arial" w:hAnsi="Arial"/>
                <w:sz w:val="14"/>
                <w:szCs w:val="14"/>
                <w:b w:val="1"/>
                <w:bCs w:val="1"/>
                <w:color w:val="auto"/>
              </w:rPr>
              <w:t>Six Months Ended July 31,</w:t>
            </w:r>
          </w:p>
        </w:tc>
      </w:tr>
      <w:tr>
        <w:trPr>
          <w:trHeight w:val="183"/>
        </w:trPr>
        <w:tc>
          <w:tcPr>
            <w:tcW w:w="58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37"/>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(31,198</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(23,650</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(67,100</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(34,472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63"/>
        </w:trPr>
        <w:tc>
          <w:tcPr>
            <w:tcW w:w="584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unrealized losses on investments</w:t>
            </w: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(548 )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(438 )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0"/>
        </w:trPr>
        <w:tc>
          <w:tcPr>
            <w:tcW w:w="58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84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(548 )</w:t>
            </w:r>
          </w:p>
        </w:tc>
        <w:tc>
          <w:tcPr>
            <w:tcW w:w="260" w:type="dxa"/>
            <w:vAlign w:val="bottom"/>
          </w:tcPr>
          <w:p>
            <w:pPr>
              <w:spacing w:after="0"/>
              <w:rPr>
                <w:sz w:val="21"/>
                <w:szCs w:val="21"/>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(2 )</w:t>
            </w:r>
          </w:p>
        </w:tc>
        <w:tc>
          <w:tcPr>
            <w:tcW w:w="260" w:type="dxa"/>
            <w:vAlign w:val="bottom"/>
          </w:tcPr>
          <w:p>
            <w:pPr>
              <w:spacing w:after="0"/>
              <w:rPr>
                <w:sz w:val="21"/>
                <w:szCs w:val="21"/>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(438 )</w:t>
            </w:r>
          </w:p>
        </w:tc>
        <w:tc>
          <w:tcPr>
            <w:tcW w:w="2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77"/>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(31,746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(23,652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(67,538</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(34,474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-359410</wp:posOffset>
            </wp:positionV>
            <wp:extent cx="6858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-359410</wp:posOffset>
            </wp:positionV>
            <wp:extent cx="6858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-359410</wp:posOffset>
            </wp:positionV>
            <wp:extent cx="6858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-25400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148"/>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1900" w:type="dxa"/>
            <w:vAlign w:val="bottom"/>
            <w:gridSpan w:val="3"/>
          </w:tcPr>
          <w:p>
            <w:pPr>
              <w:jc w:val="center"/>
              <w:ind w:left="110"/>
              <w:spacing w:after="0"/>
              <w:rPr>
                <w:sz w:val="20"/>
                <w:szCs w:val="20"/>
                <w:color w:val="auto"/>
              </w:rPr>
            </w:pPr>
            <w:r>
              <w:rPr>
                <w:rFonts w:ascii="Arial" w:cs="Arial" w:eastAsia="Arial" w:hAnsi="Arial"/>
                <w:sz w:val="13"/>
                <w:szCs w:val="13"/>
                <w:b w:val="1"/>
                <w:bCs w:val="1"/>
                <w:color w:val="auto"/>
                <w:w w:val="88"/>
              </w:rPr>
              <w:t>Outstanding</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50"/>
              <w:spacing w:after="0"/>
              <w:rPr>
                <w:sz w:val="20"/>
                <w:szCs w:val="20"/>
                <w:color w:val="auto"/>
              </w:rPr>
            </w:pPr>
            <w:r>
              <w:rPr>
                <w:rFonts w:ascii="Arial" w:cs="Arial" w:eastAsia="Arial" w:hAnsi="Arial"/>
                <w:sz w:val="13"/>
                <w:szCs w:val="13"/>
                <w:b w:val="1"/>
                <w:bCs w:val="1"/>
                <w:color w:val="auto"/>
                <w:w w:val="88"/>
              </w:rPr>
              <w:t>Additional</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right="308"/>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5"/>
                <w:szCs w:val="15"/>
                <w:color w:val="auto"/>
              </w:rPr>
            </w:pPr>
          </w:p>
        </w:tc>
        <w:tc>
          <w:tcPr>
            <w:tcW w:w="960" w:type="dxa"/>
            <w:vAlign w:val="bottom"/>
            <w:gridSpan w:val="2"/>
            <w:vMerge w:val="restart"/>
          </w:tcPr>
          <w:p>
            <w:pPr>
              <w:jc w:val="center"/>
              <w:ind w:right="308"/>
              <w:spacing w:after="0"/>
              <w:rPr>
                <w:sz w:val="20"/>
                <w:szCs w:val="20"/>
                <w:color w:val="auto"/>
              </w:rPr>
            </w:pPr>
            <w:r>
              <w:rPr>
                <w:rFonts w:ascii="Arial" w:cs="Arial" w:eastAsia="Arial" w:hAnsi="Arial"/>
                <w:sz w:val="13"/>
                <w:szCs w:val="13"/>
                <w:b w:val="1"/>
                <w:bCs w:val="1"/>
                <w:color w:val="auto"/>
                <w:w w:val="90"/>
              </w:rPr>
              <w:t>Retained</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1900" w:type="dxa"/>
            <w:vAlign w:val="bottom"/>
            <w:gridSpan w:val="3"/>
            <w:vMerge w:val="restart"/>
          </w:tcPr>
          <w:p>
            <w:pPr>
              <w:jc w:val="center"/>
              <w:ind w:left="130"/>
              <w:spacing w:after="0"/>
              <w:rPr>
                <w:sz w:val="20"/>
                <w:szCs w:val="20"/>
                <w:color w:val="auto"/>
              </w:rPr>
            </w:pPr>
            <w:r>
              <w:rPr>
                <w:rFonts w:ascii="Arial" w:cs="Arial" w:eastAsia="Arial" w:hAnsi="Arial"/>
                <w:sz w:val="13"/>
                <w:szCs w:val="13"/>
                <w:b w:val="1"/>
                <w:bCs w:val="1"/>
                <w:color w:val="auto"/>
                <w:w w:val="88"/>
              </w:rPr>
              <w:t>Ordinary Shares</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20" w:type="dxa"/>
            <w:vAlign w:val="bottom"/>
          </w:tcPr>
          <w:p>
            <w:pPr>
              <w:spacing w:after="0"/>
              <w:rPr>
                <w:sz w:val="13"/>
                <w:szCs w:val="13"/>
                <w:color w:val="auto"/>
              </w:rPr>
            </w:pPr>
          </w:p>
        </w:tc>
        <w:tc>
          <w:tcPr>
            <w:tcW w:w="190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50"/>
              <w:spacing w:after="0"/>
              <w:rPr>
                <w:sz w:val="20"/>
                <w:szCs w:val="20"/>
                <w:color w:val="auto"/>
              </w:rPr>
            </w:pPr>
            <w:r>
              <w:rPr>
                <w:rFonts w:ascii="Arial" w:cs="Arial" w:eastAsia="Arial" w:hAnsi="Arial"/>
                <w:sz w:val="13"/>
                <w:szCs w:val="13"/>
                <w:b w:val="1"/>
                <w:bCs w:val="1"/>
                <w:color w:val="auto"/>
                <w:w w:val="92"/>
              </w:rPr>
              <w:t>Paid-in</w:t>
            </w:r>
          </w:p>
        </w:tc>
        <w:tc>
          <w:tcPr>
            <w:tcW w:w="220" w:type="dxa"/>
            <w:vAlign w:val="bottom"/>
          </w:tcPr>
          <w:p>
            <w:pPr>
              <w:spacing w:after="0"/>
              <w:rPr>
                <w:sz w:val="13"/>
                <w:szCs w:val="13"/>
                <w:color w:val="auto"/>
              </w:rPr>
            </w:pPr>
          </w:p>
        </w:tc>
        <w:tc>
          <w:tcPr>
            <w:tcW w:w="1080" w:type="dxa"/>
            <w:vAlign w:val="bottom"/>
            <w:gridSpan w:val="3"/>
          </w:tcPr>
          <w:p>
            <w:pPr>
              <w:jc w:val="center"/>
              <w:ind w:right="128"/>
              <w:spacing w:after="0"/>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3"/>
                <w:szCs w:val="13"/>
                <w:color w:val="auto"/>
              </w:rPr>
            </w:pPr>
          </w:p>
        </w:tc>
        <w:tc>
          <w:tcPr>
            <w:tcW w:w="960" w:type="dxa"/>
            <w:vAlign w:val="bottom"/>
            <w:gridSpan w:val="2"/>
          </w:tcPr>
          <w:p>
            <w:pPr>
              <w:jc w:val="center"/>
              <w:ind w:right="268"/>
              <w:spacing w:after="0"/>
              <w:rPr>
                <w:sz w:val="20"/>
                <w:szCs w:val="20"/>
                <w:color w:val="auto"/>
              </w:rPr>
            </w:pPr>
            <w:r>
              <w:rPr>
                <w:rFonts w:ascii="Arial" w:cs="Arial" w:eastAsia="Arial" w:hAnsi="Arial"/>
                <w:sz w:val="13"/>
                <w:szCs w:val="13"/>
                <w:b w:val="1"/>
                <w:bCs w:val="1"/>
                <w:color w:val="auto"/>
                <w:w w:val="89"/>
              </w:rPr>
              <w:t>Earnings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3"/>
          </w:tcPr>
          <w:p>
            <w:pPr>
              <w:jc w:val="center"/>
              <w:ind w:right="168"/>
              <w:spacing w:after="0" w:line="124" w:lineRule="exact"/>
              <w:rPr>
                <w:sz w:val="20"/>
                <w:szCs w:val="20"/>
                <w:color w:val="auto"/>
              </w:rPr>
            </w:pPr>
            <w:r>
              <w:rPr>
                <w:rFonts w:ascii="Arial" w:cs="Arial" w:eastAsia="Arial" w:hAnsi="Arial"/>
                <w:sz w:val="13"/>
                <w:szCs w:val="13"/>
                <w:b w:val="1"/>
                <w:bCs w:val="1"/>
                <w:color w:val="auto"/>
                <w:w w:val="86"/>
              </w:rPr>
              <w:t>(Accumulated</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620" w:type="dxa"/>
            <w:vAlign w:val="bottom"/>
          </w:tcPr>
          <w:p>
            <w:pPr>
              <w:spacing w:after="0"/>
              <w:rPr>
                <w:sz w:val="14"/>
                <w:szCs w:val="14"/>
                <w:color w:val="auto"/>
              </w:rPr>
            </w:pPr>
          </w:p>
        </w:tc>
        <w:tc>
          <w:tcPr>
            <w:tcW w:w="940" w:type="dxa"/>
            <w:vAlign w:val="bottom"/>
          </w:tcPr>
          <w:p>
            <w:pPr>
              <w:jc w:val="right"/>
              <w:ind w:right="210"/>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0"/>
              <w:spacing w:after="0"/>
              <w:rPr>
                <w:sz w:val="20"/>
                <w:szCs w:val="20"/>
                <w:color w:val="auto"/>
              </w:rPr>
            </w:pPr>
            <w:r>
              <w:rPr>
                <w:rFonts w:ascii="Arial" w:cs="Arial" w:eastAsia="Arial" w:hAnsi="Arial"/>
                <w:sz w:val="13"/>
                <w:szCs w:val="13"/>
                <w:b w:val="1"/>
                <w:bCs w:val="1"/>
                <w:color w:val="auto"/>
                <w:w w:val="92"/>
              </w:rPr>
              <w:t>Capital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08"/>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4"/>
                <w:szCs w:val="14"/>
                <w:color w:val="auto"/>
              </w:rPr>
            </w:pPr>
          </w:p>
        </w:tc>
        <w:tc>
          <w:tcPr>
            <w:tcW w:w="960" w:type="dxa"/>
            <w:vAlign w:val="bottom"/>
            <w:gridSpan w:val="2"/>
          </w:tcPr>
          <w:p>
            <w:pPr>
              <w:jc w:val="center"/>
              <w:ind w:right="288"/>
              <w:spacing w:after="0"/>
              <w:rPr>
                <w:sz w:val="20"/>
                <w:szCs w:val="20"/>
                <w:color w:val="auto"/>
              </w:rPr>
            </w:pPr>
            <w:r>
              <w:rPr>
                <w:rFonts w:ascii="Arial" w:cs="Arial" w:eastAsia="Arial" w:hAnsi="Arial"/>
                <w:sz w:val="13"/>
                <w:szCs w:val="13"/>
                <w:b w:val="1"/>
                <w:bCs w:val="1"/>
                <w:color w:val="auto"/>
                <w:w w:val="90"/>
              </w:rPr>
              <w:t>Deficit)</w:t>
            </w:r>
          </w:p>
        </w:tc>
        <w:tc>
          <w:tcPr>
            <w:tcW w:w="20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46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Balance--January 31, 2023</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39,043,000</w:t>
            </w:r>
          </w:p>
        </w:tc>
        <w:tc>
          <w:tcPr>
            <w:tcW w:w="260" w:type="dxa"/>
            <w:vAlign w:val="bottom"/>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ind w:right="551"/>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572,076</w:t>
            </w: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(492</w:t>
            </w:r>
          </w:p>
        </w:tc>
        <w:tc>
          <w:tcPr>
            <w:tcW w:w="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34,486</w:t>
            </w:r>
          </w:p>
        </w:tc>
        <w:tc>
          <w:tcPr>
            <w:tcW w:w="22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606,088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200"/>
              <w:spacing w:after="0"/>
              <w:rPr>
                <w:sz w:val="20"/>
                <w:szCs w:val="20"/>
                <w:color w:val="auto"/>
              </w:rPr>
            </w:pPr>
            <w:r>
              <w:rPr>
                <w:rFonts w:ascii="Arial" w:cs="Arial" w:eastAsia="Arial" w:hAnsi="Arial"/>
                <w:sz w:val="14"/>
                <w:szCs w:val="14"/>
                <w:color w:val="auto"/>
              </w:rPr>
              <w:t>Issuance of shares through employee equity plans</w:t>
            </w:r>
          </w:p>
        </w:tc>
        <w:tc>
          <w:tcPr>
            <w:tcW w:w="940" w:type="dxa"/>
            <w:vAlign w:val="bottom"/>
          </w:tcPr>
          <w:p>
            <w:pPr>
              <w:jc w:val="right"/>
              <w:spacing w:after="0"/>
              <w:rPr>
                <w:sz w:val="20"/>
                <w:szCs w:val="20"/>
                <w:color w:val="auto"/>
              </w:rPr>
            </w:pPr>
            <w:r>
              <w:rPr>
                <w:rFonts w:ascii="Arial" w:cs="Arial" w:eastAsia="Arial" w:hAnsi="Arial"/>
                <w:sz w:val="14"/>
                <w:szCs w:val="14"/>
                <w:color w:val="auto"/>
              </w:rPr>
              <w:t>467,996</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5,198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shares through employee stock purchase plan</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80,207</w:t>
            </w:r>
          </w:p>
        </w:tc>
        <w:tc>
          <w:tcPr>
            <w:tcW w:w="2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4,448</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26,249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26,249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comprehensive gain - net of tax</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88"/>
              <w:spacing w:after="0"/>
              <w:rPr>
                <w:sz w:val="20"/>
                <w:szCs w:val="20"/>
                <w:color w:val="auto"/>
              </w:rPr>
            </w:pPr>
            <w:r>
              <w:rPr>
                <w:rFonts w:ascii="Arial" w:cs="Arial" w:eastAsia="Arial" w:hAnsi="Arial"/>
                <w:sz w:val="14"/>
                <w:szCs w:val="14"/>
                <w:color w:val="auto"/>
              </w:rPr>
              <w:t>(35,902 )</w:t>
            </w:r>
          </w:p>
        </w:tc>
        <w:tc>
          <w:tcPr>
            <w:tcW w:w="2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(35,902 )</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Balance--April 30, 2023</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39,591,203</w:t>
            </w:r>
          </w:p>
        </w:tc>
        <w:tc>
          <w:tcPr>
            <w:tcW w:w="2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607,971</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(382</w:t>
            </w:r>
          </w:p>
        </w:tc>
        <w:tc>
          <w:tcPr>
            <w:tcW w:w="200" w:type="dxa"/>
            <w:vAlign w:val="bottom"/>
            <w:tcBorders>
              <w:bottom w:val="single" w:sz="8" w:color="CFF0FC"/>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(1,416</w:t>
            </w:r>
          </w:p>
        </w:tc>
        <w:tc>
          <w:tcPr>
            <w:tcW w:w="220" w:type="dxa"/>
            <w:vAlign w:val="bottom"/>
            <w:tcBorders>
              <w:bottom w:val="single" w:sz="8" w:color="CFF0FC"/>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606,191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620" w:type="dxa"/>
            <w:vAlign w:val="bottom"/>
          </w:tcPr>
          <w:p>
            <w:pPr>
              <w:ind w:left="200"/>
              <w:spacing w:after="0" w:line="156" w:lineRule="exact"/>
              <w:rPr>
                <w:sz w:val="20"/>
                <w:szCs w:val="20"/>
                <w:color w:val="auto"/>
              </w:rPr>
            </w:pPr>
            <w:r>
              <w:rPr>
                <w:rFonts w:ascii="Arial" w:cs="Arial" w:eastAsia="Arial" w:hAnsi="Arial"/>
                <w:sz w:val="14"/>
                <w:szCs w:val="14"/>
                <w:color w:val="auto"/>
              </w:rPr>
              <w:t>Issuance of shares through employee equity plans</w:t>
            </w:r>
          </w:p>
        </w:tc>
        <w:tc>
          <w:tcPr>
            <w:tcW w:w="940" w:type="dxa"/>
            <w:vAlign w:val="bottom"/>
          </w:tcPr>
          <w:p>
            <w:pPr>
              <w:jc w:val="right"/>
              <w:spacing w:after="0" w:line="156" w:lineRule="exact"/>
              <w:rPr>
                <w:sz w:val="20"/>
                <w:szCs w:val="20"/>
                <w:color w:val="auto"/>
              </w:rPr>
            </w:pPr>
            <w:r>
              <w:rPr>
                <w:rFonts w:ascii="Arial" w:cs="Arial" w:eastAsia="Arial" w:hAnsi="Arial"/>
                <w:sz w:val="14"/>
                <w:szCs w:val="14"/>
                <w:color w:val="auto"/>
              </w:rPr>
              <w:t>279,568</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4"/>
                <w:szCs w:val="14"/>
                <w:color w:val="auto"/>
              </w:rPr>
              <w:t>553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Arial" w:cs="Arial" w:eastAsia="Arial" w:hAnsi="Arial"/>
                <w:sz w:val="14"/>
                <w:szCs w:val="14"/>
                <w:color w:val="auto"/>
              </w:rPr>
              <w:t>553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27,320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Arial" w:cs="Arial" w:eastAsia="Arial" w:hAnsi="Arial"/>
                <w:sz w:val="14"/>
                <w:szCs w:val="14"/>
                <w:color w:val="auto"/>
              </w:rPr>
              <w:t>Other comprehensive loss - net of tax</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(548 )</w:t>
            </w:r>
          </w:p>
        </w:tc>
        <w:tc>
          <w:tcPr>
            <w:tcW w:w="140" w:type="dxa"/>
            <w:vAlign w:val="bottom"/>
          </w:tcPr>
          <w:p>
            <w:pPr>
              <w:spacing w:after="0"/>
              <w:rPr>
                <w:sz w:val="15"/>
                <w:szCs w:val="15"/>
                <w:color w:val="auto"/>
              </w:rPr>
            </w:pPr>
          </w:p>
        </w:tc>
        <w:tc>
          <w:tcPr>
            <w:tcW w:w="9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(548 )</w:t>
            </w: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(31,198 )</w:t>
            </w:r>
          </w:p>
        </w:tc>
        <w:tc>
          <w:tcPr>
            <w:tcW w:w="2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(31,198 )</w:t>
            </w:r>
          </w:p>
        </w:tc>
        <w:tc>
          <w:tcPr>
            <w:tcW w:w="0" w:type="dxa"/>
            <w:vAlign w:val="bottom"/>
          </w:tcPr>
          <w:p>
            <w:pPr>
              <w:spacing w:after="0"/>
              <w:rPr>
                <w:sz w:val="1"/>
                <w:szCs w:val="1"/>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2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Balance--July 31, 2023</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39,870,771</w:t>
            </w:r>
          </w:p>
        </w:tc>
        <w:tc>
          <w:tcPr>
            <w:tcW w:w="260" w:type="dxa"/>
            <w:vAlign w:val="bottom"/>
          </w:tcPr>
          <w:p>
            <w:pPr>
              <w:spacing w:after="0"/>
              <w:rPr>
                <w:sz w:val="14"/>
                <w:szCs w:val="14"/>
                <w:color w:val="auto"/>
              </w:rPr>
            </w:pPr>
          </w:p>
        </w:tc>
        <w:tc>
          <w:tcPr>
            <w:tcW w:w="700" w:type="dxa"/>
            <w:vAlign w:val="bottom"/>
          </w:tcPr>
          <w:p>
            <w:pPr>
              <w:jc w:val="right"/>
              <w:ind w:right="551"/>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18</w:t>
            </w:r>
          </w:p>
        </w:tc>
        <w:tc>
          <w:tcPr>
            <w:tcW w:w="24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635,844</w:t>
            </w:r>
          </w:p>
        </w:tc>
        <w:tc>
          <w:tcPr>
            <w:tcW w:w="220" w:type="dxa"/>
            <w:vAlign w:val="bottom"/>
          </w:tcPr>
          <w:p>
            <w:pPr>
              <w:spacing w:after="0"/>
              <w:rPr>
                <w:sz w:val="14"/>
                <w:szCs w:val="14"/>
                <w:color w:val="auto"/>
              </w:rPr>
            </w:pPr>
          </w:p>
        </w:tc>
        <w:tc>
          <w:tcPr>
            <w:tcW w:w="180" w:type="dxa"/>
            <w:vAlign w:val="bottom"/>
          </w:tcPr>
          <w:p>
            <w:pPr>
              <w:jc w:val="right"/>
              <w:ind w:right="33"/>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68"/>
              <w:spacing w:after="0" w:line="155" w:lineRule="exact"/>
              <w:rPr>
                <w:sz w:val="20"/>
                <w:szCs w:val="20"/>
                <w:color w:val="auto"/>
              </w:rPr>
            </w:pPr>
            <w:r>
              <w:rPr>
                <w:rFonts w:ascii="Arial" w:cs="Arial" w:eastAsia="Arial" w:hAnsi="Arial"/>
                <w:sz w:val="14"/>
                <w:szCs w:val="14"/>
                <w:color w:val="auto"/>
              </w:rPr>
              <w:t>(930 )</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8"/>
              <w:spacing w:after="0" w:line="155" w:lineRule="exact"/>
              <w:rPr>
                <w:sz w:val="20"/>
                <w:szCs w:val="20"/>
                <w:color w:val="auto"/>
              </w:rPr>
            </w:pPr>
            <w:r>
              <w:rPr>
                <w:rFonts w:ascii="Arial" w:cs="Arial" w:eastAsia="Arial" w:hAnsi="Arial"/>
                <w:sz w:val="14"/>
                <w:szCs w:val="14"/>
                <w:color w:val="auto"/>
              </w:rPr>
              <w:t>(32,614 )</w:t>
            </w: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602,318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4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3"/>
          </w:tcPr>
          <w:p>
            <w:pPr>
              <w:jc w:val="center"/>
              <w:ind w:right="148"/>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1900" w:type="dxa"/>
            <w:vAlign w:val="bottom"/>
            <w:gridSpan w:val="3"/>
          </w:tcPr>
          <w:p>
            <w:pPr>
              <w:jc w:val="center"/>
              <w:ind w:left="110"/>
              <w:spacing w:after="0"/>
              <w:rPr>
                <w:sz w:val="20"/>
                <w:szCs w:val="20"/>
                <w:color w:val="auto"/>
              </w:rPr>
            </w:pPr>
            <w:r>
              <w:rPr>
                <w:rFonts w:ascii="Arial" w:cs="Arial" w:eastAsia="Arial" w:hAnsi="Arial"/>
                <w:sz w:val="13"/>
                <w:szCs w:val="13"/>
                <w:b w:val="1"/>
                <w:bCs w:val="1"/>
                <w:color w:val="auto"/>
                <w:w w:val="88"/>
              </w:rPr>
              <w:t>Outstanding</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50"/>
              <w:spacing w:after="0"/>
              <w:rPr>
                <w:sz w:val="20"/>
                <w:szCs w:val="20"/>
                <w:color w:val="auto"/>
              </w:rPr>
            </w:pPr>
            <w:r>
              <w:rPr>
                <w:rFonts w:ascii="Arial" w:cs="Arial" w:eastAsia="Arial" w:hAnsi="Arial"/>
                <w:sz w:val="13"/>
                <w:szCs w:val="13"/>
                <w:b w:val="1"/>
                <w:bCs w:val="1"/>
                <w:color w:val="auto"/>
                <w:w w:val="88"/>
              </w:rPr>
              <w:t>Additional</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right="308"/>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5"/>
                <w:szCs w:val="15"/>
                <w:color w:val="auto"/>
              </w:rPr>
            </w:pPr>
          </w:p>
        </w:tc>
        <w:tc>
          <w:tcPr>
            <w:tcW w:w="960" w:type="dxa"/>
            <w:vAlign w:val="bottom"/>
            <w:gridSpan w:val="2"/>
            <w:vMerge w:val="restart"/>
          </w:tcPr>
          <w:p>
            <w:pPr>
              <w:jc w:val="center"/>
              <w:ind w:right="308"/>
              <w:spacing w:after="0"/>
              <w:rPr>
                <w:sz w:val="20"/>
                <w:szCs w:val="20"/>
                <w:color w:val="auto"/>
              </w:rPr>
            </w:pPr>
            <w:r>
              <w:rPr>
                <w:rFonts w:ascii="Arial" w:cs="Arial" w:eastAsia="Arial" w:hAnsi="Arial"/>
                <w:sz w:val="13"/>
                <w:szCs w:val="13"/>
                <w:b w:val="1"/>
                <w:bCs w:val="1"/>
                <w:color w:val="auto"/>
                <w:w w:val="90"/>
              </w:rPr>
              <w:t>Retained</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1900" w:type="dxa"/>
            <w:vAlign w:val="bottom"/>
            <w:gridSpan w:val="3"/>
            <w:vMerge w:val="restart"/>
          </w:tcPr>
          <w:p>
            <w:pPr>
              <w:jc w:val="center"/>
              <w:ind w:left="130"/>
              <w:spacing w:after="0"/>
              <w:rPr>
                <w:sz w:val="20"/>
                <w:szCs w:val="20"/>
                <w:color w:val="auto"/>
              </w:rPr>
            </w:pPr>
            <w:r>
              <w:rPr>
                <w:rFonts w:ascii="Arial" w:cs="Arial" w:eastAsia="Arial" w:hAnsi="Arial"/>
                <w:sz w:val="13"/>
                <w:szCs w:val="13"/>
                <w:b w:val="1"/>
                <w:bCs w:val="1"/>
                <w:color w:val="auto"/>
                <w:w w:val="88"/>
              </w:rPr>
              <w:t>Ordinary Shares</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20" w:type="dxa"/>
            <w:vAlign w:val="bottom"/>
          </w:tcPr>
          <w:p>
            <w:pPr>
              <w:spacing w:after="0"/>
              <w:rPr>
                <w:sz w:val="13"/>
                <w:szCs w:val="13"/>
                <w:color w:val="auto"/>
              </w:rPr>
            </w:pPr>
          </w:p>
        </w:tc>
        <w:tc>
          <w:tcPr>
            <w:tcW w:w="190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50"/>
              <w:spacing w:after="0"/>
              <w:rPr>
                <w:sz w:val="20"/>
                <w:szCs w:val="20"/>
                <w:color w:val="auto"/>
              </w:rPr>
            </w:pPr>
            <w:r>
              <w:rPr>
                <w:rFonts w:ascii="Arial" w:cs="Arial" w:eastAsia="Arial" w:hAnsi="Arial"/>
                <w:sz w:val="13"/>
                <w:szCs w:val="13"/>
                <w:b w:val="1"/>
                <w:bCs w:val="1"/>
                <w:color w:val="auto"/>
                <w:w w:val="92"/>
              </w:rPr>
              <w:t>Paid-in</w:t>
            </w:r>
          </w:p>
        </w:tc>
        <w:tc>
          <w:tcPr>
            <w:tcW w:w="220" w:type="dxa"/>
            <w:vAlign w:val="bottom"/>
          </w:tcPr>
          <w:p>
            <w:pPr>
              <w:spacing w:after="0"/>
              <w:rPr>
                <w:sz w:val="13"/>
                <w:szCs w:val="13"/>
                <w:color w:val="auto"/>
              </w:rPr>
            </w:pPr>
          </w:p>
        </w:tc>
        <w:tc>
          <w:tcPr>
            <w:tcW w:w="1080" w:type="dxa"/>
            <w:vAlign w:val="bottom"/>
            <w:gridSpan w:val="3"/>
          </w:tcPr>
          <w:p>
            <w:pPr>
              <w:jc w:val="center"/>
              <w:ind w:right="128"/>
              <w:spacing w:after="0"/>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3"/>
                <w:szCs w:val="13"/>
                <w:color w:val="auto"/>
              </w:rPr>
            </w:pPr>
          </w:p>
        </w:tc>
        <w:tc>
          <w:tcPr>
            <w:tcW w:w="960" w:type="dxa"/>
            <w:vAlign w:val="bottom"/>
            <w:gridSpan w:val="2"/>
          </w:tcPr>
          <w:p>
            <w:pPr>
              <w:jc w:val="center"/>
              <w:ind w:right="268"/>
              <w:spacing w:after="0"/>
              <w:rPr>
                <w:sz w:val="20"/>
                <w:szCs w:val="20"/>
                <w:color w:val="auto"/>
              </w:rPr>
            </w:pPr>
            <w:r>
              <w:rPr>
                <w:rFonts w:ascii="Arial" w:cs="Arial" w:eastAsia="Arial" w:hAnsi="Arial"/>
                <w:sz w:val="13"/>
                <w:szCs w:val="13"/>
                <w:b w:val="1"/>
                <w:bCs w:val="1"/>
                <w:color w:val="auto"/>
                <w:w w:val="89"/>
              </w:rPr>
              <w:t>Earnings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3"/>
          </w:tcPr>
          <w:p>
            <w:pPr>
              <w:jc w:val="center"/>
              <w:ind w:right="168"/>
              <w:spacing w:after="0" w:line="124" w:lineRule="exact"/>
              <w:rPr>
                <w:sz w:val="20"/>
                <w:szCs w:val="20"/>
                <w:color w:val="auto"/>
              </w:rPr>
            </w:pPr>
            <w:r>
              <w:rPr>
                <w:rFonts w:ascii="Arial" w:cs="Arial" w:eastAsia="Arial" w:hAnsi="Arial"/>
                <w:sz w:val="13"/>
                <w:szCs w:val="13"/>
                <w:b w:val="1"/>
                <w:bCs w:val="1"/>
                <w:color w:val="auto"/>
                <w:w w:val="86"/>
              </w:rPr>
              <w:t>(Accumulated</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620" w:type="dxa"/>
            <w:vAlign w:val="bottom"/>
          </w:tcPr>
          <w:p>
            <w:pPr>
              <w:spacing w:after="0"/>
              <w:rPr>
                <w:sz w:val="14"/>
                <w:szCs w:val="14"/>
                <w:color w:val="auto"/>
              </w:rPr>
            </w:pPr>
          </w:p>
        </w:tc>
        <w:tc>
          <w:tcPr>
            <w:tcW w:w="940" w:type="dxa"/>
            <w:vAlign w:val="bottom"/>
          </w:tcPr>
          <w:p>
            <w:pPr>
              <w:jc w:val="right"/>
              <w:ind w:right="210"/>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0"/>
              <w:spacing w:after="0"/>
              <w:rPr>
                <w:sz w:val="20"/>
                <w:szCs w:val="20"/>
                <w:color w:val="auto"/>
              </w:rPr>
            </w:pPr>
            <w:r>
              <w:rPr>
                <w:rFonts w:ascii="Arial" w:cs="Arial" w:eastAsia="Arial" w:hAnsi="Arial"/>
                <w:sz w:val="13"/>
                <w:szCs w:val="13"/>
                <w:b w:val="1"/>
                <w:bCs w:val="1"/>
                <w:color w:val="auto"/>
                <w:w w:val="92"/>
              </w:rPr>
              <w:t>Capital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08"/>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4"/>
                <w:szCs w:val="14"/>
                <w:color w:val="auto"/>
              </w:rPr>
            </w:pPr>
          </w:p>
        </w:tc>
        <w:tc>
          <w:tcPr>
            <w:tcW w:w="960" w:type="dxa"/>
            <w:vAlign w:val="bottom"/>
            <w:gridSpan w:val="2"/>
          </w:tcPr>
          <w:p>
            <w:pPr>
              <w:jc w:val="center"/>
              <w:ind w:right="288"/>
              <w:spacing w:after="0"/>
              <w:rPr>
                <w:sz w:val="20"/>
                <w:szCs w:val="20"/>
                <w:color w:val="auto"/>
              </w:rPr>
            </w:pPr>
            <w:r>
              <w:rPr>
                <w:rFonts w:ascii="Arial" w:cs="Arial" w:eastAsia="Arial" w:hAnsi="Arial"/>
                <w:sz w:val="13"/>
                <w:szCs w:val="13"/>
                <w:b w:val="1"/>
                <w:bCs w:val="1"/>
                <w:color w:val="auto"/>
                <w:w w:val="90"/>
              </w:rPr>
              <w:t>Deficit)</w:t>
            </w:r>
          </w:p>
        </w:tc>
        <w:tc>
          <w:tcPr>
            <w:tcW w:w="20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46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Balance--January 31, 2022</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37,302,818</w:t>
            </w:r>
          </w:p>
        </w:tc>
        <w:tc>
          <w:tcPr>
            <w:tcW w:w="260" w:type="dxa"/>
            <w:vAlign w:val="bottom"/>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ind w:right="551"/>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447,287</w:t>
            </w: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99,872</w:t>
            </w:r>
          </w:p>
        </w:tc>
        <w:tc>
          <w:tcPr>
            <w:tcW w:w="22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547,176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Arial" w:cs="Arial" w:eastAsia="Arial" w:hAnsi="Arial"/>
                <w:sz w:val="14"/>
                <w:szCs w:val="14"/>
                <w:color w:val="auto"/>
              </w:rPr>
              <w:t>Issuance of shares through employee equity plans</w:t>
            </w:r>
          </w:p>
        </w:tc>
        <w:tc>
          <w:tcPr>
            <w:tcW w:w="940" w:type="dxa"/>
            <w:vAlign w:val="bottom"/>
          </w:tcPr>
          <w:p>
            <w:pPr>
              <w:jc w:val="right"/>
              <w:spacing w:after="0"/>
              <w:rPr>
                <w:sz w:val="20"/>
                <w:szCs w:val="20"/>
                <w:color w:val="auto"/>
              </w:rPr>
            </w:pPr>
            <w:r>
              <w:rPr>
                <w:rFonts w:ascii="Arial" w:cs="Arial" w:eastAsia="Arial" w:hAnsi="Arial"/>
                <w:sz w:val="14"/>
                <w:szCs w:val="14"/>
                <w:color w:val="auto"/>
              </w:rPr>
              <w:t>736,516</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8,589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8,589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shares through employee stock purchase plan</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43,545</w:t>
            </w:r>
          </w:p>
        </w:tc>
        <w:tc>
          <w:tcPr>
            <w:tcW w:w="2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26,155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26,155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(10,822 )</w:t>
            </w:r>
          </w:p>
        </w:tc>
        <w:tc>
          <w:tcPr>
            <w:tcW w:w="2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(10,822 )</w:t>
            </w:r>
          </w:p>
        </w:tc>
        <w:tc>
          <w:tcPr>
            <w:tcW w:w="0" w:type="dxa"/>
            <w:vAlign w:val="bottom"/>
          </w:tcPr>
          <w:p>
            <w:pPr>
              <w:spacing w:after="0"/>
              <w:rPr>
                <w:sz w:val="1"/>
                <w:szCs w:val="1"/>
                <w:color w:val="auto"/>
              </w:rPr>
            </w:pPr>
          </w:p>
        </w:tc>
      </w:tr>
      <w:tr>
        <w:trPr>
          <w:trHeight w:val="169"/>
        </w:trPr>
        <w:tc>
          <w:tcPr>
            <w:tcW w:w="4620" w:type="dxa"/>
            <w:vAlign w:val="bottom"/>
            <w:tcBorders>
              <w:top w:val="single" w:sz="8" w:color="CFF0FC"/>
            </w:tcBorders>
          </w:tcPr>
          <w:p>
            <w:pPr>
              <w:ind w:left="20"/>
              <w:spacing w:after="0" w:line="155" w:lineRule="exact"/>
              <w:rPr>
                <w:sz w:val="20"/>
                <w:szCs w:val="20"/>
                <w:color w:val="auto"/>
              </w:rPr>
            </w:pPr>
            <w:r>
              <w:rPr>
                <w:rFonts w:ascii="Arial" w:cs="Arial" w:eastAsia="Arial" w:hAnsi="Arial"/>
                <w:sz w:val="14"/>
                <w:szCs w:val="14"/>
                <w:b w:val="1"/>
                <w:bCs w:val="1"/>
                <w:color w:val="auto"/>
              </w:rPr>
              <w:t>Balance--April 30, 2022</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38,082,879</w:t>
            </w:r>
          </w:p>
        </w:tc>
        <w:tc>
          <w:tcPr>
            <w:tcW w:w="260" w:type="dxa"/>
            <w:vAlign w:val="bottom"/>
            <w:tcBorders>
              <w:top w:val="single" w:sz="8" w:color="CFF0FC"/>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w:t>
            </w: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485,281</w:t>
            </w:r>
          </w:p>
        </w:tc>
        <w:tc>
          <w:tcPr>
            <w:tcW w:w="22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89,050</w:t>
            </w:r>
          </w:p>
        </w:tc>
        <w:tc>
          <w:tcPr>
            <w:tcW w:w="22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574,348</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20" w:type="dxa"/>
            <w:vAlign w:val="bottom"/>
            <w:shd w:val="clear" w:color="auto" w:fill="CFF0FC"/>
          </w:tcPr>
          <w:p>
            <w:pPr>
              <w:ind w:left="200"/>
              <w:spacing w:after="0" w:line="156" w:lineRule="exact"/>
              <w:rPr>
                <w:sz w:val="20"/>
                <w:szCs w:val="20"/>
                <w:color w:val="auto"/>
              </w:rPr>
            </w:pPr>
            <w:r>
              <w:rPr>
                <w:rFonts w:ascii="Arial" w:cs="Arial" w:eastAsia="Arial" w:hAnsi="Arial"/>
                <w:sz w:val="14"/>
                <w:szCs w:val="14"/>
                <w:color w:val="auto"/>
              </w:rPr>
              <w:t>Issuance of shares through employee equity plans</w:t>
            </w:r>
          </w:p>
        </w:tc>
        <w:tc>
          <w:tcPr>
            <w:tcW w:w="94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323,572</w:t>
            </w:r>
          </w:p>
        </w:tc>
        <w:tc>
          <w:tcPr>
            <w:tcW w:w="260" w:type="dxa"/>
            <w:vAlign w:val="bottom"/>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1,204</w:t>
            </w:r>
          </w:p>
        </w:tc>
        <w:tc>
          <w:tcPr>
            <w:tcW w:w="22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1,204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26,211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26,211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comprehensive loss - net of tax</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(2 )</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88"/>
              <w:spacing w:after="0"/>
              <w:rPr>
                <w:sz w:val="20"/>
                <w:szCs w:val="20"/>
                <w:color w:val="auto"/>
              </w:rPr>
            </w:pPr>
            <w:r>
              <w:rPr>
                <w:rFonts w:ascii="Arial" w:cs="Arial" w:eastAsia="Arial" w:hAnsi="Arial"/>
                <w:sz w:val="14"/>
                <w:szCs w:val="14"/>
                <w:color w:val="auto"/>
              </w:rPr>
              <w:t>(23,650 )</w:t>
            </w:r>
          </w:p>
        </w:tc>
        <w:tc>
          <w:tcPr>
            <w:tcW w:w="2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(23,650 )</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Balance--July 31, 2022</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38,406,451</w:t>
            </w:r>
          </w:p>
        </w:tc>
        <w:tc>
          <w:tcPr>
            <w:tcW w:w="2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ind w:right="551"/>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512,696</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33"/>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w:t>
            </w:r>
          </w:p>
        </w:tc>
        <w:tc>
          <w:tcPr>
            <w:tcW w:w="200" w:type="dxa"/>
            <w:vAlign w:val="bottom"/>
            <w:tcBorders>
              <w:bottom w:val="single" w:sz="8" w:color="CFF0FC"/>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65,400</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578,111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-2794000</wp:posOffset>
            </wp:positionV>
            <wp:extent cx="360045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00450" cy="13716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-2322195</wp:posOffset>
            </wp:positionV>
            <wp:extent cx="7747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-2322195</wp:posOffset>
            </wp:positionV>
            <wp:extent cx="76835"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-2322195</wp:posOffset>
            </wp:positionV>
            <wp:extent cx="6858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-2322195</wp:posOffset>
            </wp:positionV>
            <wp:extent cx="6858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-2322195</wp:posOffset>
            </wp:positionV>
            <wp:extent cx="6858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-736600</wp:posOffset>
            </wp:positionV>
            <wp:extent cx="7747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-736600</wp:posOffset>
            </wp:positionV>
            <wp:extent cx="76835"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-736600</wp:posOffset>
            </wp:positionV>
            <wp:extent cx="6858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-736600</wp:posOffset>
            </wp:positionV>
            <wp:extent cx="6858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-736600</wp:posOffset>
            </wp:positionV>
            <wp:extent cx="6858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-24765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-8255</wp:posOffset>
            </wp:positionV>
            <wp:extent cx="77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-24765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-8255</wp:posOffset>
            </wp:positionV>
            <wp:extent cx="768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8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77"/>
              <w:spacing w:after="0"/>
              <w:rPr>
                <w:sz w:val="20"/>
                <w:szCs w:val="20"/>
                <w:color w:val="auto"/>
              </w:rPr>
            </w:pPr>
            <w:r>
              <w:rPr>
                <w:rFonts w:ascii="Arial" w:cs="Arial" w:eastAsia="Arial" w:hAnsi="Arial"/>
                <w:sz w:val="14"/>
                <w:szCs w:val="14"/>
                <w:b w:val="1"/>
                <w:bCs w:val="1"/>
                <w:color w:val="auto"/>
              </w:rPr>
              <w:t>Six Months Ended July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77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7780" w:type="dxa"/>
            <w:vAlign w:val="bottom"/>
          </w:tcPr>
          <w:p>
            <w:pPr>
              <w:ind w:left="200"/>
              <w:spacing w:after="0"/>
              <w:rPr>
                <w:sz w:val="20"/>
                <w:szCs w:val="20"/>
                <w:color w:val="auto"/>
              </w:rPr>
            </w:pPr>
            <w:r>
              <w:rPr>
                <w:rFonts w:ascii="Arial" w:cs="Arial" w:eastAsia="Arial" w:hAnsi="Arial"/>
                <w:sz w:val="17"/>
                <w:szCs w:val="17"/>
                <w:color w:val="auto"/>
              </w:rPr>
              <w:t>Net loss</w:t>
            </w: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15"/>
              <w:spacing w:after="0"/>
              <w:rPr>
                <w:sz w:val="20"/>
                <w:szCs w:val="20"/>
                <w:color w:val="auto"/>
              </w:rPr>
            </w:pPr>
            <w:r>
              <w:rPr>
                <w:rFonts w:ascii="Arial" w:cs="Arial" w:eastAsia="Arial" w:hAnsi="Arial"/>
                <w:sz w:val="17"/>
                <w:szCs w:val="17"/>
                <w:color w:val="auto"/>
                <w:w w:val="96"/>
              </w:rPr>
              <w:t>(67,100 )</w:t>
            </w:r>
          </w:p>
        </w:tc>
        <w:tc>
          <w:tcPr>
            <w:tcW w:w="940" w:type="dxa"/>
            <w:vAlign w:val="bottom"/>
          </w:tcPr>
          <w:p>
            <w:pPr>
              <w:jc w:val="right"/>
              <w:ind w:right="757"/>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w w:val="93"/>
              </w:rPr>
              <w:t>(34,472 )</w:t>
            </w:r>
          </w:p>
        </w:tc>
      </w:tr>
      <w:tr>
        <w:trPr>
          <w:trHeight w:val="236"/>
        </w:trPr>
        <w:tc>
          <w:tcPr>
            <w:tcW w:w="77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3"/>
        </w:trPr>
        <w:tc>
          <w:tcPr>
            <w:tcW w:w="7780" w:type="dxa"/>
            <w:vAlign w:val="bottom"/>
          </w:tcPr>
          <w:p>
            <w:pPr>
              <w:ind w:left="380"/>
              <w:spacing w:after="0"/>
              <w:rPr>
                <w:sz w:val="20"/>
                <w:szCs w:val="20"/>
                <w:color w:val="auto"/>
              </w:rPr>
            </w:pPr>
            <w:r>
              <w:rPr>
                <w:rFonts w:ascii="Arial" w:cs="Arial" w:eastAsia="Arial" w:hAnsi="Arial"/>
                <w:sz w:val="17"/>
                <w:szCs w:val="17"/>
                <w:color w:val="auto"/>
              </w:rPr>
              <w:t>Depreciation and amortization</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11,945</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9,295</w:t>
            </w:r>
          </w:p>
        </w:tc>
        <w:tc>
          <w:tcPr>
            <w:tcW w:w="100" w:type="dxa"/>
            <w:vAlign w:val="bottom"/>
          </w:tcPr>
          <w:p>
            <w:pPr>
              <w:spacing w:after="0"/>
              <w:rPr>
                <w:sz w:val="19"/>
                <w:szCs w:val="19"/>
                <w:color w:val="auto"/>
              </w:rPr>
            </w:pPr>
          </w:p>
        </w:tc>
      </w:tr>
      <w:tr>
        <w:trPr>
          <w:trHeight w:val="236"/>
        </w:trPr>
        <w:tc>
          <w:tcPr>
            <w:tcW w:w="77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Amortization (accretion) of premium (discount) on marketable debt securities, net</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(710 )</w:t>
            </w: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r>
      <w:tr>
        <w:trPr>
          <w:trHeight w:val="223"/>
        </w:trPr>
        <w:tc>
          <w:tcPr>
            <w:tcW w:w="7780" w:type="dxa"/>
            <w:vAlign w:val="bottom"/>
          </w:tcPr>
          <w:p>
            <w:pPr>
              <w:ind w:left="380"/>
              <w:spacing w:after="0"/>
              <w:rPr>
                <w:sz w:val="20"/>
                <w:szCs w:val="20"/>
                <w:color w:val="auto"/>
              </w:rPr>
            </w:pPr>
            <w:r>
              <w:rPr>
                <w:rFonts w:ascii="Arial" w:cs="Arial" w:eastAsia="Arial" w:hAnsi="Arial"/>
                <w:sz w:val="17"/>
                <w:szCs w:val="17"/>
                <w:color w:val="auto"/>
              </w:rPr>
              <w:t>Stock-based compensation</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55,387</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53,950</w:t>
            </w:r>
          </w:p>
        </w:tc>
        <w:tc>
          <w:tcPr>
            <w:tcW w:w="100" w:type="dxa"/>
            <w:vAlign w:val="bottom"/>
          </w:tcPr>
          <w:p>
            <w:pPr>
              <w:spacing w:after="0"/>
              <w:rPr>
                <w:sz w:val="19"/>
                <w:szCs w:val="19"/>
                <w:color w:val="auto"/>
              </w:rPr>
            </w:pPr>
          </w:p>
        </w:tc>
      </w:tr>
      <w:tr>
        <w:trPr>
          <w:trHeight w:val="236"/>
        </w:trPr>
        <w:tc>
          <w:tcPr>
            <w:tcW w:w="77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Deferred income taxes</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(2,908 )</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1,181</w:t>
            </w:r>
          </w:p>
        </w:tc>
        <w:tc>
          <w:tcPr>
            <w:tcW w:w="100" w:type="dxa"/>
            <w:vAlign w:val="bottom"/>
            <w:shd w:val="clear" w:color="auto" w:fill="CFF0FC"/>
          </w:tcPr>
          <w:p>
            <w:pPr>
              <w:spacing w:after="0"/>
              <w:rPr>
                <w:sz w:val="20"/>
                <w:szCs w:val="20"/>
                <w:color w:val="auto"/>
              </w:rPr>
            </w:pPr>
          </w:p>
        </w:tc>
      </w:tr>
      <w:tr>
        <w:trPr>
          <w:trHeight w:val="223"/>
        </w:trPr>
        <w:tc>
          <w:tcPr>
            <w:tcW w:w="7780" w:type="dxa"/>
            <w:vAlign w:val="bottom"/>
          </w:tcPr>
          <w:p>
            <w:pPr>
              <w:ind w:left="380"/>
              <w:spacing w:after="0"/>
              <w:rPr>
                <w:sz w:val="20"/>
                <w:szCs w:val="20"/>
                <w:color w:val="auto"/>
              </w:rPr>
            </w:pPr>
            <w:r>
              <w:rPr>
                <w:rFonts w:ascii="Arial" w:cs="Arial" w:eastAsia="Arial" w:hAnsi="Arial"/>
                <w:sz w:val="17"/>
                <w:szCs w:val="17"/>
                <w:color w:val="auto"/>
              </w:rPr>
              <w:t>Other non-cash items, net</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1,036</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9"/>
                <w:szCs w:val="19"/>
                <w:color w:val="auto"/>
              </w:rPr>
            </w:pPr>
          </w:p>
        </w:tc>
      </w:tr>
      <w:tr>
        <w:trPr>
          <w:trHeight w:val="236"/>
        </w:trPr>
        <w:tc>
          <w:tcPr>
            <w:tcW w:w="77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Changes in operating assets and liabilities: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3"/>
        </w:trPr>
        <w:tc>
          <w:tcPr>
            <w:tcW w:w="7780" w:type="dxa"/>
            <w:vAlign w:val="bottom"/>
          </w:tcPr>
          <w:p>
            <w:pPr>
              <w:ind w:left="380"/>
              <w:spacing w:after="0"/>
              <w:rPr>
                <w:sz w:val="20"/>
                <w:szCs w:val="20"/>
                <w:color w:val="auto"/>
              </w:rPr>
            </w:pPr>
            <w:r>
              <w:rPr>
                <w:rFonts w:ascii="Arial" w:cs="Arial" w:eastAsia="Arial" w:hAnsi="Arial"/>
                <w:sz w:val="17"/>
                <w:szCs w:val="17"/>
                <w:color w:val="auto"/>
              </w:rPr>
              <w:t>Accounts receivable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21,829</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6,609</w:t>
            </w:r>
          </w:p>
        </w:tc>
        <w:tc>
          <w:tcPr>
            <w:tcW w:w="100" w:type="dxa"/>
            <w:vAlign w:val="bottom"/>
          </w:tcPr>
          <w:p>
            <w:pPr>
              <w:spacing w:after="0"/>
              <w:rPr>
                <w:sz w:val="19"/>
                <w:szCs w:val="19"/>
                <w:color w:val="auto"/>
              </w:rPr>
            </w:pPr>
          </w:p>
        </w:tc>
      </w:tr>
      <w:tr>
        <w:trPr>
          <w:trHeight w:val="236"/>
        </w:trPr>
        <w:tc>
          <w:tcPr>
            <w:tcW w:w="77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Inventories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5,716</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5,116</w:t>
            </w:r>
          </w:p>
        </w:tc>
        <w:tc>
          <w:tcPr>
            <w:tcW w:w="100" w:type="dxa"/>
            <w:vAlign w:val="bottom"/>
            <w:shd w:val="clear" w:color="auto" w:fill="CFF0FC"/>
          </w:tcPr>
          <w:p>
            <w:pPr>
              <w:spacing w:after="0"/>
              <w:rPr>
                <w:sz w:val="20"/>
                <w:szCs w:val="20"/>
                <w:color w:val="auto"/>
              </w:rPr>
            </w:pPr>
          </w:p>
        </w:tc>
      </w:tr>
      <w:tr>
        <w:trPr>
          <w:trHeight w:val="223"/>
        </w:trPr>
        <w:tc>
          <w:tcPr>
            <w:tcW w:w="7780" w:type="dxa"/>
            <w:vAlign w:val="bottom"/>
          </w:tcPr>
          <w:p>
            <w:pPr>
              <w:ind w:left="380"/>
              <w:spacing w:after="0"/>
              <w:rPr>
                <w:sz w:val="20"/>
                <w:szCs w:val="20"/>
                <w:color w:val="auto"/>
              </w:rPr>
            </w:pPr>
            <w:r>
              <w:rPr>
                <w:rFonts w:ascii="Arial" w:cs="Arial" w:eastAsia="Arial" w:hAnsi="Arial"/>
                <w:sz w:val="17"/>
                <w:szCs w:val="17"/>
                <w:color w:val="auto"/>
              </w:rPr>
              <w:t>Prepaid expenses and other current assets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66</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(753 )</w:t>
            </w:r>
          </w:p>
        </w:tc>
      </w:tr>
      <w:tr>
        <w:trPr>
          <w:trHeight w:val="236"/>
        </w:trPr>
        <w:tc>
          <w:tcPr>
            <w:tcW w:w="77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Other non-current assets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765</w:t>
            </w:r>
          </w:p>
        </w:tc>
        <w:tc>
          <w:tcPr>
            <w:tcW w:w="100" w:type="dxa"/>
            <w:vAlign w:val="bottom"/>
            <w:shd w:val="clear" w:color="auto" w:fill="CFF0FC"/>
          </w:tcPr>
          <w:p>
            <w:pPr>
              <w:spacing w:after="0"/>
              <w:rPr>
                <w:sz w:val="20"/>
                <w:szCs w:val="20"/>
                <w:color w:val="auto"/>
              </w:rPr>
            </w:pPr>
          </w:p>
        </w:tc>
      </w:tr>
      <w:tr>
        <w:trPr>
          <w:trHeight w:val="223"/>
        </w:trPr>
        <w:tc>
          <w:tcPr>
            <w:tcW w:w="7780" w:type="dxa"/>
            <w:vAlign w:val="bottom"/>
          </w:tcPr>
          <w:p>
            <w:pPr>
              <w:ind w:left="380"/>
              <w:spacing w:after="0"/>
              <w:rPr>
                <w:sz w:val="20"/>
                <w:szCs w:val="20"/>
                <w:color w:val="auto"/>
              </w:rPr>
            </w:pPr>
            <w:r>
              <w:rPr>
                <w:rFonts w:ascii="Arial" w:cs="Arial" w:eastAsia="Arial" w:hAnsi="Arial"/>
                <w:sz w:val="17"/>
                <w:szCs w:val="17"/>
                <w:color w:val="auto"/>
              </w:rPr>
              <w:t>Accounts payable</w:t>
            </w:r>
          </w:p>
        </w:tc>
        <w:tc>
          <w:tcPr>
            <w:tcW w:w="940" w:type="dxa"/>
            <w:vAlign w:val="bottom"/>
          </w:tcPr>
          <w:p>
            <w:pPr>
              <w:spacing w:after="0"/>
              <w:rPr>
                <w:sz w:val="19"/>
                <w:szCs w:val="19"/>
                <w:color w:val="auto"/>
              </w:rPr>
            </w:pPr>
          </w:p>
        </w:tc>
        <w:tc>
          <w:tcPr>
            <w:tcW w:w="880" w:type="dxa"/>
            <w:vAlign w:val="bottom"/>
            <w:gridSpan w:val="2"/>
          </w:tcPr>
          <w:p>
            <w:pPr>
              <w:jc w:val="right"/>
              <w:ind w:right="115"/>
              <w:spacing w:after="0"/>
              <w:rPr>
                <w:sz w:val="20"/>
                <w:szCs w:val="20"/>
                <w:color w:val="auto"/>
              </w:rPr>
            </w:pPr>
            <w:r>
              <w:rPr>
                <w:rFonts w:ascii="Arial" w:cs="Arial" w:eastAsia="Arial" w:hAnsi="Arial"/>
                <w:sz w:val="17"/>
                <w:szCs w:val="17"/>
                <w:color w:val="auto"/>
              </w:rPr>
              <w:t>(6,878 )</w:t>
            </w:r>
          </w:p>
        </w:tc>
        <w:tc>
          <w:tcPr>
            <w:tcW w:w="9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w w:val="93"/>
              </w:rPr>
              <w:t>(11,873 )</w:t>
            </w:r>
          </w:p>
        </w:tc>
      </w:tr>
      <w:tr>
        <w:trPr>
          <w:trHeight w:val="236"/>
        </w:trPr>
        <w:tc>
          <w:tcPr>
            <w:tcW w:w="77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Accrued and other current liabilities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4,380</w:t>
            </w:r>
          </w:p>
        </w:tc>
        <w:tc>
          <w:tcPr>
            <w:tcW w:w="100" w:type="dxa"/>
            <w:vAlign w:val="bottom"/>
            <w:shd w:val="clear" w:color="auto" w:fill="CFF0FC"/>
          </w:tcPr>
          <w:p>
            <w:pPr>
              <w:spacing w:after="0"/>
              <w:rPr>
                <w:sz w:val="20"/>
                <w:szCs w:val="20"/>
                <w:color w:val="auto"/>
              </w:rPr>
            </w:pPr>
          </w:p>
        </w:tc>
      </w:tr>
      <w:tr>
        <w:trPr>
          <w:trHeight w:val="223"/>
        </w:trPr>
        <w:tc>
          <w:tcPr>
            <w:tcW w:w="7780" w:type="dxa"/>
            <w:vAlign w:val="bottom"/>
          </w:tcPr>
          <w:p>
            <w:pPr>
              <w:ind w:left="380"/>
              <w:spacing w:after="0"/>
              <w:rPr>
                <w:sz w:val="20"/>
                <w:szCs w:val="20"/>
                <w:color w:val="auto"/>
              </w:rPr>
            </w:pPr>
            <w:r>
              <w:rPr>
                <w:rFonts w:ascii="Arial" w:cs="Arial" w:eastAsia="Arial" w:hAnsi="Arial"/>
                <w:sz w:val="17"/>
                <w:szCs w:val="17"/>
                <w:color w:val="auto"/>
              </w:rPr>
              <w:t>Income taxes payable</w:t>
            </w:r>
          </w:p>
        </w:tc>
        <w:tc>
          <w:tcPr>
            <w:tcW w:w="940" w:type="dxa"/>
            <w:vAlign w:val="bottom"/>
          </w:tcPr>
          <w:p>
            <w:pPr>
              <w:spacing w:after="0"/>
              <w:rPr>
                <w:sz w:val="19"/>
                <w:szCs w:val="19"/>
                <w:color w:val="auto"/>
              </w:rPr>
            </w:pPr>
          </w:p>
        </w:tc>
        <w:tc>
          <w:tcPr>
            <w:tcW w:w="880" w:type="dxa"/>
            <w:vAlign w:val="bottom"/>
            <w:gridSpan w:val="2"/>
          </w:tcPr>
          <w:p>
            <w:pPr>
              <w:jc w:val="right"/>
              <w:ind w:right="115"/>
              <w:spacing w:after="0"/>
              <w:rPr>
                <w:sz w:val="20"/>
                <w:szCs w:val="20"/>
                <w:color w:val="auto"/>
              </w:rPr>
            </w:pPr>
            <w:r>
              <w:rPr>
                <w:rFonts w:ascii="Arial" w:cs="Arial" w:eastAsia="Arial" w:hAnsi="Arial"/>
                <w:sz w:val="17"/>
                <w:szCs w:val="17"/>
                <w:color w:val="auto"/>
              </w:rPr>
              <w:t>(1,654 )</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1,865</w:t>
            </w:r>
          </w:p>
        </w:tc>
        <w:tc>
          <w:tcPr>
            <w:tcW w:w="100" w:type="dxa"/>
            <w:vAlign w:val="bottom"/>
          </w:tcPr>
          <w:p>
            <w:pPr>
              <w:spacing w:after="0"/>
              <w:rPr>
                <w:sz w:val="19"/>
                <w:szCs w:val="19"/>
                <w:color w:val="auto"/>
              </w:rPr>
            </w:pPr>
          </w:p>
        </w:tc>
      </w:tr>
      <w:tr>
        <w:trPr>
          <w:trHeight w:val="236"/>
        </w:trPr>
        <w:tc>
          <w:tcPr>
            <w:tcW w:w="77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Deferred revenue</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325</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(957 )</w:t>
            </w:r>
          </w:p>
        </w:tc>
      </w:tr>
      <w:tr>
        <w:trPr>
          <w:trHeight w:val="223"/>
        </w:trPr>
        <w:tc>
          <w:tcPr>
            <w:tcW w:w="7780" w:type="dxa"/>
            <w:vAlign w:val="bottom"/>
          </w:tcPr>
          <w:p>
            <w:pPr>
              <w:ind w:left="380"/>
              <w:spacing w:after="0"/>
              <w:rPr>
                <w:sz w:val="20"/>
                <w:szCs w:val="20"/>
                <w:color w:val="auto"/>
              </w:rPr>
            </w:pPr>
            <w:r>
              <w:rPr>
                <w:rFonts w:ascii="Arial" w:cs="Arial" w:eastAsia="Arial" w:hAnsi="Arial"/>
                <w:sz w:val="17"/>
                <w:szCs w:val="17"/>
                <w:color w:val="auto"/>
              </w:rPr>
              <w:t>Operating lease liabilities</w:t>
            </w:r>
          </w:p>
        </w:tc>
        <w:tc>
          <w:tcPr>
            <w:tcW w:w="940" w:type="dxa"/>
            <w:vAlign w:val="bottom"/>
          </w:tcPr>
          <w:p>
            <w:pPr>
              <w:spacing w:after="0"/>
              <w:rPr>
                <w:sz w:val="19"/>
                <w:szCs w:val="19"/>
                <w:color w:val="auto"/>
              </w:rPr>
            </w:pPr>
          </w:p>
        </w:tc>
        <w:tc>
          <w:tcPr>
            <w:tcW w:w="880" w:type="dxa"/>
            <w:vAlign w:val="bottom"/>
            <w:gridSpan w:val="2"/>
          </w:tcPr>
          <w:p>
            <w:pPr>
              <w:jc w:val="right"/>
              <w:ind w:right="115"/>
              <w:spacing w:after="0"/>
              <w:rPr>
                <w:sz w:val="20"/>
                <w:szCs w:val="20"/>
                <w:color w:val="auto"/>
              </w:rPr>
            </w:pPr>
            <w:r>
              <w:rPr>
                <w:rFonts w:ascii="Arial" w:cs="Arial" w:eastAsia="Arial" w:hAnsi="Arial"/>
                <w:sz w:val="17"/>
                <w:szCs w:val="17"/>
                <w:color w:val="auto"/>
              </w:rPr>
              <w:t>(1,993 )</w:t>
            </w:r>
          </w:p>
        </w:tc>
        <w:tc>
          <w:tcPr>
            <w:tcW w:w="9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(2,159 )</w:t>
            </w:r>
          </w:p>
        </w:tc>
      </w:tr>
      <w:tr>
        <w:trPr>
          <w:trHeight w:val="234"/>
        </w:trPr>
        <w:tc>
          <w:tcPr>
            <w:tcW w:w="77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Other long-term liabilities</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(55 )</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FF0FC"/>
          </w:tcPr>
          <w:p>
            <w:pPr>
              <w:spacing w:after="0"/>
              <w:rPr>
                <w:sz w:val="20"/>
                <w:szCs w:val="20"/>
                <w:color w:val="auto"/>
              </w:rPr>
            </w:pPr>
          </w:p>
        </w:tc>
      </w:tr>
      <w:tr>
        <w:trPr>
          <w:trHeight w:val="223"/>
        </w:trPr>
        <w:tc>
          <w:tcPr>
            <w:tcW w:w="7780" w:type="dxa"/>
            <w:vAlign w:val="bottom"/>
            <w:tcBorders>
              <w:top w:val="single" w:sz="8" w:color="CFF0FC"/>
            </w:tcBorders>
          </w:tcPr>
          <w:p>
            <w:pPr>
              <w:ind w:left="560"/>
              <w:spacing w:after="0"/>
              <w:rPr>
                <w:sz w:val="20"/>
                <w:szCs w:val="20"/>
                <w:color w:val="auto"/>
              </w:rPr>
            </w:pPr>
            <w:r>
              <w:rPr>
                <w:rFonts w:ascii="Arial" w:cs="Arial" w:eastAsia="Arial" w:hAnsi="Arial"/>
                <w:sz w:val="17"/>
                <w:szCs w:val="17"/>
                <w:color w:val="auto"/>
              </w:rPr>
              <w:t>Net cash provided by operating activities</w:t>
            </w: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15,187</w:t>
            </w:r>
          </w:p>
        </w:tc>
        <w:tc>
          <w:tcPr>
            <w:tcW w:w="280" w:type="dxa"/>
            <w:vAlign w:val="bottom"/>
            <w:tcBorders>
              <w:top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33,003</w:t>
            </w:r>
          </w:p>
        </w:tc>
        <w:tc>
          <w:tcPr>
            <w:tcW w:w="100" w:type="dxa"/>
            <w:vAlign w:val="bottom"/>
            <w:tcBorders>
              <w:top w:val="single" w:sz="8" w:color="CFF0FC"/>
            </w:tcBorders>
          </w:tcPr>
          <w:p>
            <w:pPr>
              <w:spacing w:after="0"/>
              <w:rPr>
                <w:sz w:val="19"/>
                <w:szCs w:val="19"/>
                <w:color w:val="auto"/>
              </w:rPr>
            </w:pPr>
          </w:p>
        </w:tc>
      </w:tr>
      <w:tr>
        <w:trPr>
          <w:trHeight w:val="225"/>
        </w:trPr>
        <w:tc>
          <w:tcPr>
            <w:tcW w:w="77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7780" w:type="dxa"/>
            <w:vAlign w:val="bottom"/>
          </w:tcPr>
          <w:p>
            <w:pPr>
              <w:ind w:left="200"/>
              <w:spacing w:after="0"/>
              <w:rPr>
                <w:sz w:val="20"/>
                <w:szCs w:val="20"/>
                <w:color w:val="auto"/>
              </w:rPr>
            </w:pPr>
            <w:r>
              <w:rPr>
                <w:rFonts w:ascii="Arial" w:cs="Arial" w:eastAsia="Arial" w:hAnsi="Arial"/>
                <w:sz w:val="17"/>
                <w:szCs w:val="17"/>
                <w:color w:val="auto"/>
              </w:rPr>
              <w:t>Purchase of investments</w:t>
            </w:r>
          </w:p>
        </w:tc>
        <w:tc>
          <w:tcPr>
            <w:tcW w:w="940" w:type="dxa"/>
            <w:vAlign w:val="bottom"/>
          </w:tcPr>
          <w:p>
            <w:pPr>
              <w:spacing w:after="0"/>
              <w:rPr>
                <w:sz w:val="19"/>
                <w:szCs w:val="19"/>
                <w:color w:val="auto"/>
              </w:rPr>
            </w:pPr>
          </w:p>
        </w:tc>
        <w:tc>
          <w:tcPr>
            <w:tcW w:w="880" w:type="dxa"/>
            <w:vAlign w:val="bottom"/>
            <w:gridSpan w:val="2"/>
          </w:tcPr>
          <w:p>
            <w:pPr>
              <w:jc w:val="right"/>
              <w:ind w:right="115"/>
              <w:spacing w:after="0"/>
              <w:rPr>
                <w:sz w:val="20"/>
                <w:szCs w:val="20"/>
                <w:color w:val="auto"/>
              </w:rPr>
            </w:pPr>
            <w:r>
              <w:rPr>
                <w:rFonts w:ascii="Arial" w:cs="Arial" w:eastAsia="Arial" w:hAnsi="Arial"/>
                <w:sz w:val="17"/>
                <w:szCs w:val="17"/>
                <w:color w:val="auto"/>
                <w:w w:val="96"/>
              </w:rPr>
              <w:t>(34,178 )</w:t>
            </w:r>
          </w:p>
        </w:tc>
        <w:tc>
          <w:tcPr>
            <w:tcW w:w="9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(2,972 )</w:t>
            </w:r>
          </w:p>
        </w:tc>
      </w:tr>
      <w:tr>
        <w:trPr>
          <w:trHeight w:val="236"/>
        </w:trPr>
        <w:tc>
          <w:tcPr>
            <w:tcW w:w="77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Sales of investments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2,593</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r>
      <w:tr>
        <w:trPr>
          <w:trHeight w:val="261"/>
        </w:trPr>
        <w:tc>
          <w:tcPr>
            <w:tcW w:w="7780" w:type="dxa"/>
            <w:vAlign w:val="bottom"/>
          </w:tcPr>
          <w:p>
            <w:pPr>
              <w:ind w:left="200"/>
              <w:spacing w:after="0"/>
              <w:rPr>
                <w:sz w:val="20"/>
                <w:szCs w:val="20"/>
                <w:color w:val="auto"/>
              </w:rPr>
            </w:pPr>
            <w:r>
              <w:rPr>
                <w:rFonts w:ascii="Arial" w:cs="Arial" w:eastAsia="Arial" w:hAnsi="Arial"/>
                <w:sz w:val="17"/>
                <w:szCs w:val="17"/>
                <w:color w:val="auto"/>
              </w:rPr>
              <w:t>Maturities of investments</w:t>
            </w:r>
          </w:p>
        </w:tc>
        <w:tc>
          <w:tcPr>
            <w:tcW w:w="9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31,310</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38"/>
        </w:trPr>
        <w:tc>
          <w:tcPr>
            <w:tcW w:w="77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Purchase of tangible and intangible assets</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(7,694 )</w:t>
            </w: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(8,088 )</w:t>
            </w:r>
          </w:p>
        </w:tc>
      </w:tr>
      <w:tr>
        <w:trPr>
          <w:trHeight w:val="228"/>
        </w:trPr>
        <w:tc>
          <w:tcPr>
            <w:tcW w:w="7780" w:type="dxa"/>
            <w:vAlign w:val="bottom"/>
          </w:tcPr>
          <w:p>
            <w:pPr>
              <w:ind w:left="200"/>
              <w:spacing w:after="0"/>
              <w:rPr>
                <w:sz w:val="20"/>
                <w:szCs w:val="20"/>
                <w:color w:val="auto"/>
              </w:rPr>
            </w:pPr>
            <w:r>
              <w:rPr>
                <w:rFonts w:ascii="Arial" w:cs="Arial" w:eastAsia="Arial" w:hAnsi="Arial"/>
                <w:sz w:val="17"/>
                <w:szCs w:val="17"/>
                <w:color w:val="auto"/>
              </w:rPr>
              <w:t>Escrow claim associated with business acquisition</w:t>
            </w:r>
          </w:p>
        </w:tc>
        <w:tc>
          <w:tcPr>
            <w:tcW w:w="940" w:type="dxa"/>
            <w:vAlign w:val="bottom"/>
          </w:tcPr>
          <w:p>
            <w:pPr>
              <w:spacing w:after="0"/>
              <w:rPr>
                <w:sz w:val="19"/>
                <w:szCs w:val="19"/>
                <w:color w:val="auto"/>
              </w:rPr>
            </w:pPr>
          </w:p>
        </w:tc>
        <w:tc>
          <w:tcPr>
            <w:tcW w:w="880" w:type="dxa"/>
            <w:vAlign w:val="bottom"/>
            <w:gridSpan w:val="2"/>
          </w:tcPr>
          <w:p>
            <w:pPr>
              <w:jc w:val="right"/>
              <w:ind w:right="215"/>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749</w:t>
            </w:r>
          </w:p>
        </w:tc>
        <w:tc>
          <w:tcPr>
            <w:tcW w:w="100" w:type="dxa"/>
            <w:vAlign w:val="bottom"/>
          </w:tcPr>
          <w:p>
            <w:pPr>
              <w:spacing w:after="0"/>
              <w:rPr>
                <w:sz w:val="19"/>
                <w:szCs w:val="19"/>
                <w:color w:val="auto"/>
              </w:rPr>
            </w:pPr>
          </w:p>
        </w:tc>
      </w:tr>
      <w:tr>
        <w:trPr>
          <w:trHeight w:val="223"/>
        </w:trPr>
        <w:tc>
          <w:tcPr>
            <w:tcW w:w="77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7"/>
                <w:szCs w:val="17"/>
                <w:color w:val="auto"/>
              </w:rPr>
              <w:t>Net cash used in investing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(7,969</w:t>
            </w:r>
          </w:p>
        </w:tc>
        <w:tc>
          <w:tcPr>
            <w:tcW w:w="28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(10,311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0"/>
        </w:trPr>
        <w:tc>
          <w:tcPr>
            <w:tcW w:w="778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7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Proceeds from exercise of stock options and employee stock purchase plan</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5,179</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4,087</w:t>
            </w:r>
          </w:p>
        </w:tc>
        <w:tc>
          <w:tcPr>
            <w:tcW w:w="100" w:type="dxa"/>
            <w:vAlign w:val="bottom"/>
            <w:shd w:val="clear" w:color="auto" w:fill="CFF0FC"/>
          </w:tcPr>
          <w:p>
            <w:pPr>
              <w:spacing w:after="0"/>
              <w:rPr>
                <w:sz w:val="20"/>
                <w:szCs w:val="20"/>
                <w:color w:val="auto"/>
              </w:rPr>
            </w:pPr>
          </w:p>
        </w:tc>
      </w:tr>
      <w:tr>
        <w:trPr>
          <w:trHeight w:val="228"/>
        </w:trPr>
        <w:tc>
          <w:tcPr>
            <w:tcW w:w="7780" w:type="dxa"/>
            <w:vAlign w:val="bottom"/>
          </w:tcPr>
          <w:p>
            <w:pPr>
              <w:ind w:left="200"/>
              <w:spacing w:after="0"/>
              <w:rPr>
                <w:sz w:val="20"/>
                <w:szCs w:val="20"/>
                <w:color w:val="auto"/>
              </w:rPr>
            </w:pPr>
            <w:r>
              <w:rPr>
                <w:rFonts w:ascii="Arial" w:cs="Arial" w:eastAsia="Arial" w:hAnsi="Arial"/>
                <w:sz w:val="17"/>
                <w:szCs w:val="17"/>
                <w:color w:val="auto"/>
              </w:rPr>
              <w:t>Payment for intangible assets</w:t>
            </w:r>
          </w:p>
        </w:tc>
        <w:tc>
          <w:tcPr>
            <w:tcW w:w="940" w:type="dxa"/>
            <w:vAlign w:val="bottom"/>
          </w:tcPr>
          <w:p>
            <w:pPr>
              <w:spacing w:after="0"/>
              <w:rPr>
                <w:sz w:val="19"/>
                <w:szCs w:val="19"/>
                <w:color w:val="auto"/>
              </w:rPr>
            </w:pPr>
          </w:p>
        </w:tc>
        <w:tc>
          <w:tcPr>
            <w:tcW w:w="880" w:type="dxa"/>
            <w:vAlign w:val="bottom"/>
            <w:gridSpan w:val="2"/>
          </w:tcPr>
          <w:p>
            <w:pPr>
              <w:jc w:val="right"/>
              <w:ind w:right="115"/>
              <w:spacing w:after="0"/>
              <w:rPr>
                <w:sz w:val="20"/>
                <w:szCs w:val="20"/>
                <w:color w:val="auto"/>
              </w:rPr>
            </w:pPr>
            <w:r>
              <w:rPr>
                <w:rFonts w:ascii="Arial" w:cs="Arial" w:eastAsia="Arial" w:hAnsi="Arial"/>
                <w:sz w:val="17"/>
                <w:szCs w:val="17"/>
                <w:color w:val="auto"/>
              </w:rPr>
              <w:t>(3,423 )</w:t>
            </w:r>
          </w:p>
        </w:tc>
        <w:tc>
          <w:tcPr>
            <w:tcW w:w="9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(2,878 )</w:t>
            </w:r>
          </w:p>
        </w:tc>
      </w:tr>
      <w:tr>
        <w:trPr>
          <w:trHeight w:val="223"/>
        </w:trPr>
        <w:tc>
          <w:tcPr>
            <w:tcW w:w="77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7"/>
                <w:szCs w:val="17"/>
                <w:color w:val="auto"/>
              </w:rPr>
              <w:t>Net cash provided by financing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1,756</w:t>
            </w: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1,209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8"/>
        </w:trPr>
        <w:tc>
          <w:tcPr>
            <w:tcW w:w="7780" w:type="dxa"/>
            <w:vAlign w:val="bottom"/>
          </w:tcPr>
          <w:p>
            <w:pPr>
              <w:ind w:left="20"/>
              <w:spacing w:after="0"/>
              <w:rPr>
                <w:sz w:val="20"/>
                <w:szCs w:val="20"/>
                <w:color w:val="auto"/>
              </w:rPr>
            </w:pPr>
            <w:r>
              <w:rPr>
                <w:rFonts w:ascii="Arial" w:cs="Arial" w:eastAsia="Arial" w:hAnsi="Arial"/>
                <w:sz w:val="17"/>
                <w:szCs w:val="17"/>
                <w:color w:val="auto"/>
              </w:rPr>
              <w:t>Net increase in cash, cash equivalents and restricted cash</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8,974</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23,901</w:t>
            </w:r>
          </w:p>
        </w:tc>
        <w:tc>
          <w:tcPr>
            <w:tcW w:w="100" w:type="dxa"/>
            <w:vAlign w:val="bottom"/>
          </w:tcPr>
          <w:p>
            <w:pPr>
              <w:spacing w:after="0"/>
              <w:rPr>
                <w:sz w:val="18"/>
                <w:szCs w:val="18"/>
                <w:color w:val="auto"/>
              </w:rPr>
            </w:pPr>
          </w:p>
        </w:tc>
      </w:tr>
      <w:tr>
        <w:trPr>
          <w:trHeight w:val="234"/>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9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113,549</w:t>
            </w:r>
          </w:p>
        </w:tc>
        <w:tc>
          <w:tcPr>
            <w:tcW w:w="2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171,053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5"/>
        </w:trPr>
        <w:tc>
          <w:tcPr>
            <w:tcW w:w="778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at end of period</w:t>
            </w:r>
          </w:p>
        </w:tc>
        <w:tc>
          <w:tcPr>
            <w:tcW w:w="940" w:type="dxa"/>
            <w:vAlign w:val="bottom"/>
            <w:tcBorders>
              <w:bottom w:val="single" w:sz="8" w:color="auto"/>
            </w:tcBorders>
          </w:tcPr>
          <w:p>
            <w:pPr>
              <w:jc w:val="right"/>
              <w:ind w:right="78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122,523</w:t>
            </w:r>
          </w:p>
        </w:tc>
        <w:tc>
          <w:tcPr>
            <w:tcW w:w="280" w:type="dxa"/>
            <w:vAlign w:val="bottom"/>
          </w:tcPr>
          <w:p>
            <w:pPr>
              <w:spacing w:after="0"/>
              <w:rPr>
                <w:sz w:val="19"/>
                <w:szCs w:val="19"/>
                <w:color w:val="auto"/>
              </w:rPr>
            </w:pPr>
          </w:p>
        </w:tc>
        <w:tc>
          <w:tcPr>
            <w:tcW w:w="940" w:type="dxa"/>
            <w:vAlign w:val="bottom"/>
            <w:tcBorders>
              <w:bottom w:val="single" w:sz="8" w:color="auto"/>
            </w:tcBorders>
          </w:tcPr>
          <w:p>
            <w:pPr>
              <w:jc w:val="right"/>
              <w:ind w:right="757"/>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194,954</w:t>
            </w:r>
          </w:p>
        </w:tc>
        <w:tc>
          <w:tcPr>
            <w:tcW w:w="10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80" w:type="dxa"/>
            <w:vAlign w:val="bottom"/>
          </w:tcPr>
          <w:p>
            <w:pPr>
              <w:ind w:left="200"/>
              <w:spacing w:after="0"/>
              <w:rPr>
                <w:sz w:val="20"/>
                <w:szCs w:val="20"/>
                <w:color w:val="auto"/>
              </w:rPr>
            </w:pPr>
            <w:r>
              <w:rPr>
                <w:rFonts w:ascii="Arial" w:cs="Arial" w:eastAsia="Arial" w:hAnsi="Arial"/>
                <w:sz w:val="17"/>
                <w:szCs w:val="17"/>
                <w:color w:val="auto"/>
              </w:rPr>
              <w:t>Cash paid for income taxes</w:t>
            </w:r>
          </w:p>
        </w:tc>
        <w:tc>
          <w:tcPr>
            <w:tcW w:w="940" w:type="dxa"/>
            <w:vAlign w:val="bottom"/>
            <w:tcBorders>
              <w:bottom w:val="single" w:sz="8" w:color="auto"/>
            </w:tcBorders>
          </w:tcPr>
          <w:p>
            <w:pPr>
              <w:jc w:val="right"/>
              <w:ind w:right="78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2,975</w:t>
            </w:r>
          </w:p>
        </w:tc>
        <w:tc>
          <w:tcPr>
            <w:tcW w:w="280" w:type="dxa"/>
            <w:vAlign w:val="bottom"/>
          </w:tcPr>
          <w:p>
            <w:pPr>
              <w:spacing w:after="0"/>
              <w:rPr>
                <w:sz w:val="19"/>
                <w:szCs w:val="19"/>
                <w:color w:val="auto"/>
              </w:rPr>
            </w:pPr>
          </w:p>
        </w:tc>
        <w:tc>
          <w:tcPr>
            <w:tcW w:w="940" w:type="dxa"/>
            <w:vAlign w:val="bottom"/>
            <w:tcBorders>
              <w:bottom w:val="single" w:sz="8" w:color="auto"/>
            </w:tcBorders>
          </w:tcPr>
          <w:p>
            <w:pPr>
              <w:jc w:val="right"/>
              <w:ind w:right="757"/>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w:t>
            </w:r>
          </w:p>
        </w:tc>
        <w:tc>
          <w:tcPr>
            <w:tcW w:w="10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Supplemental disclosure of noncash investing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80" w:type="dxa"/>
            <w:vAlign w:val="bottom"/>
          </w:tcPr>
          <w:p>
            <w:pPr>
              <w:ind w:left="200"/>
              <w:spacing w:after="0"/>
              <w:rPr>
                <w:sz w:val="20"/>
                <w:szCs w:val="20"/>
                <w:color w:val="auto"/>
              </w:rPr>
            </w:pPr>
            <w:r>
              <w:rPr>
                <w:rFonts w:ascii="Arial" w:cs="Arial" w:eastAsia="Arial" w:hAnsi="Arial"/>
                <w:sz w:val="17"/>
                <w:szCs w:val="17"/>
                <w:color w:val="auto"/>
              </w:rPr>
              <w:t>Unpaid liabilities related to tangible and intangible assets purchases</w:t>
            </w:r>
          </w:p>
        </w:tc>
        <w:tc>
          <w:tcPr>
            <w:tcW w:w="940" w:type="dxa"/>
            <w:vAlign w:val="bottom"/>
            <w:tcBorders>
              <w:bottom w:val="single" w:sz="8" w:color="auto"/>
            </w:tcBorders>
          </w:tcPr>
          <w:p>
            <w:pPr>
              <w:jc w:val="right"/>
              <w:ind w:right="78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8,188</w:t>
            </w:r>
          </w:p>
        </w:tc>
        <w:tc>
          <w:tcPr>
            <w:tcW w:w="280" w:type="dxa"/>
            <w:vAlign w:val="bottom"/>
          </w:tcPr>
          <w:p>
            <w:pPr>
              <w:spacing w:after="0"/>
              <w:rPr>
                <w:sz w:val="19"/>
                <w:szCs w:val="19"/>
                <w:color w:val="auto"/>
              </w:rPr>
            </w:pPr>
          </w:p>
        </w:tc>
        <w:tc>
          <w:tcPr>
            <w:tcW w:w="940" w:type="dxa"/>
            <w:vAlign w:val="bottom"/>
            <w:tcBorders>
              <w:bottom w:val="single" w:sz="8" w:color="auto"/>
            </w:tcBorders>
          </w:tcPr>
          <w:p>
            <w:pPr>
              <w:jc w:val="right"/>
              <w:ind w:right="757"/>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3,647</w:t>
            </w:r>
          </w:p>
        </w:tc>
        <w:tc>
          <w:tcPr>
            <w:tcW w:w="10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-2931160</wp:posOffset>
            </wp:positionV>
            <wp:extent cx="6858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-2931160</wp:posOffset>
            </wp:positionV>
            <wp:extent cx="6858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-1713865</wp:posOffset>
            </wp:positionV>
            <wp:extent cx="6858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-1113790</wp:posOffset>
            </wp:positionV>
            <wp:extent cx="6858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-814070</wp:posOffset>
            </wp:positionV>
            <wp:extent cx="68580"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4800"/>
        <w:spacing w:after="0"/>
        <w:rPr>
          <w:sz w:val="20"/>
          <w:szCs w:val="20"/>
          <w:color w:val="auto"/>
        </w:rPr>
      </w:pPr>
      <w:r>
        <w:rPr>
          <w:rFonts w:ascii="Arial" w:cs="Arial" w:eastAsia="Arial" w:hAnsi="Arial"/>
          <w:sz w:val="18"/>
          <w:szCs w:val="18"/>
          <w:b w:val="1"/>
          <w:bCs w:val="1"/>
          <w:color w:val="auto"/>
        </w:rPr>
        <w:t>AMBARELLA, INC.</w:t>
      </w:r>
    </w:p>
    <w:p>
      <w:pPr>
        <w:spacing w:after="0" w:line="11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20" w:right="6240" w:hanging="512"/>
        <w:spacing w:after="0" w:line="377" w:lineRule="auto"/>
        <w:tabs>
          <w:tab w:leader="none" w:pos="191"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Summary of Significant Accounting Policies </w:t>
      </w:r>
      <w:r>
        <w:rPr>
          <w:rFonts w:ascii="Arial" w:cs="Arial" w:eastAsia="Arial" w:hAnsi="Arial"/>
          <w:sz w:val="18"/>
          <w:szCs w:val="18"/>
          <w:b w:val="1"/>
          <w:bCs w:val="1"/>
          <w:i w:val="1"/>
          <w:iCs w:val="1"/>
          <w:color w:val="auto"/>
        </w:rPr>
        <w:t>Organization</w:t>
      </w:r>
    </w:p>
    <w:p>
      <w:pPr>
        <w:spacing w:after="0" w:line="2"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Ambarella, Inc. (the Company) was incorporated in the Cayman Islands on January 15, 2004. The Company is a leading developer of low-power semiconductor solutions offering high-definition (HD) and Ultra HD compression, image processing, and powerful deep neural network processing.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designs fully integrate high-definition video processing, image processing, artificial intelligence (AI) computer vision algorithms, audio processing and system functions onto a single chip. These low power SoCs deliver exceptional video and image quality and can extract valuable data from high-resolution video and radar streams. The Company is currently addressing a broad range of human and computer vision applications, including video security, advanced driver assistance systems (ADAS), electronic mirrors, drive recorders, driver/cabin monitoring systems, autonomous driving, and industrial and robotic applications.</w:t>
      </w:r>
    </w:p>
    <w:p>
      <w:pPr>
        <w:spacing w:after="0" w:line="181" w:lineRule="exact"/>
        <w:rPr>
          <w:sz w:val="20"/>
          <w:szCs w:val="20"/>
          <w:color w:val="auto"/>
        </w:rPr>
      </w:pPr>
    </w:p>
    <w:p>
      <w:pPr>
        <w:ind w:right="280" w:firstLine="509"/>
        <w:spacing w:after="0" w:line="308" w:lineRule="auto"/>
        <w:rPr>
          <w:sz w:val="20"/>
          <w:szCs w:val="20"/>
          <w:color w:val="auto"/>
        </w:rPr>
      </w:pPr>
      <w:r>
        <w:rPr>
          <w:rFonts w:ascii="Arial" w:cs="Arial" w:eastAsia="Arial" w:hAnsi="Arial"/>
          <w:sz w:val="17"/>
          <w:szCs w:val="17"/>
          <w:color w:val="auto"/>
        </w:rPr>
        <w:t>The Company sells its solutions to leading original equipment manufacturers, or OEMs, who include the Company’s SoCs in their products, and original design manufacturers, or ODMs, who include the Company’s SoCs in the products that they supply to OEMs, globally.</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accompanying unaudited condensed consolidated financial statements have been prepared by the Company in accordance with the instructions to Form 10-Q pursuant to the rules and regulations of the Securities and Exchange Commission (SEC) and, therefore, do not include all information and notes normally provided in audited financial statements. The accounting policies are described in the “Notes to Consolidated Financial Statements” in the Annual Report on Form 10-K for the 2023 fiscal year filed with the SEC on March 31, 2023 (the Form 10-K) and updated, as necessary, in this Form 10-Q. The year-end condensed consolidated balance sheet data presented for comparative purposes was derived from audited financial statements, but does not include all disclosures required by generally accepted accounting principles in the United States (U.S. GAAP). In the opinion of management, all adjustments (consisting of normal recurring accruals and adjustments) considered necessary for a fair statement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the Form 10-K.</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right="320" w:firstLine="509"/>
        <w:spacing w:after="0" w:line="308" w:lineRule="auto"/>
        <w:rPr>
          <w:sz w:val="20"/>
          <w:szCs w:val="20"/>
          <w:color w:val="auto"/>
        </w:rPr>
      </w:pPr>
      <w:r>
        <w:rPr>
          <w:rFonts w:ascii="Arial" w:cs="Arial" w:eastAsia="Arial" w:hAnsi="Arial"/>
          <w:sz w:val="17"/>
          <w:szCs w:val="17"/>
          <w:color w:val="auto"/>
        </w:rPr>
        <w:t>The Company’s fiscal year ends on January 31. The condensed consolidated financial statements of the Company and its subsidiaries have been prepared in conformity with U.S. GAAP. All intercompany transactions and balances have been eliminated upon consolidation.</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There have been no material changes to the Company’s significant accounting policies described in Note 1 - Organization and Summary of Significant Accounting Policies, of the Notes to Consolidated Financial Statements included in the Company’s Annual Report on Form 10-K for the fiscal year ended January 31, 2023.</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17" w:lineRule="exact"/>
        <w:rPr>
          <w:sz w:val="20"/>
          <w:szCs w:val="20"/>
          <w:color w:val="auto"/>
        </w:rPr>
      </w:pPr>
    </w:p>
    <w:p>
      <w:pPr>
        <w:jc w:val="both"/>
        <w:ind w:right="80" w:firstLine="509"/>
        <w:spacing w:after="0" w:line="286" w:lineRule="auto"/>
        <w:rPr>
          <w:sz w:val="20"/>
          <w:szCs w:val="20"/>
          <w:color w:val="auto"/>
        </w:rPr>
      </w:pPr>
      <w:r>
        <w:rPr>
          <w:rFonts w:ascii="Arial" w:cs="Arial" w:eastAsia="Arial" w:hAnsi="Arial"/>
          <w:sz w:val="17"/>
          <w:szCs w:val="17"/>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ind w:right="140" w:firstLine="554"/>
        <w:spacing w:after="0" w:line="255" w:lineRule="auto"/>
        <w:rPr>
          <w:sz w:val="20"/>
          <w:szCs w:val="20"/>
          <w:color w:val="auto"/>
        </w:rPr>
      </w:pPr>
      <w:r>
        <w:rPr>
          <w:rFonts w:ascii="Arial" w:cs="Arial" w:eastAsia="Arial" w:hAnsi="Arial"/>
          <w:sz w:val="18"/>
          <w:szCs w:val="18"/>
          <w:color w:val="auto"/>
        </w:rPr>
        <w:t>A substantial portion of the Company’s revenue is derived from sales through one of its distributors, WT Microelectronics Co., Ltd., formerly Wintech Microelectronics Co., Ltd., or WT, which serves as its non-exclusive sales representative and fulfillment partner in Asia other than Japan, and to one ODM, Chicony Electronics Co., Ltd., or Chicony, which manufactures devices incorporating the Company’s solutions on behalf of multiple end-customers. Termination of the relationships with these customers could result in a temporary or permanent loss of revenue. Furthermore, any credit issues from these customers could impair their abilities to make timely payment to the Company. See Note 14 for additional information regarding revenue and credit concentration with these customers.</w:t>
      </w:r>
    </w:p>
    <w:p>
      <w:pPr>
        <w:spacing w:after="0" w:line="192" w:lineRule="exact"/>
        <w:rPr>
          <w:sz w:val="20"/>
          <w:szCs w:val="20"/>
          <w:color w:val="auto"/>
        </w:rPr>
      </w:pPr>
    </w:p>
    <w:p>
      <w:pPr>
        <w:ind w:firstLine="554"/>
        <w:spacing w:after="0" w:line="273"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commercial paper, corporate bonds, asset-backed securities and U.S. government securities which management assesses to be highly liquid. The Company does not hold or issue financial instruments for trading purposes.</w:t>
      </w:r>
    </w:p>
    <w:p>
      <w:pPr>
        <w:spacing w:after="0" w:line="178"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The Company performs ongoing credit evaluation of its customers and adjusts credit limits based upon payment history and customers’ credit worthiness. The Company regularly monitors collections and payments from its customers.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Amounts included in restricted cash represent those required to be set aside to secure certain transactions in a foreign entity. As of July 31, 2023 and January 31, 2023, restricted cash was immaterial, respectively. The following table presents cash, cash equivalents and restricted cash reported on the condensed consolidated balance sheets, and the totals are presented on the condensed consolidated statements of cash flows: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277"/>
              <w:spacing w:after="0" w:line="133" w:lineRule="exact"/>
              <w:rPr>
                <w:sz w:val="20"/>
                <w:szCs w:val="20"/>
                <w:color w:val="auto"/>
              </w:rPr>
            </w:pPr>
            <w:r>
              <w:rPr>
                <w:rFonts w:ascii="Arial" w:cs="Arial" w:eastAsia="Arial" w:hAnsi="Arial"/>
                <w:sz w:val="14"/>
                <w:szCs w:val="14"/>
                <w:b w:val="1"/>
                <w:bCs w:val="1"/>
                <w:color w:val="auto"/>
              </w:rPr>
              <w:t>July 31,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140"/>
              <w:spacing w:after="0" w:line="133" w:lineRule="exact"/>
              <w:rPr>
                <w:sz w:val="20"/>
                <w:szCs w:val="20"/>
                <w:color w:val="auto"/>
              </w:rPr>
            </w:pPr>
            <w:r>
              <w:rPr>
                <w:rFonts w:ascii="Arial" w:cs="Arial" w:eastAsia="Arial" w:hAnsi="Arial"/>
                <w:sz w:val="14"/>
                <w:szCs w:val="14"/>
                <w:b w:val="1"/>
                <w:bCs w:val="1"/>
                <w:color w:val="auto"/>
                <w:w w:val="98"/>
              </w:rPr>
              <w:t>January 31,</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jc w:val="right"/>
              <w:ind w:right="237"/>
              <w:spacing w:after="0" w:line="133" w:lineRule="exact"/>
              <w:rPr>
                <w:sz w:val="20"/>
                <w:szCs w:val="20"/>
                <w:color w:val="auto"/>
              </w:rPr>
            </w:pPr>
            <w:r>
              <w:rPr>
                <w:rFonts w:ascii="Arial" w:cs="Arial" w:eastAsia="Arial" w:hAnsi="Arial"/>
                <w:sz w:val="14"/>
                <w:szCs w:val="14"/>
                <w:b w:val="1"/>
                <w:bCs w:val="1"/>
                <w:color w:val="auto"/>
                <w:w w:val="89"/>
              </w:rPr>
              <w:t>July 31,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137"/>
              <w:spacing w:after="0" w:line="133" w:lineRule="exact"/>
              <w:rPr>
                <w:sz w:val="20"/>
                <w:szCs w:val="20"/>
                <w:color w:val="auto"/>
              </w:rPr>
            </w:pPr>
            <w:r>
              <w:rPr>
                <w:rFonts w:ascii="Arial" w:cs="Arial" w:eastAsia="Arial" w:hAnsi="Arial"/>
                <w:sz w:val="14"/>
                <w:szCs w:val="14"/>
                <w:b w:val="1"/>
                <w:bCs w:val="1"/>
                <w:color w:val="auto"/>
                <w:w w:val="95"/>
              </w:rPr>
              <w:t>January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122,515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113,541</w:t>
            </w:r>
          </w:p>
        </w:tc>
        <w:tc>
          <w:tcPr>
            <w:tcW w:w="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194,944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171,043</w:t>
            </w:r>
          </w:p>
        </w:tc>
        <w:tc>
          <w:tcPr>
            <w:tcW w:w="8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as presented in the condensed</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122,523</w:t>
            </w:r>
          </w:p>
        </w:tc>
        <w:tc>
          <w:tcPr>
            <w:tcW w:w="20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113,549</w:t>
            </w:r>
          </w:p>
        </w:tc>
        <w:tc>
          <w:tcPr>
            <w:tcW w:w="180" w:type="dxa"/>
            <w:vAlign w:val="bottom"/>
            <w:vMerge w:val="restart"/>
            <w:shd w:val="clear" w:color="auto" w:fill="CFF0FC"/>
          </w:tcPr>
          <w:p>
            <w:pPr>
              <w:spacing w:after="0"/>
              <w:rPr>
                <w:sz w:val="18"/>
                <w:szCs w:val="18"/>
                <w:color w:val="auto"/>
              </w:rPr>
            </w:pP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194,954</w:t>
            </w:r>
          </w:p>
        </w:tc>
        <w:tc>
          <w:tcPr>
            <w:tcW w:w="18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171,053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0" w:type="dxa"/>
            <w:vAlign w:val="bottom"/>
            <w:tcBorders>
              <w:bottom w:val="single" w:sz="8" w:color="CFF0FC"/>
            </w:tcBorders>
            <w:shd w:val="clear" w:color="auto" w:fill="CFF0FC"/>
          </w:tcPr>
          <w:p>
            <w:pPr>
              <w:ind w:left="180"/>
              <w:spacing w:after="0" w:line="203" w:lineRule="exact"/>
              <w:rPr>
                <w:sz w:val="20"/>
                <w:szCs w:val="20"/>
                <w:color w:val="auto"/>
              </w:rPr>
            </w:pPr>
            <w:r>
              <w:rPr>
                <w:rFonts w:ascii="Arial" w:cs="Arial" w:eastAsia="Arial" w:hAnsi="Arial"/>
                <w:sz w:val="18"/>
                <w:szCs w:val="18"/>
                <w:color w:val="auto"/>
              </w:rPr>
              <w:t>consolidated statements of cash flows</w:t>
            </w:r>
          </w:p>
        </w:tc>
        <w:tc>
          <w:tcPr>
            <w:tcW w:w="220" w:type="dxa"/>
            <w:vAlign w:val="bottom"/>
            <w:tcBorders>
              <w:bottom w:val="single" w:sz="8" w:color="auto"/>
            </w:tcBorders>
            <w:vMerge w:val="continue"/>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180" w:type="dxa"/>
            <w:vAlign w:val="bottom"/>
            <w:tcBorders>
              <w:bottom w:val="single" w:sz="8" w:color="CFF0FC"/>
            </w:tcBorders>
            <w:vMerge w:val="continue"/>
            <w:shd w:val="clear" w:color="auto" w:fill="CFF0FC"/>
          </w:tcPr>
          <w:p>
            <w:pPr>
              <w:spacing w:after="0"/>
              <w:rPr>
                <w:sz w:val="21"/>
                <w:szCs w:val="21"/>
                <w:color w:val="auto"/>
              </w:rPr>
            </w:pPr>
          </w:p>
        </w:tc>
        <w:tc>
          <w:tcPr>
            <w:tcW w:w="320" w:type="dxa"/>
            <w:vAlign w:val="bottom"/>
            <w:tcBorders>
              <w:bottom w:val="single" w:sz="8" w:color="auto"/>
            </w:tcBorders>
            <w:vMerge w:val="continue"/>
            <w:shd w:val="clear" w:color="auto" w:fill="CFF0FC"/>
          </w:tcPr>
          <w:p>
            <w:pPr>
              <w:spacing w:after="0"/>
              <w:rPr>
                <w:sz w:val="21"/>
                <w:szCs w:val="21"/>
                <w:color w:val="auto"/>
              </w:rPr>
            </w:pPr>
          </w:p>
        </w:tc>
        <w:tc>
          <w:tcPr>
            <w:tcW w:w="800" w:type="dxa"/>
            <w:vAlign w:val="bottom"/>
            <w:tcBorders>
              <w:bottom w:val="single" w:sz="8" w:color="auto"/>
            </w:tcBorders>
            <w:vMerge w:val="continue"/>
            <w:shd w:val="clear" w:color="auto" w:fill="CFF0FC"/>
          </w:tcPr>
          <w:p>
            <w:pPr>
              <w:spacing w:after="0"/>
              <w:rPr>
                <w:sz w:val="21"/>
                <w:szCs w:val="21"/>
                <w:color w:val="auto"/>
              </w:rPr>
            </w:pPr>
          </w:p>
        </w:tc>
        <w:tc>
          <w:tcPr>
            <w:tcW w:w="18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-24765</wp:posOffset>
            </wp:positionV>
            <wp:extent cx="2554605" cy="196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54605" cy="19685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 Financial Instruments and Fair Value</w:t>
      </w:r>
    </w:p>
    <w:p>
      <w:pPr>
        <w:spacing w:after="0" w:line="121" w:lineRule="exact"/>
        <w:rPr>
          <w:sz w:val="20"/>
          <w:szCs w:val="20"/>
          <w:color w:val="auto"/>
        </w:rPr>
      </w:pPr>
    </w:p>
    <w:p>
      <w:pPr>
        <w:ind w:right="20" w:firstLine="554"/>
        <w:spacing w:after="0" w:line="286" w:lineRule="auto"/>
        <w:rPr>
          <w:sz w:val="20"/>
          <w:szCs w:val="20"/>
          <w:color w:val="auto"/>
        </w:rPr>
      </w:pPr>
      <w:r>
        <w:rPr>
          <w:rFonts w:ascii="Arial" w:cs="Arial" w:eastAsia="Arial" w:hAnsi="Arial"/>
          <w:sz w:val="17"/>
          <w:szCs w:val="17"/>
          <w:color w:val="auto"/>
        </w:rPr>
        <w:t>The Company invests a portion of its cash in money market funds and debt securities that are denominated in United States dollars. The debt security investment portfolio consists of commercial paper, corporate bonds, asset-backed securities and U.S. government securities. All of the investments are classified as available-for-sale securities and reported at fair value in the condensed consolidated balance sheets as follows: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right"/>
              <w:ind w:right="690"/>
              <w:spacing w:after="0"/>
              <w:rPr>
                <w:sz w:val="20"/>
                <w:szCs w:val="20"/>
                <w:color w:val="auto"/>
              </w:rPr>
            </w:pPr>
            <w:r>
              <w:rPr>
                <w:rFonts w:ascii="Arial" w:cs="Arial" w:eastAsia="Arial" w:hAnsi="Arial"/>
                <w:sz w:val="14"/>
                <w:szCs w:val="14"/>
                <w:b w:val="1"/>
                <w:bCs w:val="1"/>
                <w:color w:val="auto"/>
              </w:rPr>
              <w:t>As of July 31, 2023</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240" w:type="dxa"/>
            <w:vAlign w:val="bottom"/>
          </w:tcPr>
          <w:p>
            <w:pPr>
              <w:spacing w:after="0"/>
              <w:rPr>
                <w:sz w:val="13"/>
                <w:szCs w:val="13"/>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Amortized Cost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18"/>
              <w:spacing w:after="0" w:line="160"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70"/>
              <w:spacing w:after="0" w:line="160"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3"/>
                <w:szCs w:val="13"/>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18"/>
              <w:spacing w:after="0"/>
              <w:rPr>
                <w:sz w:val="20"/>
                <w:szCs w:val="20"/>
                <w:color w:val="auto"/>
              </w:rPr>
            </w:pPr>
            <w:r>
              <w:rPr>
                <w:rFonts w:ascii="Arial" w:cs="Arial" w:eastAsia="Arial" w:hAnsi="Arial"/>
                <w:sz w:val="14"/>
                <w:szCs w:val="14"/>
                <w:b w:val="1"/>
                <w:bCs w:val="1"/>
                <w:color w:val="auto"/>
              </w:rPr>
              <w:t>(in</w:t>
            </w:r>
          </w:p>
        </w:tc>
        <w:tc>
          <w:tcPr>
            <w:tcW w:w="1220" w:type="dxa"/>
            <w:vAlign w:val="bottom"/>
            <w:gridSpan w:val="3"/>
          </w:tcPr>
          <w:p>
            <w:pPr>
              <w:jc w:val="center"/>
              <w:ind w:right="616"/>
              <w:spacing w:after="0"/>
              <w:rPr>
                <w:sz w:val="20"/>
                <w:szCs w:val="20"/>
                <w:color w:val="auto"/>
              </w:rPr>
            </w:pPr>
            <w:r>
              <w:rPr>
                <w:rFonts w:ascii="Arial" w:cs="Arial" w:eastAsia="Arial" w:hAnsi="Arial"/>
                <w:sz w:val="13"/>
                <w:szCs w:val="13"/>
                <w:b w:val="1"/>
                <w:bCs w:val="1"/>
                <w:color w:val="auto"/>
                <w:w w:val="74"/>
              </w:rPr>
              <w:t>thousands)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center"/>
              <w:ind w:left="14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9,382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42,870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(398 )</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19,609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(217 )</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28,452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(356 )</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Total cash equivalents and marketable debt securities</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103,805</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(971 )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102,875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4"/>
                <w:szCs w:val="14"/>
                <w:b w:val="1"/>
                <w:bCs w:val="1"/>
                <w:color w:val="auto"/>
              </w:rPr>
              <w:t>As of January 31, 2023</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Amortized Cost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118"/>
              <w:spacing w:after="0" w:line="133"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7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18"/>
              <w:spacing w:after="0"/>
              <w:rPr>
                <w:sz w:val="20"/>
                <w:szCs w:val="20"/>
                <w:color w:val="auto"/>
              </w:rPr>
            </w:pPr>
            <w:r>
              <w:rPr>
                <w:rFonts w:ascii="Arial" w:cs="Arial" w:eastAsia="Arial" w:hAnsi="Arial"/>
                <w:sz w:val="14"/>
                <w:szCs w:val="14"/>
                <w:b w:val="1"/>
                <w:bCs w:val="1"/>
                <w:color w:val="auto"/>
              </w:rPr>
              <w:t>(in</w:t>
            </w:r>
          </w:p>
        </w:tc>
        <w:tc>
          <w:tcPr>
            <w:tcW w:w="1220" w:type="dxa"/>
            <w:vAlign w:val="bottom"/>
            <w:gridSpan w:val="3"/>
          </w:tcPr>
          <w:p>
            <w:pPr>
              <w:jc w:val="center"/>
              <w:ind w:right="616"/>
              <w:spacing w:after="0"/>
              <w:rPr>
                <w:sz w:val="20"/>
                <w:szCs w:val="20"/>
                <w:color w:val="auto"/>
              </w:rPr>
            </w:pPr>
            <w:r>
              <w:rPr>
                <w:rFonts w:ascii="Arial" w:cs="Arial" w:eastAsia="Arial" w:hAnsi="Arial"/>
                <w:sz w:val="13"/>
                <w:szCs w:val="13"/>
                <w:b w:val="1"/>
                <w:bCs w:val="1"/>
                <w:color w:val="auto"/>
                <w:w w:val="74"/>
              </w:rPr>
              <w:t>thousands)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Money market funds</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7,872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center"/>
              <w:ind w:left="14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18,333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3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18,333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23,472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7"/>
                <w:szCs w:val="17"/>
                <w:color w:val="auto"/>
              </w:rPr>
              <w:t>(224 )</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23,298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Asset-backed securities</w:t>
            </w: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18,753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50"/>
              <w:spacing w:after="0"/>
              <w:rPr>
                <w:sz w:val="20"/>
                <w:szCs w:val="20"/>
                <w:color w:val="auto"/>
              </w:rPr>
            </w:pPr>
            <w:r>
              <w:rPr>
                <w:rFonts w:ascii="Arial" w:cs="Arial" w:eastAsia="Arial" w:hAnsi="Arial"/>
                <w:sz w:val="17"/>
                <w:szCs w:val="17"/>
                <w:color w:val="auto"/>
              </w:rPr>
              <w:t>(149 )</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33,256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7"/>
                <w:szCs w:val="17"/>
                <w:color w:val="auto"/>
              </w:rPr>
              <w:t>(235 )</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52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cash equivalents and marketable debt securities</w:t>
            </w:r>
          </w:p>
        </w:tc>
        <w:tc>
          <w:tcPr>
            <w:tcW w:w="26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101,686</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101,194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-1739265</wp:posOffset>
            </wp:positionV>
            <wp:extent cx="68580" cy="3429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-1739265</wp:posOffset>
            </wp:positionV>
            <wp:extent cx="60325" cy="3429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34290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-1739265</wp:posOffset>
            </wp:positionV>
            <wp:extent cx="60325" cy="3429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34290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-1739265</wp:posOffset>
            </wp:positionV>
            <wp:extent cx="60325" cy="9429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94297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-25400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July 31, 2023, there were no debt securities with unrealized losses for more than twelve months.</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9"/>
              </w:rPr>
              <w:t>July 31, 2023</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2"/>
              </w:rPr>
              <w:t>January 31, 2023</w:t>
            </w:r>
          </w:p>
        </w:tc>
        <w:tc>
          <w:tcPr>
            <w:tcW w:w="80" w:type="dxa"/>
            <w:vAlign w:val="bottom"/>
          </w:tcPr>
          <w:p>
            <w:pPr>
              <w:spacing w:after="0"/>
              <w:rPr>
                <w:sz w:val="17"/>
                <w:szCs w:val="17"/>
                <w:color w:val="auto"/>
              </w:rPr>
            </w:pPr>
          </w:p>
        </w:tc>
      </w:tr>
      <w:tr>
        <w:trPr>
          <w:trHeight w:val="196"/>
        </w:trPr>
        <w:tc>
          <w:tcPr>
            <w:tcW w:w="4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gridSpan w:val="4"/>
          </w:tcPr>
          <w:p>
            <w:pPr>
              <w:jc w:val="right"/>
              <w:ind w:right="895"/>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7"/>
                <w:szCs w:val="17"/>
                <w:color w:val="auto"/>
              </w:rPr>
            </w:pPr>
          </w:p>
        </w:tc>
      </w:tr>
      <w:tr>
        <w:trPr>
          <w:trHeight w:val="27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Included in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7,872</w:t>
            </w:r>
          </w:p>
        </w:tc>
        <w:tc>
          <w:tcPr>
            <w:tcW w:w="80" w:type="dxa"/>
            <w:vAlign w:val="bottom"/>
            <w:shd w:val="clear" w:color="auto" w:fill="CFF0FC"/>
          </w:tcPr>
          <w:p>
            <w:pPr>
              <w:spacing w:after="0"/>
              <w:rPr>
                <w:sz w:val="23"/>
                <w:szCs w:val="23"/>
                <w:color w:val="auto"/>
              </w:rPr>
            </w:pPr>
          </w:p>
        </w:tc>
      </w:tr>
      <w:tr>
        <w:trPr>
          <w:trHeight w:val="257"/>
        </w:trPr>
        <w:tc>
          <w:tcPr>
            <w:tcW w:w="4940" w:type="dxa"/>
            <w:vAlign w:val="bottom"/>
          </w:tcPr>
          <w:p>
            <w:pPr>
              <w:spacing w:after="0"/>
              <w:rPr>
                <w:sz w:val="20"/>
                <w:szCs w:val="20"/>
                <w:color w:val="auto"/>
              </w:rPr>
            </w:pPr>
            <w:r>
              <w:rPr>
                <w:rFonts w:ascii="Arial" w:cs="Arial" w:eastAsia="Arial" w:hAnsi="Arial"/>
                <w:sz w:val="18"/>
                <w:szCs w:val="18"/>
                <w:color w:val="auto"/>
              </w:rPr>
              <w:t>Included in marketable debt securities</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93,997</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93,322</w:t>
            </w:r>
          </w:p>
        </w:tc>
        <w:tc>
          <w:tcPr>
            <w:tcW w:w="80" w:type="dxa"/>
            <w:vAlign w:val="bottom"/>
          </w:tcPr>
          <w:p>
            <w:pPr>
              <w:spacing w:after="0"/>
              <w:rPr>
                <w:sz w:val="22"/>
                <w:szCs w:val="22"/>
                <w:color w:val="auto"/>
              </w:rPr>
            </w:pPr>
          </w:p>
        </w:tc>
      </w:tr>
      <w:tr>
        <w:trPr>
          <w:trHeight w:val="277"/>
        </w:trPr>
        <w:tc>
          <w:tcPr>
            <w:tcW w:w="49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cash equivalents and marketable debt securities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102,875</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101,194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51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contractual maturities of the investments at July 31, 2023 and January 31, 2023 were as follows: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w w:val="99"/>
              </w:rPr>
              <w:t>July 31, 2023</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2"/>
              </w:rPr>
              <w:t>January 31, 2023</w:t>
            </w:r>
          </w:p>
        </w:tc>
        <w:tc>
          <w:tcPr>
            <w:tcW w:w="80" w:type="dxa"/>
            <w:vAlign w:val="bottom"/>
          </w:tcPr>
          <w:p>
            <w:pPr>
              <w:spacing w:after="0"/>
              <w:rPr>
                <w:sz w:val="17"/>
                <w:szCs w:val="17"/>
                <w:color w:val="auto"/>
              </w:rPr>
            </w:pPr>
          </w:p>
        </w:tc>
      </w:tr>
      <w:tr>
        <w:trPr>
          <w:trHeight w:val="237"/>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4"/>
          </w:tcPr>
          <w:p>
            <w:pPr>
              <w:jc w:val="right"/>
              <w:ind w:right="894"/>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0"/>
                <w:szCs w:val="20"/>
                <w:color w:val="auto"/>
              </w:rPr>
            </w:pPr>
          </w:p>
        </w:tc>
      </w:tr>
      <w:tr>
        <w:trPr>
          <w:trHeight w:val="27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28,953</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48,016</w:t>
            </w:r>
          </w:p>
        </w:tc>
        <w:tc>
          <w:tcPr>
            <w:tcW w:w="80" w:type="dxa"/>
            <w:vAlign w:val="bottom"/>
            <w:shd w:val="clear" w:color="auto" w:fill="CFF0FC"/>
          </w:tcPr>
          <w:p>
            <w:pPr>
              <w:spacing w:after="0"/>
              <w:rPr>
                <w:sz w:val="23"/>
                <w:szCs w:val="23"/>
                <w:color w:val="auto"/>
              </w:rPr>
            </w:pPr>
          </w:p>
        </w:tc>
      </w:tr>
      <w:tr>
        <w:trPr>
          <w:trHeight w:val="263"/>
        </w:trPr>
        <w:tc>
          <w:tcPr>
            <w:tcW w:w="4940" w:type="dxa"/>
            <w:vAlign w:val="bottom"/>
          </w:tcPr>
          <w:p>
            <w:pPr>
              <w:spacing w:after="0"/>
              <w:rPr>
                <w:sz w:val="20"/>
                <w:szCs w:val="20"/>
                <w:color w:val="auto"/>
              </w:rPr>
            </w:pPr>
            <w:r>
              <w:rPr>
                <w:rFonts w:ascii="Arial" w:cs="Arial" w:eastAsia="Arial" w:hAnsi="Arial"/>
                <w:sz w:val="18"/>
                <w:szCs w:val="18"/>
                <w:color w:val="auto"/>
              </w:rPr>
              <w:t>Due in 1 - 5 years</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73,922</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52,414</w:t>
            </w:r>
          </w:p>
        </w:tc>
        <w:tc>
          <w:tcPr>
            <w:tcW w:w="80" w:type="dxa"/>
            <w:vAlign w:val="bottom"/>
          </w:tcPr>
          <w:p>
            <w:pPr>
              <w:spacing w:after="0"/>
              <w:rPr>
                <w:sz w:val="22"/>
                <w:szCs w:val="22"/>
                <w:color w:val="auto"/>
              </w:rPr>
            </w:pPr>
          </w:p>
        </w:tc>
      </w:tr>
      <w:tr>
        <w:trPr>
          <w:trHeight w:val="263"/>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Due in 5 - 7 years</w:t>
            </w:r>
          </w:p>
        </w:tc>
        <w:tc>
          <w:tcPr>
            <w:tcW w:w="18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37"/>
        </w:trPr>
        <w:tc>
          <w:tcPr>
            <w:tcW w:w="4940" w:type="dxa"/>
            <w:vAlign w:val="bottom"/>
          </w:tcPr>
          <w:p>
            <w:pPr>
              <w:ind w:left="180"/>
              <w:spacing w:after="0"/>
              <w:rPr>
                <w:sz w:val="20"/>
                <w:szCs w:val="20"/>
                <w:color w:val="auto"/>
              </w:rPr>
            </w:pPr>
            <w:r>
              <w:rPr>
                <w:rFonts w:ascii="Arial" w:cs="Arial" w:eastAsia="Arial" w:hAnsi="Arial"/>
                <w:sz w:val="18"/>
                <w:szCs w:val="18"/>
                <w:color w:val="auto"/>
              </w:rPr>
              <w:t>Total cash equivalents and marketable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102,875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101,194</w:t>
            </w:r>
          </w:p>
        </w:tc>
        <w:tc>
          <w:tcPr>
            <w:tcW w:w="80" w:type="dxa"/>
            <w:vAlign w:val="bottom"/>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-187960</wp:posOffset>
            </wp:positionV>
            <wp:extent cx="51435"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182"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unrealized gains and losses on the available-for-sale securities were primarily caused by fluctuations in market value and interest rates as a result of the economic environment. In accordance with ASU No. 2016-13, Financial Instruments-Credit Losses (Topic 326): Measurement of Credit Losses on Financial Instruments, the Company estimates the expected losses at an individual security level whenever a security’s fair value is below its amortized cost basis using the discounted cash flow method. The credit-related portion of the loss is recognized in other income (expense),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loss in the condensed consolidated balance sheets. The credit-related losses were not material for the three and six months ended July 31, 2023 and 2022, respectively.</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ind w:right="20" w:firstLine="509"/>
        <w:spacing w:after="0" w:line="279" w:lineRule="auto"/>
        <w:rPr>
          <w:sz w:val="20"/>
          <w:szCs w:val="20"/>
          <w:color w:val="auto"/>
        </w:rPr>
      </w:pPr>
      <w:r>
        <w:rPr>
          <w:rFonts w:ascii="Arial" w:cs="Arial" w:eastAsia="Arial" w:hAnsi="Arial"/>
          <w:sz w:val="17"/>
          <w:szCs w:val="17"/>
          <w:color w:val="auto"/>
        </w:rPr>
        <w:t>Interest income, including amortization of premiums and accretion of discounts related to the investments, as well as realized gains and losses from sales of the investments are recorded in other income (expense), net, in the condensed consolidated statements of operations. For the three and six months ended July 31, 2023, interest income and realized gains and losses, net, were approximately $1.1 million and $2.2 million, respectively. The interest income and realized gains and losses, net, were immaterial for the three and six months ended July 31, 2022, respectively.</w:t>
      </w:r>
    </w:p>
    <w:p>
      <w:pPr>
        <w:spacing w:after="0" w:line="171" w:lineRule="exact"/>
        <w:rPr>
          <w:sz w:val="20"/>
          <w:szCs w:val="20"/>
          <w:color w:val="auto"/>
        </w:rPr>
      </w:pPr>
    </w:p>
    <w:p>
      <w:pPr>
        <w:jc w:val="both"/>
        <w:ind w:right="220" w:firstLine="509"/>
        <w:spacing w:after="0" w:line="277" w:lineRule="auto"/>
        <w:rPr>
          <w:sz w:val="20"/>
          <w:szCs w:val="20"/>
          <w:color w:val="auto"/>
        </w:rPr>
      </w:pPr>
      <w:r>
        <w:rPr>
          <w:rFonts w:ascii="Arial" w:cs="Arial" w:eastAsia="Arial" w:hAnsi="Arial"/>
          <w:sz w:val="18"/>
          <w:szCs w:val="18"/>
          <w:color w:val="auto"/>
        </w:rPr>
        <w:t>The following fair value hierarchy is applied for disclosure of the inputs used to measure fair value. This hierarchy prioritizes the inputs into three broad levels as follows: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117"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62"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Level 3—Unobservable inputs based on the Company’s own assumptions used to measure assets and liabilities at fair value. The inputs require significant management judgment or estimation.</w:t>
      </w:r>
    </w:p>
    <w:p>
      <w:pPr>
        <w:spacing w:after="0" w:line="170" w:lineRule="exact"/>
        <w:rPr>
          <w:sz w:val="20"/>
          <w:szCs w:val="20"/>
          <w:color w:val="auto"/>
        </w:rPr>
      </w:pPr>
    </w:p>
    <w:p>
      <w:pPr>
        <w:jc w:val="both"/>
        <w:ind w:right="220" w:firstLine="509"/>
        <w:spacing w:after="0" w:line="263" w:lineRule="auto"/>
        <w:rPr>
          <w:sz w:val="20"/>
          <w:szCs w:val="20"/>
          <w:color w:val="auto"/>
        </w:rPr>
      </w:pPr>
      <w:r>
        <w:rPr>
          <w:rFonts w:ascii="Arial" w:cs="Arial" w:eastAsia="Arial" w:hAnsi="Arial"/>
          <w:sz w:val="18"/>
          <w:szCs w:val="18"/>
          <w:color w:val="auto"/>
        </w:rPr>
        <w:t>The Company measures the fair value of money market funds using quoted prices in active markets for identical assets and classifies them within Level 1. The fair value of the Company’s investments in other debt securities are obtained based on quoted prices for similar assets in active markets and are classified within Level 2.</w:t>
      </w:r>
    </w:p>
    <w:p>
      <w:pPr>
        <w:spacing w:after="0" w:line="184"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The following tables present the fair value of the financial instruments measured on a recurring basis as of July 31, 2023 and January 31, 2023, respectively:</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As of July 31, 2023</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r>
      <w:tr>
        <w:trPr>
          <w:trHeight w:val="169"/>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16"/>
              <w:spacing w:after="0"/>
              <w:rPr>
                <w:sz w:val="20"/>
                <w:szCs w:val="20"/>
                <w:color w:val="auto"/>
              </w:rPr>
            </w:pPr>
            <w:r>
              <w:rPr>
                <w:rFonts w:ascii="Arial" w:cs="Arial" w:eastAsia="Arial" w:hAnsi="Arial"/>
                <w:sz w:val="14"/>
                <w:szCs w:val="14"/>
                <w:b w:val="1"/>
                <w:bCs w:val="1"/>
                <w:color w:val="auto"/>
              </w:rPr>
              <w:t>(in</w:t>
            </w:r>
          </w:p>
        </w:tc>
        <w:tc>
          <w:tcPr>
            <w:tcW w:w="1220" w:type="dxa"/>
            <w:vAlign w:val="bottom"/>
            <w:gridSpan w:val="3"/>
          </w:tcPr>
          <w:p>
            <w:pPr>
              <w:jc w:val="center"/>
              <w:ind w:right="613"/>
              <w:spacing w:after="0"/>
              <w:rPr>
                <w:sz w:val="20"/>
                <w:szCs w:val="20"/>
                <w:color w:val="auto"/>
              </w:rPr>
            </w:pPr>
            <w:r>
              <w:rPr>
                <w:rFonts w:ascii="Arial" w:cs="Arial" w:eastAsia="Arial" w:hAnsi="Arial"/>
                <w:sz w:val="13"/>
                <w:szCs w:val="13"/>
                <w:b w:val="1"/>
                <w:bCs w:val="1"/>
                <w:color w:val="auto"/>
                <w:w w:val="74"/>
              </w:rPr>
              <w:t>thousands)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3,492</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3,492</w:t>
            </w:r>
          </w:p>
        </w:tc>
        <w:tc>
          <w:tcPr>
            <w:tcW w:w="420" w:type="dxa"/>
            <w:vAlign w:val="bottom"/>
            <w:gridSpan w:val="2"/>
            <w:shd w:val="clear" w:color="auto" w:fill="CFF0FC"/>
          </w:tcPr>
          <w:p>
            <w:pPr>
              <w:jc w:val="center"/>
              <w:ind w:left="59"/>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9,382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9,382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4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42,513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42,513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19,392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19,392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49"/>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28,096</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28,096</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Total cash equivalents and marketable debt securities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102,875</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99,383</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5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As of January 31, 2023</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r>
      <w:tr>
        <w:trPr>
          <w:trHeight w:val="169"/>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16"/>
              <w:spacing w:after="0"/>
              <w:rPr>
                <w:sz w:val="20"/>
                <w:szCs w:val="20"/>
                <w:color w:val="auto"/>
              </w:rPr>
            </w:pPr>
            <w:r>
              <w:rPr>
                <w:rFonts w:ascii="Arial" w:cs="Arial" w:eastAsia="Arial" w:hAnsi="Arial"/>
                <w:sz w:val="14"/>
                <w:szCs w:val="14"/>
                <w:b w:val="1"/>
                <w:bCs w:val="1"/>
                <w:color w:val="auto"/>
              </w:rPr>
              <w:t>(in</w:t>
            </w:r>
          </w:p>
        </w:tc>
        <w:tc>
          <w:tcPr>
            <w:tcW w:w="1220" w:type="dxa"/>
            <w:vAlign w:val="bottom"/>
            <w:gridSpan w:val="3"/>
          </w:tcPr>
          <w:p>
            <w:pPr>
              <w:jc w:val="center"/>
              <w:ind w:right="613"/>
              <w:spacing w:after="0"/>
              <w:rPr>
                <w:sz w:val="20"/>
                <w:szCs w:val="20"/>
                <w:color w:val="auto"/>
              </w:rPr>
            </w:pPr>
            <w:r>
              <w:rPr>
                <w:rFonts w:ascii="Arial" w:cs="Arial" w:eastAsia="Arial" w:hAnsi="Arial"/>
                <w:sz w:val="13"/>
                <w:szCs w:val="13"/>
                <w:b w:val="1"/>
                <w:bCs w:val="1"/>
                <w:color w:val="auto"/>
                <w:w w:val="74"/>
              </w:rPr>
              <w:t>thousands)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7,872</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7,872</w:t>
            </w:r>
          </w:p>
        </w:tc>
        <w:tc>
          <w:tcPr>
            <w:tcW w:w="420" w:type="dxa"/>
            <w:vAlign w:val="bottom"/>
            <w:gridSpan w:val="2"/>
            <w:shd w:val="clear" w:color="auto" w:fill="CFF0FC"/>
          </w:tcPr>
          <w:p>
            <w:pPr>
              <w:jc w:val="center"/>
              <w:ind w:left="59"/>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18,333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18,333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4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23,298</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18,648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18,648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49"/>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33,043</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33,043</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240" w:type="dxa"/>
            <w:vAlign w:val="bottom"/>
          </w:tcPr>
          <w:p>
            <w:pPr>
              <w:ind w:left="180"/>
              <w:spacing w:after="0"/>
              <w:rPr>
                <w:sz w:val="20"/>
                <w:szCs w:val="20"/>
                <w:color w:val="auto"/>
              </w:rPr>
            </w:pPr>
            <w:r>
              <w:rPr>
                <w:rFonts w:ascii="Arial" w:cs="Arial" w:eastAsia="Arial" w:hAnsi="Arial"/>
                <w:sz w:val="18"/>
                <w:szCs w:val="18"/>
                <w:color w:val="auto"/>
              </w:rPr>
              <w:t>Total cash equivalents and marketable debt securities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101,194</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7,872</w:t>
            </w:r>
          </w:p>
        </w:tc>
        <w:tc>
          <w:tcPr>
            <w:tcW w:w="420" w:type="dxa"/>
            <w:vAlign w:val="bottom"/>
            <w:gridSpan w:val="2"/>
          </w:tcPr>
          <w:p>
            <w:pPr>
              <w:jc w:val="center"/>
              <w:ind w:left="59"/>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93,322</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-1704975</wp:posOffset>
            </wp:positionV>
            <wp:extent cx="68580" cy="3429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-1704975</wp:posOffset>
            </wp:positionV>
            <wp:extent cx="60325" cy="3429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34290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-1704975</wp:posOffset>
            </wp:positionV>
            <wp:extent cx="60325" cy="3429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34290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-1704975</wp:posOffset>
            </wp:positionV>
            <wp:extent cx="60325" cy="7454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7454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-187960</wp:posOffset>
            </wp:positionV>
            <wp:extent cx="6858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60325"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60325"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at July 31, 2023 and January 31, 2023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6"/>
        </w:trPr>
        <w:tc>
          <w:tcPr>
            <w:tcW w:w="17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July 31, 2023</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January 31, 2023</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69"/>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left="619"/>
              <w:spacing w:after="0"/>
              <w:rPr>
                <w:sz w:val="20"/>
                <w:szCs w:val="20"/>
                <w:color w:val="auto"/>
              </w:rPr>
            </w:pPr>
            <w:r>
              <w:rPr>
                <w:rFonts w:ascii="Arial" w:cs="Arial" w:eastAsia="Arial" w:hAnsi="Arial"/>
                <w:sz w:val="14"/>
                <w:szCs w:val="14"/>
                <w:b w:val="1"/>
                <w:bCs w:val="1"/>
                <w:color w:val="auto"/>
                <w:w w:val="93"/>
              </w:rPr>
              <w:t>(in</w:t>
            </w:r>
          </w:p>
        </w:tc>
        <w:tc>
          <w:tcPr>
            <w:tcW w:w="1620" w:type="dxa"/>
            <w:vAlign w:val="bottom"/>
            <w:gridSpan w:val="3"/>
          </w:tcPr>
          <w:p>
            <w:pPr>
              <w:jc w:val="center"/>
              <w:ind w:right="995"/>
              <w:spacing w:after="0"/>
              <w:rPr>
                <w:sz w:val="20"/>
                <w:szCs w:val="20"/>
                <w:color w:val="auto"/>
              </w:rPr>
            </w:pPr>
            <w:r>
              <w:rPr>
                <w:rFonts w:ascii="Arial" w:cs="Arial" w:eastAsia="Arial" w:hAnsi="Arial"/>
                <w:sz w:val="14"/>
                <w:szCs w:val="14"/>
                <w:b w:val="1"/>
                <w:bCs w:val="1"/>
                <w:color w:val="auto"/>
                <w:w w:val="71"/>
              </w:rPr>
              <w:t>thousands)</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3"/>
        </w:trPr>
        <w:tc>
          <w:tcPr>
            <w:tcW w:w="1700" w:type="dxa"/>
            <w:vAlign w:val="bottom"/>
          </w:tcPr>
          <w:p>
            <w:pPr>
              <w:spacing w:after="0"/>
              <w:rPr>
                <w:sz w:val="21"/>
                <w:szCs w:val="21"/>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Work-in-progress</w:t>
            </w:r>
          </w:p>
        </w:tc>
        <w:tc>
          <w:tcPr>
            <w:tcW w:w="2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center"/>
              <w:ind w:left="639"/>
              <w:spacing w:after="0"/>
              <w:rPr>
                <w:sz w:val="20"/>
                <w:szCs w:val="20"/>
                <w:color w:val="auto"/>
              </w:rPr>
            </w:pPr>
            <w:r>
              <w:rPr>
                <w:rFonts w:ascii="Arial" w:cs="Arial" w:eastAsia="Arial" w:hAnsi="Arial"/>
                <w:sz w:val="18"/>
                <w:szCs w:val="18"/>
                <w:color w:val="auto"/>
                <w:w w:val="90"/>
              </w:rPr>
              <w:t>21,589</w:t>
            </w:r>
          </w:p>
        </w:tc>
        <w:tc>
          <w:tcPr>
            <w:tcW w:w="360" w:type="dxa"/>
            <w:vAlign w:val="bottom"/>
            <w:gridSpan w:val="2"/>
            <w:shd w:val="clear" w:color="auto" w:fill="CFF0FC"/>
          </w:tcPr>
          <w:p>
            <w:pPr>
              <w:jc w:val="center"/>
              <w:ind w:left="99"/>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26,023</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Finished goods</w:t>
            </w:r>
          </w:p>
        </w:tc>
        <w:tc>
          <w:tcPr>
            <w:tcW w:w="2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left="639"/>
              <w:spacing w:after="0"/>
              <w:rPr>
                <w:sz w:val="20"/>
                <w:szCs w:val="20"/>
                <w:color w:val="auto"/>
              </w:rPr>
            </w:pPr>
            <w:r>
              <w:rPr>
                <w:rFonts w:ascii="Arial" w:cs="Arial" w:eastAsia="Arial" w:hAnsi="Arial"/>
                <w:sz w:val="18"/>
                <w:szCs w:val="18"/>
                <w:color w:val="auto"/>
                <w:w w:val="90"/>
              </w:rPr>
              <w:t>13,181</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14,463</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6"/>
        </w:trPr>
        <w:tc>
          <w:tcPr>
            <w:tcW w:w="1700" w:type="dxa"/>
            <w:vAlign w:val="bottom"/>
          </w:tcPr>
          <w:p>
            <w:pPr>
              <w:spacing w:after="0"/>
              <w:rPr>
                <w:sz w:val="24"/>
                <w:szCs w:val="24"/>
                <w:color w:val="auto"/>
              </w:rPr>
            </w:pPr>
          </w:p>
        </w:tc>
        <w:tc>
          <w:tcPr>
            <w:tcW w:w="25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center"/>
              <w:ind w:left="639"/>
              <w:spacing w:after="0"/>
              <w:rPr>
                <w:sz w:val="20"/>
                <w:szCs w:val="20"/>
                <w:color w:val="auto"/>
              </w:rPr>
            </w:pPr>
            <w:r>
              <w:rPr>
                <w:rFonts w:ascii="Arial" w:cs="Arial" w:eastAsia="Arial" w:hAnsi="Arial"/>
                <w:sz w:val="18"/>
                <w:szCs w:val="18"/>
                <w:color w:val="auto"/>
                <w:w w:val="90"/>
              </w:rPr>
              <w:t>34,770</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40,486</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629"/>
        </w:trPr>
        <w:tc>
          <w:tcPr>
            <w:tcW w:w="17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160" w:type="dxa"/>
            <w:vAlign w:val="bottom"/>
          </w:tcPr>
          <w:p>
            <w:pPr>
              <w:jc w:val="right"/>
              <w:ind w:right="61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256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-513715</wp:posOffset>
            </wp:positionV>
            <wp:extent cx="514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-496570</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-513715</wp:posOffset>
            </wp:positionV>
            <wp:extent cx="431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-496570</wp:posOffset>
            </wp:positionV>
            <wp:extent cx="431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Depreciation expense was approximately $1.2 million and $0.9 million for the three months ended July 31, 2023 and 2022, respectively, and was approximately $2.3 million and $1.8 million for the six months ended July 31, 2023 and 2022, respectively. Property and equipment at July 31, 2023 and January 31, 2023 consisted of the following:</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9"/>
              </w:rPr>
              <w:t>July 31, 2023</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2"/>
              </w:rPr>
              <w:t>January 31, 2023</w:t>
            </w:r>
          </w:p>
        </w:tc>
        <w:tc>
          <w:tcPr>
            <w:tcW w:w="80" w:type="dxa"/>
            <w:vAlign w:val="bottom"/>
          </w:tcPr>
          <w:p>
            <w:pPr>
              <w:spacing w:after="0"/>
              <w:rPr>
                <w:sz w:val="17"/>
                <w:szCs w:val="17"/>
                <w:color w:val="auto"/>
              </w:rPr>
            </w:pPr>
          </w:p>
        </w:tc>
      </w:tr>
      <w:tr>
        <w:trPr>
          <w:trHeight w:val="169"/>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95"/>
              <w:spacing w:after="0"/>
              <w:rPr>
                <w:sz w:val="20"/>
                <w:szCs w:val="20"/>
                <w:color w:val="auto"/>
              </w:rPr>
            </w:pPr>
            <w:r>
              <w:rPr>
                <w:rFonts w:ascii="Arial" w:cs="Arial" w:eastAsia="Arial" w:hAnsi="Arial"/>
                <w:sz w:val="14"/>
                <w:szCs w:val="14"/>
                <w:b w:val="1"/>
                <w:bCs w:val="1"/>
                <w:color w:val="auto"/>
              </w:rPr>
              <w:t>(in</w:t>
            </w:r>
          </w:p>
        </w:tc>
        <w:tc>
          <w:tcPr>
            <w:tcW w:w="1500" w:type="dxa"/>
            <w:vAlign w:val="bottom"/>
            <w:gridSpan w:val="3"/>
          </w:tcPr>
          <w:p>
            <w:pPr>
              <w:jc w:val="center"/>
              <w:ind w:right="892"/>
              <w:spacing w:after="0"/>
              <w:rPr>
                <w:sz w:val="20"/>
                <w:szCs w:val="20"/>
                <w:color w:val="auto"/>
              </w:rPr>
            </w:pPr>
            <w:r>
              <w:rPr>
                <w:rFonts w:ascii="Arial" w:cs="Arial" w:eastAsia="Arial" w:hAnsi="Arial"/>
                <w:sz w:val="13"/>
                <w:szCs w:val="13"/>
                <w:b w:val="1"/>
                <w:bCs w:val="1"/>
                <w:color w:val="auto"/>
                <w:w w:val="74"/>
              </w:rPr>
              <w:t>thousands)</w:t>
            </w:r>
          </w:p>
        </w:tc>
        <w:tc>
          <w:tcPr>
            <w:tcW w:w="80" w:type="dxa"/>
            <w:vAlign w:val="bottom"/>
          </w:tcPr>
          <w:p>
            <w:pPr>
              <w:spacing w:after="0"/>
              <w:rPr>
                <w:sz w:val="14"/>
                <w:szCs w:val="14"/>
                <w:color w:val="auto"/>
              </w:rPr>
            </w:pPr>
          </w:p>
        </w:tc>
      </w:tr>
      <w:tr>
        <w:trPr>
          <w:trHeight w:val="24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Computer hardware and software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22,234</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20,733</w:t>
            </w:r>
          </w:p>
        </w:tc>
        <w:tc>
          <w:tcPr>
            <w:tcW w:w="80" w:type="dxa"/>
            <w:vAlign w:val="bottom"/>
            <w:shd w:val="clear" w:color="auto" w:fill="CFF0FC"/>
          </w:tcPr>
          <w:p>
            <w:pPr>
              <w:spacing w:after="0"/>
              <w:rPr>
                <w:sz w:val="21"/>
                <w:szCs w:val="21"/>
                <w:color w:val="auto"/>
              </w:rPr>
            </w:pPr>
          </w:p>
        </w:tc>
      </w:tr>
      <w:tr>
        <w:trPr>
          <w:trHeight w:val="237"/>
        </w:trPr>
        <w:tc>
          <w:tcPr>
            <w:tcW w:w="4940" w:type="dxa"/>
            <w:vAlign w:val="bottom"/>
          </w:tcPr>
          <w:p>
            <w:pPr>
              <w:spacing w:after="0"/>
              <w:rPr>
                <w:sz w:val="20"/>
                <w:szCs w:val="20"/>
                <w:color w:val="auto"/>
              </w:rPr>
            </w:pPr>
            <w:r>
              <w:rPr>
                <w:rFonts w:ascii="Arial" w:cs="Arial" w:eastAsia="Arial" w:hAnsi="Arial"/>
                <w:sz w:val="18"/>
                <w:szCs w:val="18"/>
                <w:color w:val="auto"/>
              </w:rPr>
              <w:t>Tools and equipment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8,507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8,325</w:t>
            </w:r>
          </w:p>
        </w:tc>
        <w:tc>
          <w:tcPr>
            <w:tcW w:w="80" w:type="dxa"/>
            <w:vAlign w:val="bottom"/>
          </w:tcPr>
          <w:p>
            <w:pPr>
              <w:spacing w:after="0"/>
              <w:rPr>
                <w:sz w:val="20"/>
                <w:szCs w:val="20"/>
                <w:color w:val="auto"/>
              </w:rPr>
            </w:pPr>
          </w:p>
        </w:tc>
      </w:tr>
      <w:tr>
        <w:trPr>
          <w:trHeight w:val="24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w:t>
            </w:r>
          </w:p>
        </w:tc>
        <w:tc>
          <w:tcPr>
            <w:tcW w:w="80" w:type="dxa"/>
            <w:vAlign w:val="bottom"/>
            <w:shd w:val="clear" w:color="auto" w:fill="CFF0FC"/>
          </w:tcPr>
          <w:p>
            <w:pPr>
              <w:spacing w:after="0"/>
              <w:rPr>
                <w:sz w:val="21"/>
                <w:szCs w:val="21"/>
                <w:color w:val="auto"/>
              </w:rPr>
            </w:pPr>
          </w:p>
        </w:tc>
      </w:tr>
      <w:tr>
        <w:trPr>
          <w:trHeight w:val="237"/>
        </w:trPr>
        <w:tc>
          <w:tcPr>
            <w:tcW w:w="49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3,295</w:t>
            </w:r>
          </w:p>
        </w:tc>
        <w:tc>
          <w:tcPr>
            <w:tcW w:w="80" w:type="dxa"/>
            <w:vAlign w:val="bottom"/>
          </w:tcPr>
          <w:p>
            <w:pPr>
              <w:spacing w:after="0"/>
              <w:rPr>
                <w:sz w:val="20"/>
                <w:szCs w:val="20"/>
                <w:color w:val="auto"/>
              </w:rPr>
            </w:pPr>
          </w:p>
        </w:tc>
      </w:tr>
      <w:tr>
        <w:trPr>
          <w:trHeight w:val="249"/>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24"/>
        </w:trPr>
        <w:tc>
          <w:tcPr>
            <w:tcW w:w="4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35,895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34,177</w:t>
            </w:r>
          </w:p>
        </w:tc>
        <w:tc>
          <w:tcPr>
            <w:tcW w:w="80" w:type="dxa"/>
            <w:vAlign w:val="bottom"/>
          </w:tcPr>
          <w:p>
            <w:pPr>
              <w:spacing w:after="0"/>
              <w:rPr>
                <w:sz w:val="19"/>
                <w:szCs w:val="19"/>
                <w:color w:val="auto"/>
              </w:rPr>
            </w:pPr>
          </w:p>
        </w:tc>
      </w:tr>
      <w:tr>
        <w:trPr>
          <w:trHeight w:val="25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53"/>
              <w:spacing w:after="0"/>
              <w:rPr>
                <w:sz w:val="20"/>
                <w:szCs w:val="20"/>
                <w:color w:val="auto"/>
              </w:rPr>
            </w:pPr>
            <w:r>
              <w:rPr>
                <w:rFonts w:ascii="Arial" w:cs="Arial" w:eastAsia="Arial" w:hAnsi="Arial"/>
                <w:sz w:val="18"/>
                <w:szCs w:val="18"/>
                <w:color w:val="auto"/>
              </w:rPr>
              <w:t>(24,649 )</w:t>
            </w:r>
          </w:p>
        </w:tc>
        <w:tc>
          <w:tcPr>
            <w:tcW w:w="1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(22,363 )</w:t>
            </w:r>
          </w:p>
        </w:tc>
      </w:tr>
      <w:tr>
        <w:trPr>
          <w:trHeight w:val="237"/>
        </w:trPr>
        <w:tc>
          <w:tcPr>
            <w:tcW w:w="494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11,246</w:t>
            </w:r>
          </w:p>
        </w:tc>
        <w:tc>
          <w:tcPr>
            <w:tcW w:w="1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11,814</w:t>
            </w:r>
          </w:p>
        </w:tc>
        <w:tc>
          <w:tcPr>
            <w:tcW w:w="80" w:type="dxa"/>
            <w:vAlign w:val="bottom"/>
            <w:tcBorders>
              <w:top w:val="single" w:sz="8" w:color="CFF0FC"/>
            </w:tcBorders>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-505460</wp:posOffset>
            </wp:positionV>
            <wp:extent cx="51435"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-505460</wp:posOffset>
            </wp:positionV>
            <wp:extent cx="43180"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51435"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 Net</w:t>
      </w:r>
    </w:p>
    <w:p>
      <w:pPr>
        <w:spacing w:after="0" w:line="121"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net tangible and identifiable intangible assets acquired in a business combination.</w:t>
      </w:r>
    </w:p>
    <w:p>
      <w:pPr>
        <w:spacing w:after="0" w:line="62"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Intangible assets primarily consist of software licenses as well as developed technology, customer relationships and trade name that were acquired from business combinations.</w:t>
      </w:r>
    </w:p>
    <w:p>
      <w:pPr>
        <w:spacing w:after="0" w:line="62"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The Company enters into certain software license agreements with third parties from time-to-time. The software licenses consist of noncancelable on-premise internal-use software and software with alternative use that is to be sold, leased or otherwise marketed as part of a product. The licenses have been capitalized as intangible assets, and the corresponding future payments have been recorded as liabilities at net present value. As of July 31, 2023, approximately $8.9 million was recorded in accrued and other current liabilities and $11.1 million was recorded in other long-term liabilities in the condensed consolidated balance sheets.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intangible assets as of July 31, 2023 and January 31, 2023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2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As of July 31, 2023</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6"/>
              </w:rPr>
              <w:t>As of January 31, 2023</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Net Carrying</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6"/>
                <w:szCs w:val="16"/>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6"/>
                <w:szCs w:val="16"/>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4"/>
          </w:tcPr>
          <w:p>
            <w:pPr>
              <w:jc w:val="right"/>
              <w:ind w:right="498"/>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Software licenses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44,343</w:t>
            </w:r>
          </w:p>
        </w:tc>
        <w:tc>
          <w:tcPr>
            <w:tcW w:w="4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(9,483 )</w:t>
            </w: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34,860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34,128</w:t>
            </w:r>
          </w:p>
        </w:tc>
        <w:tc>
          <w:tcPr>
            <w:tcW w:w="4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(6,319 )</w:t>
            </w: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27,809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80" w:type="dxa"/>
            <w:vAlign w:val="bottom"/>
          </w:tcPr>
          <w:p>
            <w:pPr>
              <w:spacing w:after="0"/>
              <w:rPr>
                <w:sz w:val="20"/>
                <w:szCs w:val="20"/>
                <w:color w:val="auto"/>
              </w:rPr>
            </w:pPr>
            <w:r>
              <w:rPr>
                <w:rFonts w:ascii="Arial" w:cs="Arial" w:eastAsia="Arial" w:hAnsi="Arial"/>
                <w:sz w:val="18"/>
                <w:szCs w:val="18"/>
                <w:color w:val="auto"/>
              </w:rPr>
              <w:t>Developed technology</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(5,447 )</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15,753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21"/>
              <w:spacing w:after="0"/>
              <w:rPr>
                <w:sz w:val="20"/>
                <w:szCs w:val="20"/>
                <w:color w:val="auto"/>
              </w:rPr>
            </w:pPr>
            <w:r>
              <w:rPr>
                <w:rFonts w:ascii="Arial" w:cs="Arial" w:eastAsia="Arial" w:hAnsi="Arial"/>
                <w:sz w:val="18"/>
                <w:szCs w:val="18"/>
                <w:color w:val="auto"/>
              </w:rPr>
              <w:t>(3,932 )</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13,200</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(2,567 )</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10,633</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13,200</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(1,833 )</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0"/>
                <w:szCs w:val="20"/>
                <w:color w:val="auto"/>
              </w:rPr>
            </w:pPr>
            <w:r>
              <w:rPr>
                <w:rFonts w:ascii="Arial" w:cs="Arial" w:eastAsia="Arial" w:hAnsi="Arial"/>
                <w:sz w:val="18"/>
                <w:szCs w:val="18"/>
                <w:color w:val="auto"/>
              </w:rPr>
              <w:t>Trade name</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(625 )</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21"/>
              <w:spacing w:after="0"/>
              <w:rPr>
                <w:sz w:val="20"/>
                <w:szCs w:val="20"/>
                <w:color w:val="auto"/>
              </w:rPr>
            </w:pPr>
            <w:r>
              <w:rPr>
                <w:rFonts w:ascii="Arial" w:cs="Arial" w:eastAsia="Arial" w:hAnsi="Arial"/>
                <w:sz w:val="18"/>
                <w:szCs w:val="18"/>
                <w:color w:val="auto"/>
              </w:rPr>
              <w:t>(447 )</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6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intangible assets,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81,243</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(18,122</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63,121</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71,028</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(12,531</w:t>
            </w:r>
          </w:p>
        </w:tc>
        <w:tc>
          <w:tcPr>
            <w:tcW w:w="16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58,497</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-24765</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-7620</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-24765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-7620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During the six months ended July 31, 2023, there were approximately $12.4 million of software licenses purchased and approximately $2.2 million of software licenses retired. The amortization expense associated with software licenses was approximately $2.8 million and $1.6 million for the three months ended July 31, 2023 and 2022, respectively, and was approximately $5.4 million and $3.2 million for the six months ended July 31, 2023 and 2022, respectively. The amortization expense associated with acquisition-related intangible assets, including developed technology, customer relationships and trade name, was approximately $1.2 million and $1.2 million for the three months ended July 31, 2023 and 2022, respectively, and was approximately $2.4 million and $2.4 million for the six months ended July 31, 2023 and 2022 respectively. As of July 31, 2023, the Company has not commenced amortization with respect to approximately $11.3 million of software licenses with alternative uses that are to be sold, leased or otherwise marketed as part of products. Once the associated products are available for general release to customers, the Company will commence amortization on a product-by-product basis over the remaining estimated economic life of the products. The expected future amortization expense related to these intangible assets as of July 31, 2023 is as follows: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2" w:name="page13"/>
    <w:bookmarkEnd w:id="12"/>
    <w:tbl>
      <w:tblPr>
        <w:tblLayout w:type="fixed"/>
        <w:tblInd w:w="1140" w:type="dxa"/>
        <w:tblCellMar>
          <w:top w:w="0" w:type="dxa"/>
          <w:left w:w="0" w:type="dxa"/>
          <w:bottom w:w="0" w:type="dxa"/>
          <w:right w:w="0" w:type="dxa"/>
        </w:tblCellMar>
      </w:tblPr>
      <w:tr>
        <w:trPr>
          <w:trHeight w:val="176"/>
        </w:trPr>
        <w:tc>
          <w:tcPr>
            <w:tcW w:w="70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5"/>
                <w:szCs w:val="15"/>
                <w:color w:val="auto"/>
              </w:rPr>
            </w:pPr>
          </w:p>
        </w:tc>
      </w:tr>
      <w:tr>
        <w:trPr>
          <w:trHeight w:val="185"/>
        </w:trPr>
        <w:tc>
          <w:tcPr>
            <w:tcW w:w="70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2"/>
              </w:rPr>
              <w:t>July 31, 2023</w:t>
            </w:r>
          </w:p>
        </w:tc>
        <w:tc>
          <w:tcPr>
            <w:tcW w:w="80" w:type="dxa"/>
            <w:vAlign w:val="bottom"/>
          </w:tcPr>
          <w:p>
            <w:pPr>
              <w:spacing w:after="0"/>
              <w:rPr>
                <w:sz w:val="16"/>
                <w:szCs w:val="16"/>
                <w:color w:val="auto"/>
              </w:rPr>
            </w:pPr>
          </w:p>
        </w:tc>
      </w:tr>
      <w:tr>
        <w:trPr>
          <w:trHeight w:val="149"/>
        </w:trPr>
        <w:tc>
          <w:tcPr>
            <w:tcW w:w="7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Fiscal Year</w:t>
            </w:r>
          </w:p>
        </w:tc>
        <w:tc>
          <w:tcPr>
            <w:tcW w:w="6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3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r>
      <w:tr>
        <w:trPr>
          <w:trHeight w:val="243"/>
        </w:trPr>
        <w:tc>
          <w:tcPr>
            <w:tcW w:w="73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2024 (6 months remaining)</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8,354</w:t>
            </w:r>
          </w:p>
        </w:tc>
        <w:tc>
          <w:tcPr>
            <w:tcW w:w="80" w:type="dxa"/>
            <w:vAlign w:val="bottom"/>
            <w:shd w:val="clear" w:color="auto" w:fill="CFF0FC"/>
          </w:tcPr>
          <w:p>
            <w:pPr>
              <w:spacing w:after="0"/>
              <w:rPr>
                <w:sz w:val="21"/>
                <w:szCs w:val="21"/>
                <w:color w:val="auto"/>
              </w:rPr>
            </w:pPr>
          </w:p>
        </w:tc>
      </w:tr>
      <w:tr>
        <w:trPr>
          <w:trHeight w:val="237"/>
        </w:trPr>
        <w:tc>
          <w:tcPr>
            <w:tcW w:w="700" w:type="dxa"/>
            <w:vAlign w:val="bottom"/>
          </w:tcPr>
          <w:p>
            <w:pPr>
              <w:ind w:left="180"/>
              <w:spacing w:after="0"/>
              <w:rPr>
                <w:sz w:val="20"/>
                <w:szCs w:val="20"/>
                <w:color w:val="auto"/>
              </w:rPr>
            </w:pPr>
            <w:r>
              <w:rPr>
                <w:rFonts w:ascii="Arial" w:cs="Arial" w:eastAsia="Arial" w:hAnsi="Arial"/>
                <w:sz w:val="18"/>
                <w:szCs w:val="18"/>
                <w:color w:val="auto"/>
              </w:rPr>
              <w:t>2025</w:t>
            </w:r>
          </w:p>
        </w:tc>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14,837</w:t>
            </w:r>
          </w:p>
        </w:tc>
        <w:tc>
          <w:tcPr>
            <w:tcW w:w="80" w:type="dxa"/>
            <w:vAlign w:val="bottom"/>
          </w:tcPr>
          <w:p>
            <w:pPr>
              <w:spacing w:after="0"/>
              <w:rPr>
                <w:sz w:val="20"/>
                <w:szCs w:val="20"/>
                <w:color w:val="auto"/>
              </w:rPr>
            </w:pPr>
          </w:p>
        </w:tc>
      </w:tr>
      <w:tr>
        <w:trPr>
          <w:trHeight w:val="249"/>
        </w:trPr>
        <w:tc>
          <w:tcPr>
            <w:tcW w:w="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2026</w:t>
            </w:r>
          </w:p>
        </w:tc>
        <w:tc>
          <w:tcPr>
            <w:tcW w:w="6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12,479</w:t>
            </w:r>
          </w:p>
        </w:tc>
        <w:tc>
          <w:tcPr>
            <w:tcW w:w="80" w:type="dxa"/>
            <w:vAlign w:val="bottom"/>
            <w:shd w:val="clear" w:color="auto" w:fill="CFF0FC"/>
          </w:tcPr>
          <w:p>
            <w:pPr>
              <w:spacing w:after="0"/>
              <w:rPr>
                <w:sz w:val="21"/>
                <w:szCs w:val="21"/>
                <w:color w:val="auto"/>
              </w:rPr>
            </w:pPr>
          </w:p>
        </w:tc>
      </w:tr>
      <w:tr>
        <w:trPr>
          <w:trHeight w:val="237"/>
        </w:trPr>
        <w:tc>
          <w:tcPr>
            <w:tcW w:w="700" w:type="dxa"/>
            <w:vAlign w:val="bottom"/>
          </w:tcPr>
          <w:p>
            <w:pPr>
              <w:ind w:left="180"/>
              <w:spacing w:after="0"/>
              <w:rPr>
                <w:sz w:val="20"/>
                <w:szCs w:val="20"/>
                <w:color w:val="auto"/>
              </w:rPr>
            </w:pPr>
            <w:r>
              <w:rPr>
                <w:rFonts w:ascii="Arial" w:cs="Arial" w:eastAsia="Arial" w:hAnsi="Arial"/>
                <w:sz w:val="18"/>
                <w:szCs w:val="18"/>
                <w:color w:val="auto"/>
              </w:rPr>
              <w:t>2027</w:t>
            </w:r>
          </w:p>
        </w:tc>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7,609</w:t>
            </w:r>
          </w:p>
        </w:tc>
        <w:tc>
          <w:tcPr>
            <w:tcW w:w="80" w:type="dxa"/>
            <w:vAlign w:val="bottom"/>
          </w:tcPr>
          <w:p>
            <w:pPr>
              <w:spacing w:after="0"/>
              <w:rPr>
                <w:sz w:val="20"/>
                <w:szCs w:val="20"/>
                <w:color w:val="auto"/>
              </w:rPr>
            </w:pPr>
          </w:p>
        </w:tc>
      </w:tr>
      <w:tr>
        <w:trPr>
          <w:trHeight w:val="249"/>
        </w:trPr>
        <w:tc>
          <w:tcPr>
            <w:tcW w:w="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2028</w:t>
            </w:r>
          </w:p>
        </w:tc>
        <w:tc>
          <w:tcPr>
            <w:tcW w:w="6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6,081</w:t>
            </w:r>
          </w:p>
        </w:tc>
        <w:tc>
          <w:tcPr>
            <w:tcW w:w="80" w:type="dxa"/>
            <w:vAlign w:val="bottom"/>
            <w:shd w:val="clear" w:color="auto" w:fill="CFF0FC"/>
          </w:tcPr>
          <w:p>
            <w:pPr>
              <w:spacing w:after="0"/>
              <w:rPr>
                <w:sz w:val="21"/>
                <w:szCs w:val="21"/>
                <w:color w:val="auto"/>
              </w:rPr>
            </w:pPr>
          </w:p>
        </w:tc>
      </w:tr>
      <w:tr>
        <w:trPr>
          <w:trHeight w:val="243"/>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13,761</w:t>
            </w:r>
          </w:p>
        </w:tc>
        <w:tc>
          <w:tcPr>
            <w:tcW w:w="80" w:type="dxa"/>
            <w:vAlign w:val="bottom"/>
          </w:tcPr>
          <w:p>
            <w:pPr>
              <w:spacing w:after="0"/>
              <w:rPr>
                <w:sz w:val="21"/>
                <w:szCs w:val="21"/>
                <w:color w:val="auto"/>
              </w:rPr>
            </w:pPr>
          </w:p>
        </w:tc>
      </w:tr>
      <w:tr>
        <w:trPr>
          <w:trHeight w:val="277"/>
        </w:trPr>
        <w:tc>
          <w:tcPr>
            <w:tcW w:w="7380" w:type="dxa"/>
            <w:vAlign w:val="bottom"/>
            <w:tcBorders>
              <w:bottom w:val="single" w:sz="8" w:color="CFF0FC"/>
            </w:tcBorders>
            <w:gridSpan w:val="2"/>
            <w:shd w:val="clear" w:color="auto" w:fill="CFF0FC"/>
          </w:tcPr>
          <w:p>
            <w:pPr>
              <w:ind w:left="360"/>
              <w:spacing w:after="0"/>
              <w:rPr>
                <w:sz w:val="20"/>
                <w:szCs w:val="20"/>
                <w:color w:val="auto"/>
              </w:rPr>
            </w:pPr>
            <w:r>
              <w:rPr>
                <w:rFonts w:ascii="Arial" w:cs="Arial" w:eastAsia="Arial" w:hAnsi="Arial"/>
                <w:sz w:val="18"/>
                <w:szCs w:val="18"/>
                <w:color w:val="auto"/>
              </w:rPr>
              <w:t>Total future amortization expenses: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63,121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Goodwill and indefinite-lived intangible assets are tested for impairment at least annually, in the fourth fiscal quarter, or more frequently if events or changes in circumstances indicate that they may be impaired. There were no goodwill and intangible asset impairments for the three and six months ended July 31, 2023 and 2022, respectively.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at July 31, 2023 and January 31, 2023 consisted of the following:</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9"/>
              </w:rPr>
              <w:t>July 31, 2023</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2"/>
              </w:rPr>
              <w:t>January 31, 2023</w:t>
            </w:r>
          </w:p>
        </w:tc>
        <w:tc>
          <w:tcPr>
            <w:tcW w:w="80" w:type="dxa"/>
            <w:vAlign w:val="bottom"/>
          </w:tcPr>
          <w:p>
            <w:pPr>
              <w:spacing w:after="0"/>
              <w:rPr>
                <w:sz w:val="17"/>
                <w:szCs w:val="17"/>
                <w:color w:val="auto"/>
              </w:rPr>
            </w:pPr>
          </w:p>
        </w:tc>
      </w:tr>
      <w:tr>
        <w:trPr>
          <w:trHeight w:val="169"/>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Arial" w:cs="Arial" w:eastAsia="Arial" w:hAnsi="Arial"/>
                <w:sz w:val="14"/>
                <w:szCs w:val="14"/>
                <w:b w:val="1"/>
                <w:bCs w:val="1"/>
                <w:color w:val="auto"/>
              </w:rPr>
              <w:t>(in</w:t>
            </w:r>
          </w:p>
        </w:tc>
        <w:tc>
          <w:tcPr>
            <w:tcW w:w="1500" w:type="dxa"/>
            <w:vAlign w:val="bottom"/>
            <w:gridSpan w:val="3"/>
          </w:tcPr>
          <w:p>
            <w:pPr>
              <w:jc w:val="center"/>
              <w:ind w:right="893"/>
              <w:spacing w:after="0"/>
              <w:rPr>
                <w:sz w:val="20"/>
                <w:szCs w:val="20"/>
                <w:color w:val="auto"/>
              </w:rPr>
            </w:pPr>
            <w:r>
              <w:rPr>
                <w:rFonts w:ascii="Arial" w:cs="Arial" w:eastAsia="Arial" w:hAnsi="Arial"/>
                <w:sz w:val="13"/>
                <w:szCs w:val="13"/>
                <w:b w:val="1"/>
                <w:bCs w:val="1"/>
                <w:color w:val="auto"/>
                <w:w w:val="74"/>
              </w:rPr>
              <w:t>thousands)</w:t>
            </w:r>
          </w:p>
        </w:tc>
        <w:tc>
          <w:tcPr>
            <w:tcW w:w="80" w:type="dxa"/>
            <w:vAlign w:val="bottom"/>
          </w:tcPr>
          <w:p>
            <w:pPr>
              <w:spacing w:after="0"/>
              <w:rPr>
                <w:sz w:val="14"/>
                <w:szCs w:val="14"/>
                <w:color w:val="auto"/>
              </w:rPr>
            </w:pPr>
          </w:p>
        </w:tc>
      </w:tr>
      <w:tr>
        <w:trPr>
          <w:trHeight w:val="24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Accrued employee compensation</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16,784</w:t>
            </w:r>
          </w:p>
        </w:tc>
        <w:tc>
          <w:tcPr>
            <w:tcW w:w="320" w:type="dxa"/>
            <w:vAlign w:val="bottom"/>
            <w:gridSpan w:val="2"/>
            <w:shd w:val="clear" w:color="auto" w:fill="CFF0FC"/>
          </w:tcPr>
          <w:p>
            <w:pPr>
              <w:jc w:val="center"/>
              <w:ind w:left="10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22,152</w:t>
            </w:r>
          </w:p>
        </w:tc>
        <w:tc>
          <w:tcPr>
            <w:tcW w:w="80" w:type="dxa"/>
            <w:vAlign w:val="bottom"/>
            <w:shd w:val="clear" w:color="auto" w:fill="CFF0FC"/>
          </w:tcPr>
          <w:p>
            <w:pPr>
              <w:spacing w:after="0"/>
              <w:rPr>
                <w:sz w:val="21"/>
                <w:szCs w:val="21"/>
                <w:color w:val="auto"/>
              </w:rPr>
            </w:pPr>
          </w:p>
        </w:tc>
      </w:tr>
      <w:tr>
        <w:trPr>
          <w:trHeight w:val="237"/>
        </w:trPr>
        <w:tc>
          <w:tcPr>
            <w:tcW w:w="4940" w:type="dxa"/>
            <w:vAlign w:val="bottom"/>
          </w:tcPr>
          <w:p>
            <w:pPr>
              <w:spacing w:after="0"/>
              <w:rPr>
                <w:sz w:val="20"/>
                <w:szCs w:val="20"/>
                <w:color w:val="auto"/>
              </w:rPr>
            </w:pPr>
            <w:r>
              <w:rPr>
                <w:rFonts w:ascii="Arial" w:cs="Arial" w:eastAsia="Arial" w:hAnsi="Arial"/>
                <w:sz w:val="18"/>
                <w:szCs w:val="18"/>
                <w:color w:val="auto"/>
              </w:rPr>
              <w:t>Accrued product development costs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21,713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19,433</w:t>
            </w:r>
          </w:p>
        </w:tc>
        <w:tc>
          <w:tcPr>
            <w:tcW w:w="80" w:type="dxa"/>
            <w:vAlign w:val="bottom"/>
          </w:tcPr>
          <w:p>
            <w:pPr>
              <w:spacing w:after="0"/>
              <w:rPr>
                <w:sz w:val="20"/>
                <w:szCs w:val="20"/>
                <w:color w:val="auto"/>
              </w:rPr>
            </w:pPr>
          </w:p>
        </w:tc>
      </w:tr>
      <w:tr>
        <w:trPr>
          <w:trHeight w:val="24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Software license liabilities, current</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8,889</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7,059</w:t>
            </w:r>
          </w:p>
        </w:tc>
        <w:tc>
          <w:tcPr>
            <w:tcW w:w="80" w:type="dxa"/>
            <w:vAlign w:val="bottom"/>
            <w:shd w:val="clear" w:color="auto" w:fill="CFF0FC"/>
          </w:tcPr>
          <w:p>
            <w:pPr>
              <w:spacing w:after="0"/>
              <w:rPr>
                <w:sz w:val="21"/>
                <w:szCs w:val="2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6,646</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8,011</w:t>
            </w:r>
          </w:p>
        </w:tc>
        <w:tc>
          <w:tcPr>
            <w:tcW w:w="80" w:type="dxa"/>
            <w:vAlign w:val="bottom"/>
          </w:tcPr>
          <w:p>
            <w:pPr>
              <w:spacing w:after="0"/>
              <w:rPr>
                <w:sz w:val="21"/>
                <w:szCs w:val="21"/>
                <w:color w:val="auto"/>
              </w:rPr>
            </w:pPr>
          </w:p>
        </w:tc>
      </w:tr>
      <w:tr>
        <w:trPr>
          <w:trHeight w:val="277"/>
        </w:trPr>
        <w:tc>
          <w:tcPr>
            <w:tcW w:w="49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accrued and other current liabilities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54,032</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56,655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82" w:lineRule="exact"/>
        <w:rPr>
          <w:sz w:val="20"/>
          <w:szCs w:val="20"/>
          <w:color w:val="auto"/>
        </w:rPr>
      </w:pPr>
    </w:p>
    <w:p>
      <w:pPr>
        <w:ind w:right="180" w:firstLine="450"/>
        <w:spacing w:after="0" w:line="263" w:lineRule="auto"/>
        <w:rPr>
          <w:sz w:val="20"/>
          <w:szCs w:val="20"/>
          <w:color w:val="auto"/>
        </w:rPr>
      </w:pPr>
      <w:r>
        <w:rPr>
          <w:rFonts w:ascii="Arial" w:cs="Arial" w:eastAsia="Arial" w:hAnsi="Arial"/>
          <w:sz w:val="18"/>
          <w:szCs w:val="18"/>
          <w:color w:val="auto"/>
        </w:rPr>
        <w:t>The timing of SoC development and invoicing from outside foundries usually results in the fluctuation of accrued product development costs. Approximately $5.6 million of annual bonus was paid in the first quarter of fiscal year 2024, of which $1.1 million was paid in cash and $4.5 million was settled with restricted stock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ind w:right="100" w:firstLine="469"/>
        <w:spacing w:after="0" w:line="259" w:lineRule="auto"/>
        <w:rPr>
          <w:sz w:val="20"/>
          <w:szCs w:val="20"/>
          <w:color w:val="auto"/>
        </w:rPr>
      </w:pPr>
      <w:r>
        <w:rPr>
          <w:rFonts w:ascii="Arial" w:cs="Arial" w:eastAsia="Arial" w:hAnsi="Arial"/>
          <w:sz w:val="18"/>
          <w:szCs w:val="18"/>
          <w:color w:val="auto"/>
        </w:rPr>
        <w:t>The Company enters into various operating leases for its worldwide facilities. The operating lease expense was approximately $0.9 million and $0.9 million for the three months ended July 31, 2023 and 2022, respectively, and was approximately $1.8 million and $1.8 million for the six months ended July 31, 2023 and 2022, respectively. The Company's short-term leases and finance leases were not material as of July 31, 2023 and January 31, 2023, respectively.</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Supplemental cash flow information related to the operating leases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Three Months</w:t>
            </w:r>
          </w:p>
        </w:tc>
        <w:tc>
          <w:tcPr>
            <w:tcW w:w="340" w:type="dxa"/>
            <w:vAlign w:val="bottom"/>
          </w:tcPr>
          <w:p>
            <w:pPr>
              <w:spacing w:after="0"/>
              <w:rPr>
                <w:sz w:val="14"/>
                <w:szCs w:val="14"/>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2"/>
              </w:rPr>
              <w:t>July 31, 2023</w:t>
            </w: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4"/>
              </w:rPr>
              <w:t>July 31, 2023</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42"/>
              <w:spacing w:after="0"/>
              <w:rPr>
                <w:sz w:val="20"/>
                <w:szCs w:val="20"/>
                <w:color w:val="auto"/>
              </w:rPr>
            </w:pPr>
            <w:r>
              <w:rPr>
                <w:rFonts w:ascii="Arial" w:cs="Arial" w:eastAsia="Arial" w:hAnsi="Arial"/>
                <w:sz w:val="14"/>
                <w:szCs w:val="14"/>
                <w:b w:val="1"/>
                <w:bCs w:val="1"/>
                <w:color w:val="auto"/>
              </w:rPr>
              <w:t>(in</w:t>
            </w:r>
          </w:p>
        </w:tc>
        <w:tc>
          <w:tcPr>
            <w:tcW w:w="1520" w:type="dxa"/>
            <w:vAlign w:val="bottom"/>
            <w:gridSpan w:val="3"/>
          </w:tcPr>
          <w:p>
            <w:pPr>
              <w:jc w:val="right"/>
              <w:ind w:right="856"/>
              <w:spacing w:after="0"/>
              <w:rPr>
                <w:sz w:val="20"/>
                <w:szCs w:val="20"/>
                <w:color w:val="auto"/>
              </w:rPr>
            </w:pPr>
            <w:r>
              <w:rPr>
                <w:rFonts w:ascii="Arial" w:cs="Arial" w:eastAsia="Arial" w:hAnsi="Arial"/>
                <w:sz w:val="14"/>
                <w:szCs w:val="14"/>
                <w:b w:val="1"/>
                <w:bCs w:val="1"/>
                <w:color w:val="auto"/>
                <w:w w:val="74"/>
              </w:rPr>
              <w:t>thousands)</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operating leases included in operating cash flows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48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Supplemental non-cash information related to lease liabilities arising from</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obtaining right-of-use assets</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4"/>
                <w:szCs w:val="24"/>
                <w:color w:val="auto"/>
              </w:rPr>
            </w:pPr>
          </w:p>
        </w:tc>
        <w:tc>
          <w:tcPr>
            <w:tcW w:w="6180" w:type="dxa"/>
            <w:vAlign w:val="bottom"/>
          </w:tcPr>
          <w:p>
            <w:pPr>
              <w:jc w:val="right"/>
              <w:ind w:right="15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6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ind w:right="640" w:firstLine="509"/>
        <w:spacing w:after="0" w:line="277" w:lineRule="auto"/>
        <w:rPr>
          <w:sz w:val="20"/>
          <w:szCs w:val="20"/>
          <w:color w:val="auto"/>
        </w:rPr>
      </w:pPr>
      <w:r>
        <w:rPr>
          <w:rFonts w:ascii="Arial" w:cs="Arial" w:eastAsia="Arial" w:hAnsi="Arial"/>
          <w:sz w:val="18"/>
          <w:szCs w:val="18"/>
          <w:color w:val="auto"/>
        </w:rPr>
        <w:t>As of July 31, 2023, the weighted average remaining lease term is 2.17 years, and the weighted average discount rate is 3.61 percent. Future minimum lease payments for the lease liabilities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91"/>
              </w:rPr>
              <w:t>As of</w:t>
            </w:r>
          </w:p>
        </w:tc>
      </w:tr>
      <w:tr>
        <w:trPr>
          <w:trHeight w:val="185"/>
        </w:trPr>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jc w:val="center"/>
              <w:ind w:right="940"/>
              <w:spacing w:after="0"/>
              <w:rPr>
                <w:sz w:val="20"/>
                <w:szCs w:val="20"/>
                <w:color w:val="auto"/>
              </w:rPr>
            </w:pPr>
            <w:r>
              <w:rPr>
                <w:rFonts w:ascii="Arial" w:cs="Arial" w:eastAsia="Arial" w:hAnsi="Arial"/>
                <w:sz w:val="14"/>
                <w:szCs w:val="14"/>
                <w:b w:val="1"/>
                <w:bCs w:val="1"/>
                <w:color w:val="auto"/>
                <w:w w:val="92"/>
              </w:rPr>
              <w:t>July 31, 2023</w:t>
            </w:r>
          </w:p>
        </w:tc>
      </w:tr>
      <w:tr>
        <w:trPr>
          <w:trHeight w:val="149"/>
        </w:trPr>
        <w:tc>
          <w:tcPr>
            <w:tcW w:w="1140" w:type="dxa"/>
            <w:vAlign w:val="bottom"/>
          </w:tcPr>
          <w:p>
            <w:pPr>
              <w:spacing w:after="0"/>
              <w:rPr>
                <w:sz w:val="12"/>
                <w:szCs w:val="12"/>
                <w:color w:val="auto"/>
              </w:rPr>
            </w:pPr>
          </w:p>
        </w:tc>
        <w:tc>
          <w:tcPr>
            <w:tcW w:w="7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Fiscal Year</w:t>
            </w:r>
          </w:p>
        </w:tc>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jc w:val="center"/>
              <w:ind w:right="77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r>
      <w:tr>
        <w:trPr>
          <w:trHeight w:val="243"/>
        </w:trPr>
        <w:tc>
          <w:tcPr>
            <w:tcW w:w="1140" w:type="dxa"/>
            <w:vAlign w:val="bottom"/>
          </w:tcPr>
          <w:p>
            <w:pPr>
              <w:spacing w:after="0"/>
              <w:rPr>
                <w:sz w:val="21"/>
                <w:szCs w:val="21"/>
                <w:color w:val="auto"/>
              </w:rPr>
            </w:pPr>
          </w:p>
        </w:tc>
        <w:tc>
          <w:tcPr>
            <w:tcW w:w="550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2024 (6 months remaining)</w:t>
            </w:r>
          </w:p>
        </w:tc>
        <w:tc>
          <w:tcPr>
            <w:tcW w:w="1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8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1,849</w:t>
            </w:r>
          </w:p>
        </w:tc>
        <w:tc>
          <w:tcPr>
            <w:tcW w:w="80" w:type="dxa"/>
            <w:vAlign w:val="bottom"/>
            <w:shd w:val="clear" w:color="auto" w:fill="CFF0FC"/>
          </w:tcPr>
          <w:p>
            <w:pPr>
              <w:spacing w:after="0"/>
              <w:rPr>
                <w:sz w:val="21"/>
                <w:szCs w:val="21"/>
                <w:color w:val="auto"/>
              </w:rPr>
            </w:pPr>
          </w:p>
        </w:tc>
      </w:tr>
      <w:tr>
        <w:trPr>
          <w:trHeight w:val="230"/>
        </w:trPr>
        <w:tc>
          <w:tcPr>
            <w:tcW w:w="1140" w:type="dxa"/>
            <w:vAlign w:val="bottom"/>
          </w:tcPr>
          <w:p>
            <w:pPr>
              <w:spacing w:after="0"/>
              <w:rPr>
                <w:sz w:val="20"/>
                <w:szCs w:val="20"/>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w w:val="89"/>
              </w:rPr>
              <w:t>2025</w:t>
            </w:r>
          </w:p>
        </w:tc>
        <w:tc>
          <w:tcPr>
            <w:tcW w:w="1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3,363</w:t>
            </w:r>
          </w:p>
        </w:tc>
        <w:tc>
          <w:tcPr>
            <w:tcW w:w="80" w:type="dxa"/>
            <w:vAlign w:val="bottom"/>
          </w:tcPr>
          <w:p>
            <w:pPr>
              <w:spacing w:after="0"/>
              <w:rPr>
                <w:sz w:val="20"/>
                <w:szCs w:val="20"/>
                <w:color w:val="auto"/>
              </w:rPr>
            </w:pPr>
          </w:p>
        </w:tc>
      </w:tr>
      <w:tr>
        <w:trPr>
          <w:trHeight w:val="256"/>
        </w:trPr>
        <w:tc>
          <w:tcPr>
            <w:tcW w:w="1140" w:type="dxa"/>
            <w:vAlign w:val="bottom"/>
          </w:tcPr>
          <w:p>
            <w:pPr>
              <w:spacing w:after="0"/>
              <w:rPr>
                <w:sz w:val="22"/>
                <w:szCs w:val="22"/>
                <w:color w:val="auto"/>
              </w:rPr>
            </w:pPr>
          </w:p>
        </w:tc>
        <w:tc>
          <w:tcPr>
            <w:tcW w:w="5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9"/>
              </w:rPr>
              <w:t>2026</w:t>
            </w:r>
          </w:p>
        </w:tc>
        <w:tc>
          <w:tcPr>
            <w:tcW w:w="140" w:type="dxa"/>
            <w:vAlign w:val="bottom"/>
            <w:shd w:val="clear" w:color="auto" w:fill="CFF0FC"/>
          </w:tcPr>
          <w:p>
            <w:pPr>
              <w:spacing w:after="0"/>
              <w:rPr>
                <w:sz w:val="22"/>
                <w:szCs w:val="22"/>
                <w:color w:val="auto"/>
              </w:rPr>
            </w:pPr>
          </w:p>
        </w:tc>
        <w:tc>
          <w:tcPr>
            <w:tcW w:w="48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1,367</w:t>
            </w:r>
          </w:p>
        </w:tc>
        <w:tc>
          <w:tcPr>
            <w:tcW w:w="80" w:type="dxa"/>
            <w:vAlign w:val="bottom"/>
            <w:shd w:val="clear" w:color="auto" w:fill="CFF0FC"/>
          </w:tcPr>
          <w:p>
            <w:pPr>
              <w:spacing w:after="0"/>
              <w:rPr>
                <w:sz w:val="22"/>
                <w:szCs w:val="22"/>
                <w:color w:val="auto"/>
              </w:rPr>
            </w:pPr>
          </w:p>
        </w:tc>
      </w:tr>
      <w:tr>
        <w:trPr>
          <w:trHeight w:val="230"/>
        </w:trPr>
        <w:tc>
          <w:tcPr>
            <w:tcW w:w="1140" w:type="dxa"/>
            <w:vAlign w:val="bottom"/>
          </w:tcPr>
          <w:p>
            <w:pPr>
              <w:spacing w:after="0"/>
              <w:rPr>
                <w:sz w:val="20"/>
                <w:szCs w:val="20"/>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w w:val="89"/>
              </w:rPr>
              <w:t>2027</w:t>
            </w:r>
          </w:p>
        </w:tc>
        <w:tc>
          <w:tcPr>
            <w:tcW w:w="1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20"/>
                <w:szCs w:val="20"/>
                <w:color w:val="auto"/>
              </w:rPr>
            </w:pPr>
          </w:p>
        </w:tc>
      </w:tr>
      <w:tr>
        <w:trPr>
          <w:trHeight w:val="256"/>
        </w:trPr>
        <w:tc>
          <w:tcPr>
            <w:tcW w:w="1140" w:type="dxa"/>
            <w:vAlign w:val="bottom"/>
          </w:tcPr>
          <w:p>
            <w:pPr>
              <w:spacing w:after="0"/>
              <w:rPr>
                <w:sz w:val="22"/>
                <w:szCs w:val="22"/>
                <w:color w:val="auto"/>
              </w:rPr>
            </w:pPr>
          </w:p>
        </w:tc>
        <w:tc>
          <w:tcPr>
            <w:tcW w:w="5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9"/>
              </w:rPr>
              <w:t>2028</w:t>
            </w:r>
          </w:p>
        </w:tc>
        <w:tc>
          <w:tcPr>
            <w:tcW w:w="140" w:type="dxa"/>
            <w:vAlign w:val="bottom"/>
            <w:shd w:val="clear" w:color="auto" w:fill="CFF0FC"/>
          </w:tcPr>
          <w:p>
            <w:pPr>
              <w:spacing w:after="0"/>
              <w:rPr>
                <w:sz w:val="22"/>
                <w:szCs w:val="22"/>
                <w:color w:val="auto"/>
              </w:rPr>
            </w:pPr>
          </w:p>
        </w:tc>
        <w:tc>
          <w:tcPr>
            <w:tcW w:w="48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FF0FC"/>
          </w:tcPr>
          <w:p>
            <w:pPr>
              <w:spacing w:after="0"/>
              <w:rPr>
                <w:sz w:val="22"/>
                <w:szCs w:val="22"/>
                <w:color w:val="auto"/>
              </w:rPr>
            </w:pPr>
          </w:p>
        </w:tc>
      </w:tr>
      <w:tr>
        <w:trPr>
          <w:trHeight w:val="243"/>
        </w:trPr>
        <w:tc>
          <w:tcPr>
            <w:tcW w:w="1140" w:type="dxa"/>
            <w:vAlign w:val="bottom"/>
          </w:tcPr>
          <w:p>
            <w:pPr>
              <w:spacing w:after="0"/>
              <w:rPr>
                <w:sz w:val="21"/>
                <w:szCs w:val="21"/>
                <w:color w:val="auto"/>
              </w:rPr>
            </w:pPr>
          </w:p>
        </w:tc>
        <w:tc>
          <w:tcPr>
            <w:tcW w:w="5500" w:type="dxa"/>
            <w:vAlign w:val="bottom"/>
            <w:gridSpan w:val="3"/>
          </w:tcPr>
          <w:p>
            <w:pPr>
              <w:ind w:left="18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1140" w:type="dxa"/>
            <w:vAlign w:val="bottom"/>
          </w:tcPr>
          <w:p>
            <w:pPr>
              <w:spacing w:after="0"/>
              <w:rPr>
                <w:sz w:val="20"/>
                <w:szCs w:val="20"/>
                <w:color w:val="auto"/>
              </w:rPr>
            </w:pPr>
          </w:p>
        </w:tc>
        <w:tc>
          <w:tcPr>
            <w:tcW w:w="5500" w:type="dxa"/>
            <w:vAlign w:val="bottom"/>
            <w:gridSpan w:val="3"/>
            <w:shd w:val="clear" w:color="auto" w:fill="CFF0FC"/>
          </w:tcPr>
          <w:p>
            <w:pPr>
              <w:ind w:left="360"/>
              <w:spacing w:after="0"/>
              <w:rPr>
                <w:sz w:val="20"/>
                <w:szCs w:val="20"/>
                <w:color w:val="auto"/>
              </w:rPr>
            </w:pPr>
            <w:r>
              <w:rPr>
                <w:rFonts w:ascii="Arial" w:cs="Arial" w:eastAsia="Arial" w:hAnsi="Arial"/>
                <w:sz w:val="18"/>
                <w:szCs w:val="18"/>
                <w:color w:val="auto"/>
              </w:rPr>
              <w:t>Total future annual minimum lease payments</w:t>
            </w:r>
          </w:p>
        </w:tc>
        <w:tc>
          <w:tcPr>
            <w:tcW w:w="1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7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6,987</w:t>
            </w:r>
          </w:p>
        </w:tc>
        <w:tc>
          <w:tcPr>
            <w:tcW w:w="80" w:type="dxa"/>
            <w:vAlign w:val="bottom"/>
            <w:shd w:val="clear" w:color="auto" w:fill="CFF0FC"/>
          </w:tcPr>
          <w:p>
            <w:pPr>
              <w:spacing w:after="0"/>
              <w:rPr>
                <w:sz w:val="20"/>
                <w:szCs w:val="20"/>
                <w:color w:val="auto"/>
              </w:rPr>
            </w:pPr>
          </w:p>
        </w:tc>
      </w:tr>
      <w:tr>
        <w:trPr>
          <w:trHeight w:val="257"/>
        </w:trPr>
        <w:tc>
          <w:tcPr>
            <w:tcW w:w="1140" w:type="dxa"/>
            <w:vAlign w:val="bottom"/>
          </w:tcPr>
          <w:p>
            <w:pPr>
              <w:spacing w:after="0"/>
              <w:rPr>
                <w:sz w:val="22"/>
                <w:szCs w:val="22"/>
                <w:color w:val="auto"/>
              </w:rPr>
            </w:pPr>
          </w:p>
        </w:tc>
        <w:tc>
          <w:tcPr>
            <w:tcW w:w="5500" w:type="dxa"/>
            <w:vAlign w:val="bottom"/>
            <w:gridSpan w:val="3"/>
          </w:tcPr>
          <w:p>
            <w:pPr>
              <w:ind w:left="180"/>
              <w:spacing w:after="0"/>
              <w:rPr>
                <w:sz w:val="20"/>
                <w:szCs w:val="20"/>
                <w:color w:val="auto"/>
              </w:rPr>
            </w:pPr>
            <w:r>
              <w:rPr>
                <w:rFonts w:ascii="Arial" w:cs="Arial" w:eastAsia="Arial" w:hAnsi="Arial"/>
                <w:sz w:val="18"/>
                <w:szCs w:val="18"/>
                <w:color w:val="auto"/>
              </w:rPr>
              <w:t>Less: interest</w:t>
            </w: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gridSpan w:val="4"/>
          </w:tcPr>
          <w:p>
            <w:pPr>
              <w:jc w:val="right"/>
              <w:ind w:right="20"/>
              <w:spacing w:after="0"/>
              <w:rPr>
                <w:sz w:val="20"/>
                <w:szCs w:val="20"/>
                <w:color w:val="auto"/>
              </w:rPr>
            </w:pPr>
            <w:r>
              <w:rPr>
                <w:rFonts w:ascii="Arial" w:cs="Arial" w:eastAsia="Arial" w:hAnsi="Arial"/>
                <w:sz w:val="18"/>
                <w:szCs w:val="18"/>
                <w:color w:val="auto"/>
              </w:rPr>
              <w:t>(223 )</w:t>
            </w:r>
          </w:p>
        </w:tc>
      </w:tr>
      <w:tr>
        <w:trPr>
          <w:trHeight w:val="277"/>
        </w:trPr>
        <w:tc>
          <w:tcPr>
            <w:tcW w:w="1140" w:type="dxa"/>
            <w:vAlign w:val="bottom"/>
          </w:tcPr>
          <w:p>
            <w:pPr>
              <w:spacing w:after="0"/>
              <w:rPr>
                <w:sz w:val="24"/>
                <w:szCs w:val="24"/>
                <w:color w:val="auto"/>
              </w:rPr>
            </w:pPr>
          </w:p>
        </w:tc>
        <w:tc>
          <w:tcPr>
            <w:tcW w:w="5500" w:type="dxa"/>
            <w:vAlign w:val="bottom"/>
            <w:tcBorders>
              <w:bottom w:val="single" w:sz="8" w:color="CFF0FC"/>
            </w:tcBorders>
            <w:gridSpan w:val="3"/>
            <w:shd w:val="clear" w:color="auto" w:fill="CFF0FC"/>
          </w:tcPr>
          <w:p>
            <w:pPr>
              <w:ind w:left="36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top w:val="single" w:sz="8" w:color="auto"/>
              <w:bottom w:val="single" w:sz="8" w:color="auto"/>
            </w:tcBorders>
            <w:shd w:val="clear" w:color="auto" w:fill="CFF0FC"/>
          </w:tcPr>
          <w:p>
            <w:pPr>
              <w:jc w:val="right"/>
              <w:ind w:right="482"/>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7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6,764</w:t>
            </w:r>
          </w:p>
        </w:tc>
        <w:tc>
          <w:tcPr>
            <w:tcW w:w="80" w:type="dxa"/>
            <w:vAlign w:val="bottom"/>
            <w:tcBorders>
              <w:bottom w:val="single" w:sz="8" w:color="CFF0FC"/>
            </w:tcBorders>
            <w:shd w:val="clear" w:color="auto" w:fill="CFF0FC"/>
          </w:tcPr>
          <w:p>
            <w:pPr>
              <w:spacing w:after="0"/>
              <w:rPr>
                <w:sz w:val="24"/>
                <w:szCs w:val="24"/>
                <w:color w:val="auto"/>
              </w:rPr>
            </w:pPr>
          </w:p>
        </w:tc>
      </w:tr>
      <w:tr>
        <w:trPr>
          <w:trHeight w:val="628"/>
        </w:trPr>
        <w:tc>
          <w:tcPr>
            <w:tcW w:w="6640" w:type="dxa"/>
            <w:vAlign w:val="bottom"/>
            <w:gridSpan w:val="4"/>
          </w:tcPr>
          <w:p>
            <w:pPr>
              <w:spacing w:after="0"/>
              <w:rPr>
                <w:sz w:val="20"/>
                <w:szCs w:val="20"/>
                <w:color w:val="auto"/>
              </w:rPr>
            </w:pPr>
            <w:r>
              <w:rPr>
                <w:rFonts w:ascii="Arial" w:cs="Arial" w:eastAsia="Arial" w:hAnsi="Arial"/>
                <w:sz w:val="18"/>
                <w:szCs w:val="18"/>
                <w:b w:val="1"/>
                <w:bCs w:val="1"/>
                <w:color w:val="auto"/>
              </w:rPr>
              <w:t>8. Other Long-Term Liabilities</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7980" w:type="dxa"/>
            <w:vAlign w:val="bottom"/>
            <w:gridSpan w:val="7"/>
          </w:tcPr>
          <w:p>
            <w:pPr>
              <w:jc w:val="right"/>
              <w:ind w:right="762"/>
              <w:spacing w:after="0"/>
              <w:rPr>
                <w:sz w:val="20"/>
                <w:szCs w:val="20"/>
                <w:color w:val="auto"/>
              </w:rPr>
            </w:pPr>
            <w:r>
              <w:rPr>
                <w:rFonts w:ascii="Arial" w:cs="Arial" w:eastAsia="Arial" w:hAnsi="Arial"/>
                <w:sz w:val="18"/>
                <w:szCs w:val="18"/>
                <w:color w:val="auto"/>
                <w:w w:val="98"/>
              </w:rPr>
              <w:t>Other long-term liabilities at July 31, 2023 and January 31, 2023 consisted of the following:</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202"/>
              <w:spacing w:after="0"/>
              <w:rPr>
                <w:sz w:val="20"/>
                <w:szCs w:val="20"/>
                <w:color w:val="auto"/>
              </w:rPr>
            </w:pPr>
            <w:r>
              <w:rPr>
                <w:rFonts w:ascii="Arial" w:cs="Arial" w:eastAsia="Arial" w:hAnsi="Arial"/>
                <w:sz w:val="14"/>
                <w:szCs w:val="14"/>
                <w:b w:val="1"/>
                <w:bCs w:val="1"/>
                <w:color w:val="auto"/>
                <w:w w:val="99"/>
              </w:rPr>
              <w:t>July 31, 2023</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2"/>
              </w:rPr>
              <w:t>January 31, 2023</w:t>
            </w:r>
          </w:p>
        </w:tc>
        <w:tc>
          <w:tcPr>
            <w:tcW w:w="8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r>
      <w:tr>
        <w:trPr>
          <w:trHeight w:val="169"/>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jc w:val="right"/>
              <w:ind w:right="102"/>
              <w:spacing w:after="0"/>
              <w:rPr>
                <w:sz w:val="20"/>
                <w:szCs w:val="20"/>
                <w:color w:val="auto"/>
              </w:rPr>
            </w:pPr>
            <w:r>
              <w:rPr>
                <w:rFonts w:ascii="Arial" w:cs="Arial" w:eastAsia="Arial" w:hAnsi="Arial"/>
                <w:sz w:val="14"/>
                <w:szCs w:val="14"/>
                <w:b w:val="1"/>
                <w:bCs w:val="1"/>
                <w:color w:val="auto"/>
              </w:rPr>
              <w:t>(in</w:t>
            </w:r>
          </w:p>
        </w:tc>
        <w:tc>
          <w:tcPr>
            <w:tcW w:w="1500" w:type="dxa"/>
            <w:vAlign w:val="bottom"/>
            <w:gridSpan w:val="3"/>
          </w:tcPr>
          <w:p>
            <w:pPr>
              <w:jc w:val="center"/>
              <w:ind w:right="892"/>
              <w:spacing w:after="0"/>
              <w:rPr>
                <w:sz w:val="20"/>
                <w:szCs w:val="20"/>
                <w:color w:val="auto"/>
              </w:rPr>
            </w:pPr>
            <w:r>
              <w:rPr>
                <w:rFonts w:ascii="Arial" w:cs="Arial" w:eastAsia="Arial" w:hAnsi="Arial"/>
                <w:sz w:val="13"/>
                <w:szCs w:val="13"/>
                <w:b w:val="1"/>
                <w:bCs w:val="1"/>
                <w:color w:val="auto"/>
                <w:w w:val="74"/>
              </w:rPr>
              <w:t>thousands)</w:t>
            </w:r>
          </w:p>
        </w:tc>
        <w:tc>
          <w:tcPr>
            <w:tcW w:w="8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r>
      <w:tr>
        <w:trPr>
          <w:trHeight w:val="243"/>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Unrecognized tax benefits, including interest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3,817</w:t>
            </w:r>
          </w:p>
        </w:tc>
        <w:tc>
          <w:tcPr>
            <w:tcW w:w="320" w:type="dxa"/>
            <w:vAlign w:val="bottom"/>
            <w:gridSpan w:val="2"/>
            <w:shd w:val="clear" w:color="auto" w:fill="CFF0FC"/>
          </w:tcPr>
          <w:p>
            <w:pPr>
              <w:jc w:val="center"/>
              <w:ind w:left="10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3,770</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Deferred tax liabilities, non-current</w:t>
            </w:r>
          </w:p>
        </w:tc>
        <w:tc>
          <w:tcPr>
            <w:tcW w:w="1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Software license liabilities, non-current</w:t>
            </w:r>
          </w:p>
        </w:tc>
        <w:tc>
          <w:tcPr>
            <w:tcW w:w="1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11,139</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9,614</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48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other long-term liabilities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16,020</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15,548</w:t>
            </w:r>
          </w:p>
        </w:tc>
        <w:tc>
          <w:tcPr>
            <w:tcW w:w="80" w:type="dxa"/>
            <w:vAlign w:val="bottom"/>
            <w:tcBorders>
              <w:bottom w:val="single" w:sz="8" w:color="CFF0FC"/>
            </w:tcBorders>
            <w:shd w:val="clear" w:color="auto" w:fill="CFF0FC"/>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-1953895</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-1936750</wp:posOffset>
            </wp:positionV>
            <wp:extent cx="514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514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Preference shares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Since the Company’s initial public offering, or IPO, a total of 20,000,000 preference shares, with a $0.00045 par value per share, were authorized.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preference shares issued and outstanding as of July 31, 2023 and January 31, 2023, respectively.</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As of July 31, 2023 and January 31, 2023, the following ordinary shares were reserved for future issuance under the Company’s equity plans and employee stock purchase plan:</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166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w w:val="97"/>
              </w:rPr>
              <w:t>As of</w:t>
            </w:r>
          </w:p>
        </w:tc>
        <w:tc>
          <w:tcPr>
            <w:tcW w:w="1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880" w:type="dxa"/>
            <w:vAlign w:val="bottom"/>
          </w:tcPr>
          <w:p>
            <w:pPr>
              <w:spacing w:after="0"/>
              <w:rPr>
                <w:sz w:val="14"/>
                <w:szCs w:val="14"/>
                <w:color w:val="auto"/>
              </w:rPr>
            </w:pPr>
          </w:p>
        </w:tc>
        <w:tc>
          <w:tcPr>
            <w:tcW w:w="1660" w:type="dxa"/>
            <w:vAlign w:val="bottom"/>
            <w:gridSpan w:val="3"/>
          </w:tcPr>
          <w:p>
            <w:pPr>
              <w:ind w:left="280"/>
              <w:spacing w:after="0"/>
              <w:rPr>
                <w:sz w:val="20"/>
                <w:szCs w:val="20"/>
                <w:color w:val="auto"/>
              </w:rPr>
            </w:pPr>
            <w:r>
              <w:rPr>
                <w:rFonts w:ascii="Arial" w:cs="Arial" w:eastAsia="Arial" w:hAnsi="Arial"/>
                <w:sz w:val="14"/>
                <w:szCs w:val="14"/>
                <w:b w:val="1"/>
                <w:bCs w:val="1"/>
                <w:color w:val="auto"/>
              </w:rPr>
              <w:t>July 31, 2023</w:t>
            </w:r>
          </w:p>
        </w:tc>
        <w:tc>
          <w:tcPr>
            <w:tcW w:w="1240" w:type="dxa"/>
            <w:vAlign w:val="bottom"/>
          </w:tcPr>
          <w:p>
            <w:pPr>
              <w:jc w:val="right"/>
              <w:ind w:right="76"/>
              <w:spacing w:after="0"/>
              <w:rPr>
                <w:sz w:val="20"/>
                <w:szCs w:val="20"/>
                <w:color w:val="auto"/>
              </w:rPr>
            </w:pPr>
            <w:r>
              <w:rPr>
                <w:rFonts w:ascii="Arial" w:cs="Arial" w:eastAsia="Arial" w:hAnsi="Arial"/>
                <w:sz w:val="14"/>
                <w:szCs w:val="14"/>
                <w:b w:val="1"/>
                <w:bCs w:val="1"/>
                <w:color w:val="auto"/>
                <w:w w:val="94"/>
              </w:rPr>
              <w:t>January 31, 2023</w:t>
            </w:r>
          </w:p>
        </w:tc>
        <w:tc>
          <w:tcPr>
            <w:tcW w:w="80" w:type="dxa"/>
            <w:vAlign w:val="bottom"/>
          </w:tcPr>
          <w:p>
            <w:pPr>
              <w:spacing w:after="0"/>
              <w:rPr>
                <w:sz w:val="14"/>
                <w:szCs w:val="14"/>
                <w:color w:val="auto"/>
              </w:rPr>
            </w:pPr>
          </w:p>
        </w:tc>
      </w:tr>
      <w:tr>
        <w:trPr>
          <w:trHeight w:val="20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options, restricted stock and</w:t>
            </w:r>
          </w:p>
        </w:tc>
        <w:tc>
          <w:tcPr>
            <w:tcW w:w="13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44"/>
        </w:trPr>
        <w:tc>
          <w:tcPr>
            <w:tcW w:w="4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units under equity plans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5,075,024</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5,822,819</w:t>
            </w:r>
          </w:p>
        </w:tc>
        <w:tc>
          <w:tcPr>
            <w:tcW w:w="80" w:type="dxa"/>
            <w:vAlign w:val="bottom"/>
            <w:shd w:val="clear" w:color="auto" w:fill="CFF0FC"/>
          </w:tcPr>
          <w:p>
            <w:pPr>
              <w:spacing w:after="0"/>
              <w:rPr>
                <w:sz w:val="21"/>
                <w:szCs w:val="2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Shares reserved for employee stock purchase plan</w:t>
            </w:r>
          </w:p>
        </w:tc>
        <w:tc>
          <w:tcPr>
            <w:tcW w:w="1380" w:type="dxa"/>
            <w:vAlign w:val="bottom"/>
          </w:tcPr>
          <w:p>
            <w:pPr>
              <w:jc w:val="right"/>
              <w:spacing w:after="0"/>
              <w:rPr>
                <w:sz w:val="20"/>
                <w:szCs w:val="20"/>
                <w:color w:val="auto"/>
              </w:rPr>
            </w:pPr>
            <w:r>
              <w:rPr>
                <w:rFonts w:ascii="Arial" w:cs="Arial" w:eastAsia="Arial" w:hAnsi="Arial"/>
                <w:sz w:val="18"/>
                <w:szCs w:val="18"/>
                <w:color w:val="auto"/>
              </w:rPr>
              <w:t>2,906,196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2,986,403</w:t>
            </w:r>
          </w:p>
        </w:tc>
        <w:tc>
          <w:tcPr>
            <w:tcW w:w="80" w:type="dxa"/>
            <w:vAlign w:val="bottom"/>
          </w:tcPr>
          <w:p>
            <w:pPr>
              <w:spacing w:after="0"/>
              <w:rPr>
                <w:sz w:val="20"/>
                <w:szCs w:val="20"/>
                <w:color w:val="auto"/>
              </w:rPr>
            </w:pPr>
          </w:p>
        </w:tc>
      </w:tr>
    </w:tbl>
    <w:p>
      <w:pPr>
        <w:spacing w:after="0" w:line="32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color w:val="auto"/>
        </w:rPr>
        <w:t>On May 26, 2023, the Company</w:t>
      </w:r>
      <w:r>
        <w:rPr>
          <w:rFonts w:ascii="Arial" w:cs="Arial" w:eastAsia="Arial" w:hAnsi="Arial"/>
          <w:sz w:val="15"/>
          <w:szCs w:val="15"/>
          <w:color w:val="auto"/>
        </w:rPr>
        <w:t>’</w:t>
      </w:r>
      <w:r>
        <w:rPr>
          <w:rFonts w:ascii="Arial" w:cs="Arial" w:eastAsia="Arial" w:hAnsi="Arial"/>
          <w:sz w:val="17"/>
          <w:szCs w:val="17"/>
          <w:color w:val="auto"/>
        </w:rPr>
        <w:t>s Board of Directors approved an extension of the Company's existing share repurchase program for an additional twelve months through June 30, 2024. There were no ordinary shares repurchased in the six months ended July 31, 2023. As of July 31, 2023, there was approximately $49.0 million available for repurchases under the current repurchase program through June 30, 2024.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classification of stock-based compensation for the periods indicated:</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 July</w:t>
            </w:r>
          </w:p>
        </w:tc>
        <w:tc>
          <w:tcPr>
            <w:tcW w:w="180" w:type="dxa"/>
            <w:vAlign w:val="bottom"/>
          </w:tcPr>
          <w:p>
            <w:pPr>
              <w:spacing w:after="0"/>
              <w:rPr>
                <w:sz w:val="14"/>
                <w:szCs w:val="14"/>
                <w:color w:val="auto"/>
              </w:rPr>
            </w:pPr>
          </w:p>
        </w:tc>
        <w:tc>
          <w:tcPr>
            <w:tcW w:w="172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3"/>
              </w:rPr>
              <w:t>Six Months Ended July 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31,</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Borders>
              <w:bottom w:val="single" w:sz="8" w:color="auto"/>
            </w:tcBorders>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8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1,826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18,550</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17,883</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36,911</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35,034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8,687</w:t>
            </w: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8,664</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16,650</w:t>
            </w: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28,122</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26,909</w:t>
            </w: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55,387</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53,950</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-24765</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431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431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As of July 31, 2023, approximately $1.8 million of stock-based compensation expense was accrued in accrued and other current liabilities in the condensed consolidated balance sheets. Total unrecognized compensation cost related to unvested stock options at July 31, 2023 was $10.8 million and is expected to be recognized over a weighted-average period of 1.55 years. Total unrecognized compensation cost related to unvested restricted stock units at July 31, 2023 was $176.0 million and is expected to be recognized over a weighted-average period of 2.29 years.</w:t>
      </w:r>
    </w:p>
    <w:p>
      <w:pPr>
        <w:spacing w:after="0" w:line="171"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The following table sets forth the weighted-average assumptions used to estimate the fair value of employee stock purchase plan awards for the periods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July 31,</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92"/>
              </w:rPr>
              <w:t>Six Months Ended July 31,</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bottom w:val="single" w:sz="8" w:color="auto"/>
            </w:tcBorders>
            <w:gridSpan w:val="2"/>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 awards:</w:t>
            </w:r>
          </w:p>
        </w:tc>
        <w:tc>
          <w:tcPr>
            <w:tcW w:w="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Volatility</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59 %</w:t>
            </w:r>
          </w:p>
        </w:tc>
        <w:tc>
          <w:tcPr>
            <w:tcW w:w="1220" w:type="dxa"/>
            <w:vAlign w:val="bottom"/>
            <w:gridSpan w:val="4"/>
          </w:tcPr>
          <w:p>
            <w:pPr>
              <w:jc w:val="right"/>
              <w:ind w:right="60"/>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140" w:type="dxa"/>
            <w:vAlign w:val="bottom"/>
          </w:tcPr>
          <w:p>
            <w:pPr>
              <w:spacing w:after="0"/>
              <w:rPr>
                <w:sz w:val="21"/>
                <w:szCs w:val="21"/>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Risk-free interest rate</w:t>
            </w: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4.73 %</w:t>
            </w:r>
          </w:p>
        </w:tc>
        <w:tc>
          <w:tcPr>
            <w:tcW w:w="1220" w:type="dxa"/>
            <w:vAlign w:val="bottom"/>
            <w:gridSpan w:val="4"/>
          </w:tcPr>
          <w:p>
            <w:pPr>
              <w:jc w:val="right"/>
              <w:ind w:right="60"/>
              <w:spacing w:after="0"/>
              <w:rPr>
                <w:sz w:val="20"/>
                <w:szCs w:val="20"/>
                <w:color w:val="auto"/>
              </w:rPr>
            </w:pPr>
            <w:r>
              <w:rPr>
                <w:rFonts w:ascii="Arial" w:cs="Arial" w:eastAsia="Arial" w:hAnsi="Arial"/>
                <w:sz w:val="18"/>
                <w:szCs w:val="18"/>
                <w:color w:val="auto"/>
              </w:rPr>
              <w:t>0.86 %</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Expected term (years)</w:t>
            </w: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Dividend yield</w:t>
            </w: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0 %</w:t>
            </w:r>
          </w:p>
        </w:tc>
        <w:tc>
          <w:tcPr>
            <w:tcW w:w="1220" w:type="dxa"/>
            <w:vAlign w:val="bottom"/>
            <w:gridSpan w:val="4"/>
          </w:tcPr>
          <w:p>
            <w:pPr>
              <w:jc w:val="right"/>
              <w:ind w:right="60"/>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6860" w:type="dxa"/>
            <w:vAlign w:val="bottom"/>
            <w:gridSpan w:val="9"/>
          </w:tcPr>
          <w:p>
            <w:pPr>
              <w:ind w:left="520"/>
              <w:spacing w:after="0"/>
              <w:rPr>
                <w:sz w:val="20"/>
                <w:szCs w:val="20"/>
                <w:color w:val="auto"/>
              </w:rPr>
            </w:pPr>
            <w:r>
              <w:rPr>
                <w:rFonts w:ascii="Arial" w:cs="Arial" w:eastAsia="Arial" w:hAnsi="Arial"/>
                <w:sz w:val="18"/>
                <w:szCs w:val="18"/>
                <w:color w:val="auto"/>
              </w:rPr>
              <w:t>The following table summarizes stock option activities for the period indicated:</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rPr>
              <w:t>Option Outstanding</w:t>
            </w: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Intrinsic</w:t>
            </w:r>
          </w:p>
        </w:tc>
        <w:tc>
          <w:tcPr>
            <w:tcW w:w="60" w:type="dxa"/>
            <w:vAlign w:val="bottom"/>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left="6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Value Of</w:t>
            </w:r>
          </w:p>
        </w:tc>
        <w:tc>
          <w:tcPr>
            <w:tcW w:w="60" w:type="dxa"/>
            <w:vAlign w:val="bottom"/>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5"/>
                <w:szCs w:val="15"/>
                <w:color w:val="auto"/>
              </w:rPr>
            </w:pPr>
          </w:p>
        </w:tc>
        <w:tc>
          <w:tcPr>
            <w:tcW w:w="78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5"/>
                <w:szCs w:val="15"/>
                <w:color w:val="auto"/>
              </w:rPr>
            </w:pPr>
          </w:p>
        </w:tc>
        <w:tc>
          <w:tcPr>
            <w:tcW w:w="860" w:type="dxa"/>
            <w:vAlign w:val="bottom"/>
          </w:tcPr>
          <w:p>
            <w:pPr>
              <w:jc w:val="center"/>
              <w:ind w:left="60"/>
              <w:spacing w:after="0"/>
              <w:rPr>
                <w:sz w:val="20"/>
                <w:szCs w:val="20"/>
                <w:color w:val="auto"/>
              </w:rPr>
            </w:pPr>
            <w:r>
              <w:rPr>
                <w:rFonts w:ascii="Arial" w:cs="Arial" w:eastAsia="Arial" w:hAnsi="Arial"/>
                <w:sz w:val="14"/>
                <w:szCs w:val="14"/>
                <w:b w:val="1"/>
                <w:bCs w:val="1"/>
                <w:color w:val="auto"/>
                <w:w w:val="94"/>
              </w:rPr>
              <w:t>Average</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60" w:type="dxa"/>
            <w:vAlign w:val="bottom"/>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5"/>
                <w:szCs w:val="15"/>
                <w:color w:val="auto"/>
              </w:rPr>
            </w:pPr>
          </w:p>
        </w:tc>
        <w:tc>
          <w:tcPr>
            <w:tcW w:w="780" w:type="dxa"/>
            <w:vAlign w:val="bottom"/>
          </w:tcPr>
          <w:p>
            <w:pPr>
              <w:jc w:val="center"/>
              <w:ind w:right="43"/>
              <w:spacing w:after="0"/>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5"/>
                <w:szCs w:val="15"/>
                <w:color w:val="auto"/>
              </w:rPr>
            </w:pPr>
          </w:p>
        </w:tc>
        <w:tc>
          <w:tcPr>
            <w:tcW w:w="860" w:type="dxa"/>
            <w:vAlign w:val="bottom"/>
          </w:tcPr>
          <w:p>
            <w:pPr>
              <w:jc w:val="center"/>
              <w:ind w:left="60"/>
              <w:spacing w:after="0"/>
              <w:rPr>
                <w:sz w:val="20"/>
                <w:szCs w:val="20"/>
                <w:color w:val="auto"/>
              </w:rPr>
            </w:pPr>
            <w:r>
              <w:rPr>
                <w:rFonts w:ascii="Arial" w:cs="Arial" w:eastAsia="Arial" w:hAnsi="Arial"/>
                <w:sz w:val="14"/>
                <w:szCs w:val="14"/>
                <w:b w:val="1"/>
                <w:bCs w:val="1"/>
                <w:color w:val="auto"/>
                <w:w w:val="95"/>
              </w:rPr>
              <w:t>Grant-date</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Exercised</w:t>
            </w:r>
          </w:p>
        </w:tc>
        <w:tc>
          <w:tcPr>
            <w:tcW w:w="60" w:type="dxa"/>
            <w:vAlign w:val="bottom"/>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5"/>
                <w:szCs w:val="15"/>
                <w:color w:val="auto"/>
              </w:rPr>
            </w:pPr>
          </w:p>
        </w:tc>
        <w:tc>
          <w:tcPr>
            <w:tcW w:w="780" w:type="dxa"/>
            <w:vAlign w:val="bottom"/>
          </w:tcPr>
          <w:p>
            <w:pPr>
              <w:jc w:val="center"/>
              <w:ind w:right="4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w:t>
            </w: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63"/>
              <w:spacing w:after="0"/>
              <w:rPr>
                <w:sz w:val="20"/>
                <w:szCs w:val="20"/>
                <w:color w:val="auto"/>
              </w:rPr>
            </w:pPr>
            <w:r>
              <w:rPr>
                <w:rFonts w:ascii="Arial" w:cs="Arial" w:eastAsia="Arial" w:hAnsi="Arial"/>
                <w:sz w:val="14"/>
                <w:szCs w:val="14"/>
                <w:b w:val="1"/>
                <w:bCs w:val="1"/>
                <w:color w:val="auto"/>
                <w:w w:val="93"/>
              </w:rPr>
              <w:t>(in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04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left="60"/>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thousands)</w:t>
            </w:r>
          </w:p>
        </w:tc>
        <w:tc>
          <w:tcPr>
            <w:tcW w:w="60" w:type="dxa"/>
            <w:vAlign w:val="bottom"/>
          </w:tcPr>
          <w:p>
            <w:pPr>
              <w:spacing w:after="0"/>
              <w:rPr>
                <w:sz w:val="16"/>
                <w:szCs w:val="16"/>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6"/>
                <w:szCs w:val="16"/>
                <w:color w:val="auto"/>
              </w:rPr>
            </w:pPr>
          </w:p>
        </w:tc>
        <w:tc>
          <w:tcPr>
            <w:tcW w:w="780" w:type="dxa"/>
            <w:vAlign w:val="bottom"/>
          </w:tcPr>
          <w:p>
            <w:pPr>
              <w:jc w:val="center"/>
              <w:ind w:right="43"/>
              <w:spacing w:after="0"/>
              <w:rPr>
                <w:sz w:val="20"/>
                <w:szCs w:val="20"/>
                <w:color w:val="auto"/>
              </w:rPr>
            </w:pPr>
            <w:r>
              <w:rPr>
                <w:rFonts w:ascii="Arial" w:cs="Arial" w:eastAsia="Arial" w:hAnsi="Arial"/>
                <w:sz w:val="14"/>
                <w:szCs w:val="14"/>
                <w:b w:val="1"/>
                <w:bCs w:val="1"/>
                <w:color w:val="auto"/>
                <w:w w:val="87"/>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Outstanding at January 31, 2023</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484,791</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42.18</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20" w:type="dxa"/>
            <w:vAlign w:val="bottom"/>
            <w:gridSpan w:val="2"/>
          </w:tcPr>
          <w:p>
            <w:pPr>
              <w:ind w:left="200"/>
              <w:spacing w:after="0"/>
              <w:rPr>
                <w:sz w:val="20"/>
                <w:szCs w:val="20"/>
                <w:color w:val="auto"/>
              </w:rPr>
            </w:pPr>
            <w:r>
              <w:rPr>
                <w:rFonts w:ascii="Arial" w:cs="Arial" w:eastAsia="Arial" w:hAnsi="Arial"/>
                <w:sz w:val="18"/>
                <w:szCs w:val="18"/>
                <w:color w:val="auto"/>
              </w:rPr>
              <w:t>Exercised</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(48,807 )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2,784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(707 )</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42.63</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ind w:left="200"/>
              <w:spacing w:after="0"/>
              <w:rPr>
                <w:sz w:val="20"/>
                <w:szCs w:val="20"/>
                <w:color w:val="auto"/>
              </w:rPr>
            </w:pPr>
            <w:r>
              <w:rPr>
                <w:rFonts w:ascii="Arial" w:cs="Arial" w:eastAsia="Arial" w:hAnsi="Arial"/>
                <w:sz w:val="18"/>
                <w:szCs w:val="18"/>
                <w:color w:val="auto"/>
              </w:rPr>
              <w:t>Expired</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(394 )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103.70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Outstanding at July 31, 2023</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434,883</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44.09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Exercisable at July 31, 2023</w:t>
            </w:r>
          </w:p>
        </w:tc>
        <w:tc>
          <w:tcPr>
            <w:tcW w:w="960" w:type="dxa"/>
            <w:vAlign w:val="bottom"/>
          </w:tcPr>
          <w:p>
            <w:pPr>
              <w:jc w:val="right"/>
              <w:spacing w:after="0"/>
              <w:rPr>
                <w:sz w:val="20"/>
                <w:szCs w:val="20"/>
                <w:color w:val="auto"/>
              </w:rPr>
            </w:pPr>
            <w:r>
              <w:rPr>
                <w:rFonts w:ascii="Arial" w:cs="Arial" w:eastAsia="Arial" w:hAnsi="Arial"/>
                <w:sz w:val="18"/>
                <w:szCs w:val="18"/>
                <w:color w:val="auto"/>
              </w:rPr>
              <w:t>358,508</w:t>
            </w:r>
          </w:p>
        </w:tc>
        <w:tc>
          <w:tcPr>
            <w:tcW w:w="160" w:type="dxa"/>
            <w:vAlign w:val="bottom"/>
          </w:tcPr>
          <w:p>
            <w:pPr>
              <w:spacing w:after="0"/>
              <w:rPr>
                <w:sz w:val="20"/>
                <w:szCs w:val="20"/>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13,670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-2820035</wp:posOffset>
            </wp:positionV>
            <wp:extent cx="5700395"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-2511425</wp:posOffset>
            </wp:positionV>
            <wp:extent cx="5700395"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94"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ordinary shares on July 31, 2023 was $83.42, as reported by The NASDAQ Global Market. The intrinsic value of exercised options is calculated based on the difference between the fair market value of the Company’s ordinary shares on the exercise date and the exercise price.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The following table summarizes restricted stock unit activities for the period indicated:</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5"/>
                <w:szCs w:val="15"/>
                <w:color w:val="auto"/>
              </w:rPr>
            </w:pPr>
          </w:p>
        </w:tc>
      </w:tr>
      <w:tr>
        <w:trPr>
          <w:trHeight w:val="175"/>
        </w:trPr>
        <w:tc>
          <w:tcPr>
            <w:tcW w:w="5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5"/>
                <w:szCs w:val="15"/>
                <w:color w:val="auto"/>
              </w:rPr>
            </w:pPr>
          </w:p>
        </w:tc>
      </w:tr>
      <w:tr>
        <w:trPr>
          <w:trHeight w:val="176"/>
        </w:trPr>
        <w:tc>
          <w:tcPr>
            <w:tcW w:w="5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6"/>
              </w:rPr>
              <w:t>Grant-Date</w:t>
            </w:r>
          </w:p>
        </w:tc>
        <w:tc>
          <w:tcPr>
            <w:tcW w:w="80" w:type="dxa"/>
            <w:vAlign w:val="bottom"/>
          </w:tcPr>
          <w:p>
            <w:pPr>
              <w:spacing w:after="0"/>
              <w:rPr>
                <w:sz w:val="15"/>
                <w:szCs w:val="15"/>
                <w:color w:val="auto"/>
              </w:rPr>
            </w:pPr>
          </w:p>
        </w:tc>
      </w:tr>
      <w:tr>
        <w:trPr>
          <w:trHeight w:val="185"/>
        </w:trPr>
        <w:tc>
          <w:tcPr>
            <w:tcW w:w="5360" w:type="dxa"/>
            <w:vAlign w:val="bottom"/>
          </w:tcPr>
          <w:p>
            <w:pPr>
              <w:spacing w:after="0"/>
              <w:rPr>
                <w:sz w:val="16"/>
                <w:szCs w:val="16"/>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6"/>
                <w:szCs w:val="16"/>
                <w:color w:val="auto"/>
              </w:rPr>
            </w:pPr>
          </w:p>
        </w:tc>
      </w:tr>
      <w:tr>
        <w:trPr>
          <w:trHeight w:val="23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Unvested at January 31, 2023</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2,573,359</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86.81</w:t>
            </w:r>
          </w:p>
        </w:tc>
        <w:tc>
          <w:tcPr>
            <w:tcW w:w="80" w:type="dxa"/>
            <w:vAlign w:val="bottom"/>
            <w:shd w:val="clear" w:color="auto" w:fill="CFF0FC"/>
          </w:tcPr>
          <w:p>
            <w:pPr>
              <w:spacing w:after="0"/>
              <w:rPr>
                <w:sz w:val="20"/>
                <w:szCs w:val="20"/>
                <w:color w:val="auto"/>
              </w:rPr>
            </w:pPr>
          </w:p>
        </w:tc>
      </w:tr>
      <w:tr>
        <w:trPr>
          <w:trHeight w:val="237"/>
        </w:trPr>
        <w:tc>
          <w:tcPr>
            <w:tcW w:w="53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436,857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88.36</w:t>
            </w:r>
          </w:p>
        </w:tc>
        <w:tc>
          <w:tcPr>
            <w:tcW w:w="80" w:type="dxa"/>
            <w:vAlign w:val="bottom"/>
          </w:tcPr>
          <w:p>
            <w:pPr>
              <w:spacing w:after="0"/>
              <w:rPr>
                <w:sz w:val="20"/>
                <w:szCs w:val="20"/>
                <w:color w:val="auto"/>
              </w:rPr>
            </w:pPr>
          </w:p>
        </w:tc>
      </w:tr>
      <w:tr>
        <w:trPr>
          <w:trHeight w:val="249"/>
        </w:trPr>
        <w:tc>
          <w:tcPr>
            <w:tcW w:w="53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(698,757 )</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77.60</w:t>
            </w:r>
          </w:p>
        </w:tc>
        <w:tc>
          <w:tcPr>
            <w:tcW w:w="80" w:type="dxa"/>
            <w:vAlign w:val="bottom"/>
            <w:shd w:val="clear" w:color="auto" w:fill="CFF0FC"/>
          </w:tcPr>
          <w:p>
            <w:pPr>
              <w:spacing w:after="0"/>
              <w:rPr>
                <w:sz w:val="21"/>
                <w:szCs w:val="2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(80,406 )</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71.15</w:t>
            </w:r>
          </w:p>
        </w:tc>
        <w:tc>
          <w:tcPr>
            <w:tcW w:w="80" w:type="dxa"/>
            <w:vAlign w:val="bottom"/>
          </w:tcPr>
          <w:p>
            <w:pPr>
              <w:spacing w:after="0"/>
              <w:rPr>
                <w:sz w:val="21"/>
                <w:szCs w:val="21"/>
                <w:color w:val="auto"/>
              </w:rPr>
            </w:pPr>
          </w:p>
        </w:tc>
      </w:tr>
      <w:tr>
        <w:trPr>
          <w:trHeight w:val="23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Unvested at July 31, 2023</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2,231,053</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90.57</w:t>
            </w:r>
          </w:p>
        </w:tc>
        <w:tc>
          <w:tcPr>
            <w:tcW w:w="80" w:type="dxa"/>
            <w:vAlign w:val="bottom"/>
            <w:shd w:val="clear" w:color="auto" w:fill="CFF0FC"/>
          </w:tcPr>
          <w:p>
            <w:pPr>
              <w:spacing w:after="0"/>
              <w:rPr>
                <w:sz w:val="20"/>
                <w:szCs w:val="20"/>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July 31, 2023, the aggregate intrinsic value of unvested restricted stock units was $186.1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Ordinary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basic and diluted loss per ordinary share for the periods indicated:</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jc w:val="right"/>
              <w:ind w:right="529"/>
              <w:spacing w:after="0"/>
              <w:rPr>
                <w:sz w:val="20"/>
                <w:szCs w:val="20"/>
                <w:color w:val="auto"/>
              </w:rPr>
            </w:pPr>
            <w:r>
              <w:rPr>
                <w:rFonts w:ascii="Arial" w:cs="Arial" w:eastAsia="Arial" w:hAnsi="Arial"/>
                <w:sz w:val="14"/>
                <w:szCs w:val="14"/>
                <w:b w:val="1"/>
                <w:bCs w:val="1"/>
                <w:color w:val="auto"/>
              </w:rPr>
              <w:t>Three Months Ended July 31,</w:t>
            </w:r>
          </w:p>
        </w:tc>
        <w:tc>
          <w:tcPr>
            <w:tcW w:w="200" w:type="dxa"/>
            <w:vAlign w:val="bottom"/>
          </w:tcPr>
          <w:p>
            <w:pPr>
              <w:spacing w:after="0"/>
              <w:rPr>
                <w:sz w:val="16"/>
                <w:szCs w:val="16"/>
                <w:color w:val="auto"/>
              </w:rPr>
            </w:pPr>
          </w:p>
        </w:tc>
        <w:tc>
          <w:tcPr>
            <w:tcW w:w="23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 July 31,</w:t>
            </w:r>
          </w:p>
        </w:tc>
      </w:tr>
      <w:tr>
        <w:trPr>
          <w:trHeight w:val="26"/>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4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169"/>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b w:val="1"/>
                <w:bCs w:val="1"/>
                <w:color w:val="auto"/>
                <w:w w:val="81"/>
              </w:rPr>
              <w:t>(in</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91"/>
              </w:rPr>
              <w:t>thousands, except</w:t>
            </w:r>
          </w:p>
        </w:tc>
        <w:tc>
          <w:tcPr>
            <w:tcW w:w="220" w:type="dxa"/>
            <w:vAlign w:val="bottom"/>
          </w:tcPr>
          <w:p>
            <w:pPr>
              <w:jc w:val="right"/>
              <w:spacing w:after="0"/>
              <w:rPr>
                <w:sz w:val="20"/>
                <w:szCs w:val="20"/>
                <w:color w:val="auto"/>
              </w:rPr>
            </w:pPr>
            <w:r>
              <w:rPr>
                <w:rFonts w:ascii="Arial" w:cs="Arial" w:eastAsia="Arial" w:hAnsi="Arial"/>
                <w:sz w:val="10"/>
                <w:szCs w:val="10"/>
                <w:b w:val="1"/>
                <w:bCs w:val="1"/>
                <w:color w:val="auto"/>
                <w:w w:val="74"/>
              </w:rPr>
              <w:t>share</w:t>
            </w:r>
          </w:p>
        </w:tc>
        <w:tc>
          <w:tcPr>
            <w:tcW w:w="13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9"/>
              </w:rPr>
              <w:t>and per share data)</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8"/>
              <w:spacing w:after="0"/>
              <w:rPr>
                <w:sz w:val="20"/>
                <w:szCs w:val="20"/>
                <w:color w:val="auto"/>
              </w:rPr>
            </w:pPr>
            <w:r>
              <w:rPr>
                <w:rFonts w:ascii="Arial" w:cs="Arial" w:eastAsia="Arial" w:hAnsi="Arial"/>
                <w:sz w:val="18"/>
                <w:szCs w:val="18"/>
                <w:color w:val="auto"/>
              </w:rPr>
              <w:t>(31,198 )</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9"/>
              <w:spacing w:after="0"/>
              <w:rPr>
                <w:sz w:val="20"/>
                <w:szCs w:val="20"/>
                <w:color w:val="auto"/>
              </w:rPr>
            </w:pPr>
            <w:r>
              <w:rPr>
                <w:rFonts w:ascii="Arial" w:cs="Arial" w:eastAsia="Arial" w:hAnsi="Arial"/>
                <w:sz w:val="18"/>
                <w:szCs w:val="18"/>
                <w:color w:val="auto"/>
              </w:rPr>
              <w:t>(23,650 )</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(67,100 )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(34,472 )</w:t>
            </w:r>
          </w:p>
        </w:tc>
      </w:tr>
      <w:tr>
        <w:trPr>
          <w:trHeight w:val="20"/>
        </w:trPr>
        <w:tc>
          <w:tcPr>
            <w:tcW w:w="4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Weighted-average ordinary shares - basic</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39,736,704</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38,258,341</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39,538,748</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37,986,839</w:t>
            </w:r>
          </w:p>
        </w:tc>
        <w:tc>
          <w:tcPr>
            <w:tcW w:w="100" w:type="dxa"/>
            <w:vAlign w:val="bottom"/>
          </w:tcPr>
          <w:p>
            <w:pPr>
              <w:spacing w:after="0"/>
              <w:rPr>
                <w:sz w:val="21"/>
                <w:szCs w:val="2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ordinary shares - diluted</w:t>
            </w:r>
          </w:p>
        </w:tc>
        <w:tc>
          <w:tcPr>
            <w:tcW w:w="2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39,736,704</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38,258,341</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39,538,748</w:t>
            </w:r>
          </w:p>
        </w:tc>
        <w:tc>
          <w:tcPr>
            <w:tcW w:w="2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37,986,839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4"/>
        </w:trPr>
        <w:tc>
          <w:tcPr>
            <w:tcW w:w="4820" w:type="dxa"/>
            <w:vAlign w:val="bottom"/>
          </w:tcPr>
          <w:p>
            <w:pPr>
              <w:spacing w:after="0"/>
              <w:rPr>
                <w:sz w:val="20"/>
                <w:szCs w:val="20"/>
                <w:color w:val="auto"/>
              </w:rPr>
            </w:pPr>
            <w:r>
              <w:rPr>
                <w:rFonts w:ascii="Arial" w:cs="Arial" w:eastAsia="Arial" w:hAnsi="Arial"/>
                <w:sz w:val="18"/>
                <w:szCs w:val="18"/>
                <w:color w:val="auto"/>
              </w:rPr>
              <w:t>Net loss per ordinary share:</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4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(0.79 )</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89"/>
              <w:spacing w:after="0"/>
              <w:rPr>
                <w:sz w:val="20"/>
                <w:szCs w:val="20"/>
                <w:color w:val="auto"/>
              </w:rPr>
            </w:pPr>
            <w:r>
              <w:rPr>
                <w:rFonts w:ascii="Arial" w:cs="Arial" w:eastAsia="Arial" w:hAnsi="Arial"/>
                <w:sz w:val="18"/>
                <w:szCs w:val="18"/>
                <w:color w:val="auto"/>
              </w:rPr>
              <w:t>(0.62 )</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(1.70 )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(0.91 )</w:t>
            </w: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48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8"/>
              <w:spacing w:after="0"/>
              <w:rPr>
                <w:sz w:val="20"/>
                <w:szCs w:val="20"/>
                <w:color w:val="auto"/>
              </w:rPr>
            </w:pPr>
            <w:r>
              <w:rPr>
                <w:rFonts w:ascii="Arial" w:cs="Arial" w:eastAsia="Arial" w:hAnsi="Arial"/>
                <w:sz w:val="18"/>
                <w:szCs w:val="18"/>
                <w:color w:val="auto"/>
              </w:rPr>
              <w:t>(0.79 )</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9"/>
              <w:spacing w:after="0"/>
              <w:rPr>
                <w:sz w:val="20"/>
                <w:szCs w:val="20"/>
                <w:color w:val="auto"/>
              </w:rPr>
            </w:pPr>
            <w:r>
              <w:rPr>
                <w:rFonts w:ascii="Arial" w:cs="Arial" w:eastAsia="Arial" w:hAnsi="Arial"/>
                <w:sz w:val="18"/>
                <w:szCs w:val="18"/>
                <w:color w:val="auto"/>
              </w:rPr>
              <w:t>(0.62 )</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(1.70 )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(0.91 )</w:t>
            </w:r>
          </w:p>
        </w:tc>
      </w:tr>
      <w:tr>
        <w:trPr>
          <w:trHeight w:val="20"/>
        </w:trPr>
        <w:tc>
          <w:tcPr>
            <w:tcW w:w="4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-556260</wp:posOffset>
            </wp:positionV>
            <wp:extent cx="2623185" cy="1968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23185" cy="19685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-205105</wp:posOffset>
            </wp:positionV>
            <wp:extent cx="2623185" cy="205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23185" cy="205740"/>
                    </a:xfrm>
                    <a:prstGeom prst="rect">
                      <a:avLst/>
                    </a:prstGeom>
                    <a:noFill/>
                  </pic:spPr>
                </pic:pic>
              </a:graphicData>
            </a:graphic>
          </wp:anchor>
        </w:drawing>
      </w:r>
    </w:p>
    <w:p>
      <w:pPr>
        <w:spacing w:after="0" w:line="182"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following weighted-average potentially dilutive securities were excluded from the computation of diluted net loss per ordinary share as their effect would have been antidilutive:</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Three Months Ended July 31,</w:t>
            </w:r>
          </w:p>
        </w:tc>
        <w:tc>
          <w:tcPr>
            <w:tcW w:w="200" w:type="dxa"/>
            <w:vAlign w:val="bottom"/>
          </w:tcPr>
          <w:p>
            <w:pPr>
              <w:spacing w:after="0"/>
              <w:rPr>
                <w:sz w:val="16"/>
                <w:szCs w:val="16"/>
                <w:color w:val="auto"/>
              </w:rPr>
            </w:pPr>
          </w:p>
        </w:tc>
        <w:tc>
          <w:tcPr>
            <w:tcW w:w="25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Six Months Ended July 31,</w:t>
            </w:r>
          </w:p>
        </w:tc>
        <w:tc>
          <w:tcPr>
            <w:tcW w:w="100" w:type="dxa"/>
            <w:vAlign w:val="bottom"/>
          </w:tcPr>
          <w:p>
            <w:pPr>
              <w:spacing w:after="0"/>
              <w:rPr>
                <w:sz w:val="16"/>
                <w:szCs w:val="16"/>
                <w:color w:val="auto"/>
              </w:rPr>
            </w:pPr>
          </w:p>
        </w:tc>
      </w:tr>
      <w:tr>
        <w:trPr>
          <w:trHeight w:val="183"/>
        </w:trPr>
        <w:tc>
          <w:tcPr>
            <w:tcW w:w="4760" w:type="dxa"/>
            <w:vAlign w:val="bottom"/>
          </w:tcPr>
          <w:p>
            <w:pPr>
              <w:spacing w:after="0"/>
              <w:rPr>
                <w:sz w:val="15"/>
                <w:szCs w:val="15"/>
                <w:color w:val="auto"/>
              </w:rPr>
            </w:pPr>
          </w:p>
        </w:tc>
        <w:tc>
          <w:tcPr>
            <w:tcW w:w="1160" w:type="dxa"/>
            <w:vAlign w:val="bottom"/>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138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2022</w:t>
            </w:r>
          </w:p>
        </w:tc>
        <w:tc>
          <w:tcPr>
            <w:tcW w:w="1340" w:type="dxa"/>
            <w:vAlign w:val="bottom"/>
            <w:gridSpan w:val="2"/>
          </w:tcPr>
          <w:p>
            <w:pPr>
              <w:ind w:left="620"/>
              <w:spacing w:after="0"/>
              <w:rPr>
                <w:sz w:val="20"/>
                <w:szCs w:val="20"/>
                <w:color w:val="auto"/>
              </w:rPr>
            </w:pPr>
            <w:r>
              <w:rPr>
                <w:rFonts w:ascii="Arial" w:cs="Arial" w:eastAsia="Arial" w:hAnsi="Arial"/>
                <w:sz w:val="14"/>
                <w:szCs w:val="14"/>
                <w:b w:val="1"/>
                <w:bCs w:val="1"/>
                <w:color w:val="auto"/>
              </w:rPr>
              <w:t>2023</w:t>
            </w:r>
          </w:p>
        </w:tc>
        <w:tc>
          <w:tcPr>
            <w:tcW w:w="13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37"/>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ordinary shares</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243,082</w:t>
            </w:r>
          </w:p>
        </w:tc>
        <w:tc>
          <w:tcPr>
            <w:tcW w:w="22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328,198</w:t>
            </w:r>
          </w:p>
        </w:tc>
        <w:tc>
          <w:tcPr>
            <w:tcW w:w="20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256,118</w:t>
            </w:r>
          </w:p>
        </w:tc>
        <w:tc>
          <w:tcPr>
            <w:tcW w:w="18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370,069</w:t>
            </w:r>
          </w:p>
        </w:tc>
        <w:tc>
          <w:tcPr>
            <w:tcW w:w="100" w:type="dxa"/>
            <w:vAlign w:val="bottom"/>
            <w:shd w:val="clear" w:color="auto" w:fill="CFF0FC"/>
          </w:tcPr>
          <w:p>
            <w:pPr>
              <w:spacing w:after="0"/>
              <w:rPr>
                <w:sz w:val="20"/>
                <w:szCs w:val="20"/>
                <w:color w:val="auto"/>
              </w:rPr>
            </w:pPr>
          </w:p>
        </w:tc>
      </w:tr>
      <w:tr>
        <w:trPr>
          <w:trHeight w:val="263"/>
        </w:trPr>
        <w:tc>
          <w:tcPr>
            <w:tcW w:w="47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60" w:type="dxa"/>
            <w:vAlign w:val="bottom"/>
          </w:tcPr>
          <w:p>
            <w:pPr>
              <w:jc w:val="right"/>
              <w:spacing w:after="0"/>
              <w:rPr>
                <w:sz w:val="20"/>
                <w:szCs w:val="20"/>
                <w:color w:val="auto"/>
              </w:rPr>
            </w:pPr>
            <w:r>
              <w:rPr>
                <w:rFonts w:ascii="Arial" w:cs="Arial" w:eastAsia="Arial" w:hAnsi="Arial"/>
                <w:sz w:val="18"/>
                <w:szCs w:val="18"/>
                <w:color w:val="auto"/>
              </w:rPr>
              <w:t>1,170,883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1,463,284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1,281,598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1,620,052</w:t>
            </w:r>
          </w:p>
        </w:tc>
        <w:tc>
          <w:tcPr>
            <w:tcW w:w="100" w:type="dxa"/>
            <w:vAlign w:val="bottom"/>
          </w:tcPr>
          <w:p>
            <w:pPr>
              <w:spacing w:after="0"/>
              <w:rPr>
                <w:sz w:val="22"/>
                <w:szCs w:val="22"/>
                <w:color w:val="auto"/>
              </w:rPr>
            </w:pPr>
          </w:p>
        </w:tc>
      </w:tr>
      <w:tr>
        <w:trPr>
          <w:trHeight w:val="250"/>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11,456</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8,787</w:t>
            </w: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47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1,414,457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1,802,938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1,546,503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2,001,354</w:t>
            </w:r>
          </w:p>
        </w:tc>
        <w:tc>
          <w:tcPr>
            <w:tcW w:w="100" w:type="dxa"/>
            <w:vAlign w:val="bottom"/>
          </w:tcPr>
          <w:p>
            <w:pPr>
              <w:spacing w:after="0"/>
              <w:rPr>
                <w:sz w:val="20"/>
                <w:szCs w:val="20"/>
                <w:color w:val="auto"/>
              </w:rPr>
            </w:pPr>
          </w:p>
        </w:tc>
      </w:tr>
      <w:tr>
        <w:trPr>
          <w:trHeight w:val="20"/>
        </w:trPr>
        <w:tc>
          <w:tcPr>
            <w:tcW w:w="47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-187960</wp:posOffset>
            </wp:positionV>
            <wp:extent cx="6858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-187960</wp:posOffset>
            </wp:positionV>
            <wp:extent cx="68580"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-187960</wp:posOffset>
            </wp:positionV>
            <wp:extent cx="60325"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income taxes for the periods indicated:</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w w:val="97"/>
              </w:rPr>
              <w:t>Three Months Ended July 31,</w:t>
            </w:r>
          </w:p>
        </w:tc>
        <w:tc>
          <w:tcPr>
            <w:tcW w:w="20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1"/>
              </w:rPr>
              <w:t>Six Months Ended July 31,</w:t>
            </w:r>
          </w:p>
        </w:tc>
      </w:tr>
      <w:tr>
        <w:trPr>
          <w:trHeight w:val="183"/>
        </w:trPr>
        <w:tc>
          <w:tcPr>
            <w:tcW w:w="524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169"/>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Arial" w:cs="Arial" w:eastAsia="Arial" w:hAnsi="Arial"/>
                <w:sz w:val="14"/>
                <w:szCs w:val="14"/>
                <w:b w:val="1"/>
                <w:bCs w:val="1"/>
                <w:color w:val="auto"/>
              </w:rPr>
              <w:t>(in</w:t>
            </w: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w w:val="71"/>
              </w:rPr>
              <w:t>thousands)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(34,602 )  $</w:t>
            </w:r>
          </w:p>
        </w:tc>
        <w:tc>
          <w:tcPr>
            <w:tcW w:w="13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(20,214 )  $</w:t>
            </w:r>
          </w:p>
        </w:tc>
        <w:tc>
          <w:tcPr>
            <w:tcW w:w="11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(68,858 )  $</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(30,626 )</w:t>
            </w:r>
          </w:p>
        </w:tc>
      </w:tr>
      <w:tr>
        <w:trPr>
          <w:trHeight w:val="263"/>
        </w:trPr>
        <w:tc>
          <w:tcPr>
            <w:tcW w:w="52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(3,404 )</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3,436</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(1,758 )</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3,846</w:t>
            </w:r>
          </w:p>
        </w:tc>
        <w:tc>
          <w:tcPr>
            <w:tcW w:w="100" w:type="dxa"/>
            <w:vAlign w:val="bottom"/>
          </w:tcPr>
          <w:p>
            <w:pPr>
              <w:spacing w:after="0"/>
              <w:rPr>
                <w:sz w:val="22"/>
                <w:szCs w:val="22"/>
                <w:color w:val="auto"/>
              </w:rPr>
            </w:pPr>
          </w:p>
        </w:tc>
      </w:tr>
      <w:tr>
        <w:trPr>
          <w:trHeight w:val="277"/>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160" w:type="dxa"/>
            <w:vAlign w:val="bottom"/>
            <w:shd w:val="clear" w:color="auto" w:fill="CFF0FC"/>
          </w:tcPr>
          <w:p>
            <w:pPr>
              <w:spacing w:after="0"/>
              <w:rPr>
                <w:sz w:val="24"/>
                <w:szCs w:val="2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24"/>
                <w:szCs w:val="24"/>
                <w:color w:val="auto"/>
              </w:rPr>
            </w:pPr>
          </w:p>
        </w:tc>
      </w:tr>
    </w:tbl>
    <w:p>
      <w:pPr>
        <w:spacing w:after="0" w:line="202"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The Company recorded a benefit for income taxes of $3.4 million and $1.8 million for the three and six months ended July 31, 2023, respectively. For the three and six months ended July 31, 2022, the Company recorded a provision for income taxes of $3.4 million and $3.8 million, respectively. The decreases in income tax expense for the three and six months ended July 31, 2023, as compared to the same periods in the prior fiscal year, were primarily due to the tax benefit from the release of $3.6 million of valuation allowance on the deferred tax assets of Oculii Corp, or Oculii, during the second quarter of fiscal year 2024, and recording a tax benefit of $3.1 million for Oculii’s losses in fiscal year 2024. The decrease in income tax expense for the six months ended July 31, 2023 was partially offset by an increase in the proportion of profits generated in higher tax jurisdictions.</w:t>
      </w:r>
    </w:p>
    <w:p>
      <w:pPr>
        <w:sectPr>
          <w:pgSz w:w="11900" w:h="16838" w:orient="portrait"/>
          <w:cols w:equalWidth="0" w:num="1">
            <w:col w:w="11160"/>
          </w:cols>
          <w:pgMar w:left="320" w:top="341" w:right="419" w:bottom="1440" w:gutter="0" w:footer="0" w:header="0"/>
        </w:sectPr>
      </w:pP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type w:val="continuous"/>
        </w:sectPr>
      </w:pPr>
    </w:p>
    <w:bookmarkStart w:id="16" w:name="page17"/>
    <w:bookmarkEnd w:id="16"/>
    <w:p>
      <w:pPr>
        <w:ind w:right="60" w:firstLine="509"/>
        <w:spacing w:after="0" w:line="296" w:lineRule="auto"/>
        <w:rPr>
          <w:sz w:val="20"/>
          <w:szCs w:val="20"/>
          <w:color w:val="auto"/>
        </w:rPr>
      </w:pPr>
      <w:r>
        <w:rPr>
          <w:rFonts w:ascii="Arial" w:cs="Arial" w:eastAsia="Arial" w:hAnsi="Arial"/>
          <w:sz w:val="16"/>
          <w:szCs w:val="16"/>
          <w:color w:val="auto"/>
        </w:rPr>
        <w:t>The Company periodically evaluates the realizability of its net deferred tax assets based on all available evidence, using a “more likely than not” standard. The realizability of the Company’s net deferred tax assets is dependent on its ability to generate sufficient future taxable income during periods prior to the expiration of tax attributes to fully utilize these assets. During the second quarter of fiscal year 2024, based on all available positive and negative evidence, the Company determined it was appropriate to release the valuation allowance on Oculii’s US federal deferred tax assets. The Company recognized a $3.6 million tax benefit during the three and six months ended July 31, 2023 as a result of the valuation allowance release.</w:t>
      </w:r>
    </w:p>
    <w:p>
      <w:pPr>
        <w:spacing w:after="0" w:line="161" w:lineRule="exact"/>
        <w:rPr>
          <w:sz w:val="20"/>
          <w:szCs w:val="20"/>
          <w:color w:val="auto"/>
        </w:rPr>
      </w:pPr>
    </w:p>
    <w:p>
      <w:pPr>
        <w:ind w:right="220" w:firstLine="509"/>
        <w:spacing w:after="0" w:line="275" w:lineRule="auto"/>
        <w:rPr>
          <w:sz w:val="20"/>
          <w:szCs w:val="20"/>
          <w:color w:val="auto"/>
        </w:rPr>
      </w:pPr>
      <w:r>
        <w:rPr>
          <w:rFonts w:ascii="Arial" w:cs="Arial" w:eastAsia="Arial" w:hAnsi="Arial"/>
          <w:sz w:val="17"/>
          <w:szCs w:val="17"/>
          <w:color w:val="auto"/>
        </w:rPr>
        <w:t>The Company files federal and state income tax returns in the United States and in various foreign jurisdictions. The Company’s fiscal years 2020 through 2023 are generally open and subject to potential examination by U.S. federal tax authorities. The Company’s fiscal years 2019 through 2023 are generally open and subject to potential examination by state tax authorities. The Company’s fiscal years 2016 to 2023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76"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The Company regularly assesses the likelihood of adverse outcomes resulting from potential tax examinations to determine the adequacy of its provision for income taxes. These assessments can require considerable estimates and judgments. As of July 31, 2023, the gross amount of unrecognized tax benefits was approximately $22.1 million.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 The Company does not anticipate significant changes to its uncertain tax positions during the next twelve months.</w:t>
      </w:r>
    </w:p>
    <w:p>
      <w:pPr>
        <w:spacing w:after="0" w:line="390" w:lineRule="exact"/>
        <w:rPr>
          <w:sz w:val="20"/>
          <w:szCs w:val="20"/>
          <w:color w:val="auto"/>
        </w:rPr>
      </w:pPr>
    </w:p>
    <w:p>
      <w:pPr>
        <w:ind w:left="520" w:right="7900" w:hanging="512"/>
        <w:spacing w:after="0" w:line="603" w:lineRule="auto"/>
        <w:tabs>
          <w:tab w:leader="none" w:pos="281"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Contract Manufacturer Commitments</w:t>
      </w:r>
    </w:p>
    <w:p>
      <w:pPr>
        <w:spacing w:after="0" w:line="1"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third-party manufacturers. These manufacturing purchase commitments typically provide the Company with flexibility to cancel, reschedule or adjust requirements based upon business needs but the Company may incur certain costs depending on the production stage of the products. As of July 31, 2023 and January 31, 2023, total manufacturing purchase commitments were approximately $24.6 million and $43.6 million, respectively. The Company also reviews and assesses the need for any expected loss liabilities on quarterly basis for all products that it does not expect to sell for which it has committed purchases from suppliers. As of July 31, 2023 and January 31, 2023, the liabilities for these purchase commitments were approximately $0.9 million and $2.9 million, respectively, and were included in accrued and other current liabilities in the condensed consolidated balance sheets.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and product liability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as of July 31, 2023, and no liabilities have been recorded for these obligations in the condensed consolidated balance sheets as of July 31, 2023 and January 31, 2023, respectively.</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firstLine="562"/>
        <w:spacing w:after="0" w:line="273" w:lineRule="auto"/>
        <w:rPr>
          <w:sz w:val="20"/>
          <w:szCs w:val="20"/>
          <w:color w:val="auto"/>
        </w:rPr>
      </w:pPr>
      <w:r>
        <w:rPr>
          <w:rFonts w:ascii="Arial" w:cs="Arial" w:eastAsia="Arial" w:hAnsi="Arial"/>
          <w:sz w:val="17"/>
          <w:szCs w:val="17"/>
          <w:color w:val="auto"/>
        </w:rPr>
        <w:t>From time to time, the Company is subject to commercial disputes, employment issues, intellectual property claims and litigation, in the ordinary course of its business. Although the ultimate disposition of asserted claims cannot be predicted with certainty, it is the Company’s belief that the outcome of any such claims, either individually or on a combined basis, will not have a material adverse effect on its consolidated financial position. The results of any litigation cannot be predicted with certainty, and regardless of the outcome, litigation can have an adverse impact on the Company because of defense and settlement costs, diversion of management resources, and other factors. As of July 31, 2023 and January 31, 2023, there were no accruals for contingent liabilities related to such matters recorded in the condensed consolidated balance sheets.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14. Segment Reporting</w:t>
      </w:r>
    </w:p>
    <w:p>
      <w:pPr>
        <w:spacing w:after="0" w:line="121" w:lineRule="exact"/>
        <w:rPr>
          <w:sz w:val="20"/>
          <w:szCs w:val="20"/>
          <w:color w:val="auto"/>
        </w:rPr>
      </w:pPr>
    </w:p>
    <w:p>
      <w:pPr>
        <w:ind w:right="240" w:firstLine="554"/>
        <w:spacing w:after="0" w:line="301" w:lineRule="auto"/>
        <w:rPr>
          <w:sz w:val="20"/>
          <w:szCs w:val="20"/>
          <w:color w:val="auto"/>
        </w:rPr>
      </w:pPr>
      <w:r>
        <w:rPr>
          <w:rFonts w:ascii="Arial" w:cs="Arial" w:eastAsia="Arial" w:hAnsi="Arial"/>
          <w:sz w:val="16"/>
          <w:szCs w:val="16"/>
          <w:color w:val="auto"/>
        </w:rPr>
        <w:t>The Company operates in one operating and reporting segment related to the development and sales of low-power, HD, Ultra HD video compression, image processing and computer vision solutions. The Chief Executive Officer of the Company has been identified as the Chief Operating Decision Maker (the CODM) and manages the Company’s operations as a whole. For the purpose of evaluating financial performance and allocating resources, the CODM reviews financial information presented on a consolidated basis accompanied by information by customer and geographic region.</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Geographic Revenue</w:t>
      </w:r>
    </w:p>
    <w:p>
      <w:pPr>
        <w:spacing w:after="0" w:line="117"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The following table sets forth the Company’s revenue by geographic region based on bill-to location for the periods indicated. Certain prior quarter amounts of revenue by geographic region have been adjusted to reflect the appropriate bill-to location for the related revenue. These adjustments did not impact the total revenues in any of the periods presented.</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4"/>
                <w:szCs w:val="14"/>
                <w:b w:val="1"/>
                <w:bCs w:val="1"/>
                <w:color w:val="auto"/>
                <w:w w:val="97"/>
              </w:rPr>
              <w:t>Three Months Ended July 31,</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w w:val="92"/>
              </w:rPr>
              <w:t>Six Months Ended July 31,</w:t>
            </w:r>
          </w:p>
        </w:tc>
        <w:tc>
          <w:tcPr>
            <w:tcW w:w="80" w:type="dxa"/>
            <w:vAlign w:val="bottom"/>
          </w:tcPr>
          <w:p>
            <w:pPr>
              <w:spacing w:after="0"/>
              <w:rPr>
                <w:sz w:val="16"/>
                <w:szCs w:val="16"/>
                <w:color w:val="auto"/>
              </w:rPr>
            </w:pPr>
          </w:p>
        </w:tc>
      </w:tr>
      <w:tr>
        <w:trPr>
          <w:trHeight w:val="183"/>
        </w:trPr>
        <w:tc>
          <w:tcPr>
            <w:tcW w:w="4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r>
      <w:tr>
        <w:trPr>
          <w:trHeight w:val="169"/>
        </w:trPr>
        <w:tc>
          <w:tcPr>
            <w:tcW w:w="4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33,482</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48,132</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64,116</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99,289</w:t>
            </w:r>
          </w:p>
        </w:tc>
        <w:tc>
          <w:tcPr>
            <w:tcW w:w="80" w:type="dxa"/>
            <w:vAlign w:val="bottom"/>
            <w:shd w:val="clear" w:color="auto" w:fill="CFF0FC"/>
          </w:tcPr>
          <w:p>
            <w:pPr>
              <w:spacing w:after="0"/>
              <w:rPr>
                <w:sz w:val="21"/>
                <w:szCs w:val="21"/>
                <w:color w:val="auto"/>
              </w:rPr>
            </w:pPr>
          </w:p>
        </w:tc>
      </w:tr>
      <w:tr>
        <w:trPr>
          <w:trHeight w:val="263"/>
        </w:trPr>
        <w:tc>
          <w:tcPr>
            <w:tcW w:w="4020" w:type="dxa"/>
            <w:vAlign w:val="bottom"/>
          </w:tcPr>
          <w:p>
            <w:pPr>
              <w:spacing w:after="0"/>
              <w:rPr>
                <w:sz w:val="20"/>
                <w:szCs w:val="20"/>
                <w:color w:val="auto"/>
              </w:rPr>
            </w:pPr>
            <w:r>
              <w:rPr>
                <w:rFonts w:ascii="Arial" w:cs="Arial" w:eastAsia="Arial" w:hAnsi="Arial"/>
                <w:sz w:val="18"/>
                <w:szCs w:val="18"/>
                <w:color w:val="auto"/>
              </w:rPr>
              <w:t>Asia Pacific</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15,473</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17,858</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31,078</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39,415</w:t>
            </w:r>
          </w:p>
        </w:tc>
        <w:tc>
          <w:tcPr>
            <w:tcW w:w="80" w:type="dxa"/>
            <w:vAlign w:val="bottom"/>
          </w:tcPr>
          <w:p>
            <w:pPr>
              <w:spacing w:after="0"/>
              <w:rPr>
                <w:sz w:val="22"/>
                <w:szCs w:val="22"/>
                <w:color w:val="auto"/>
              </w:rPr>
            </w:pPr>
          </w:p>
        </w:tc>
      </w:tr>
      <w:tr>
        <w:trPr>
          <w:trHeight w:val="25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4,536</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6,189</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13,162</w:t>
            </w:r>
          </w:p>
        </w:tc>
        <w:tc>
          <w:tcPr>
            <w:tcW w:w="80" w:type="dxa"/>
            <w:vAlign w:val="bottom"/>
            <w:shd w:val="clear" w:color="auto" w:fill="CFF0FC"/>
          </w:tcPr>
          <w:p>
            <w:pPr>
              <w:spacing w:after="0"/>
              <w:rPr>
                <w:sz w:val="21"/>
                <w:szCs w:val="21"/>
                <w:color w:val="auto"/>
              </w:rPr>
            </w:pPr>
          </w:p>
        </w:tc>
      </w:tr>
      <w:tr>
        <w:trPr>
          <w:trHeight w:val="263"/>
        </w:trPr>
        <w:tc>
          <w:tcPr>
            <w:tcW w:w="402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8,498</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5,991</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19,375</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13,060</w:t>
            </w:r>
          </w:p>
        </w:tc>
        <w:tc>
          <w:tcPr>
            <w:tcW w:w="80" w:type="dxa"/>
            <w:vAlign w:val="bottom"/>
          </w:tcPr>
          <w:p>
            <w:pPr>
              <w:spacing w:after="0"/>
              <w:rPr>
                <w:sz w:val="22"/>
                <w:szCs w:val="22"/>
                <w:color w:val="auto"/>
              </w:rPr>
            </w:pPr>
          </w:p>
        </w:tc>
      </w:tr>
      <w:tr>
        <w:trPr>
          <w:trHeight w:val="250"/>
        </w:trPr>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1,995</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4,367</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3,505</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402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62,121</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80,884</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124,263</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171,189</w:t>
            </w:r>
          </w:p>
        </w:tc>
        <w:tc>
          <w:tcPr>
            <w:tcW w:w="80" w:type="dxa"/>
            <w:vAlign w:val="bottom"/>
          </w:tcPr>
          <w:p>
            <w:pPr>
              <w:spacing w:after="0"/>
              <w:rPr>
                <w:sz w:val="20"/>
                <w:szCs w:val="20"/>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-187960</wp:posOffset>
            </wp:positionV>
            <wp:extent cx="60325"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-187960</wp:posOffset>
            </wp:positionV>
            <wp:extent cx="59690"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-187960</wp:posOffset>
            </wp:positionV>
            <wp:extent cx="51435"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398" w:lineRule="exact"/>
        <w:rPr>
          <w:sz w:val="20"/>
          <w:szCs w:val="20"/>
          <w:color w:val="auto"/>
        </w:rPr>
      </w:pPr>
    </w:p>
    <w:p>
      <w:pPr>
        <w:jc w:val="both"/>
        <w:ind w:right="40" w:firstLine="509"/>
        <w:spacing w:after="0" w:line="311" w:lineRule="auto"/>
        <w:rPr>
          <w:sz w:val="20"/>
          <w:szCs w:val="20"/>
          <w:color w:val="auto"/>
        </w:rPr>
      </w:pPr>
      <w:r>
        <w:rPr>
          <w:rFonts w:ascii="Arial" w:cs="Arial" w:eastAsia="Arial" w:hAnsi="Arial"/>
          <w:sz w:val="16"/>
          <w:szCs w:val="16"/>
          <w:color w:val="auto"/>
        </w:rPr>
        <w:t>Substantially all of the Company’s property and equipment were located in the Asia Pacific region, United States and Europe. As of July 31, 2023, the net amount of these fixed assets located in these regions was approximately $5.6 million, $4.3 million and $1.3 million, respectively. As of January 31, 2023, the net amount of these fixed assets located in these regions was approximately $6.3 million, $4.0 million and $1.5 million, respectively.</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Major Customers</w:t>
      </w:r>
    </w:p>
    <w:p>
      <w:pPr>
        <w:spacing w:after="0" w:line="117" w:lineRule="exact"/>
        <w:rPr>
          <w:sz w:val="20"/>
          <w:szCs w:val="20"/>
          <w:color w:val="auto"/>
        </w:rPr>
      </w:pPr>
    </w:p>
    <w:p>
      <w:pPr>
        <w:ind w:firstLine="554"/>
        <w:spacing w:after="0" w:line="272" w:lineRule="auto"/>
        <w:rPr>
          <w:sz w:val="20"/>
          <w:szCs w:val="20"/>
          <w:color w:val="auto"/>
        </w:rPr>
      </w:pPr>
      <w:r>
        <w:rPr>
          <w:rFonts w:ascii="Arial" w:cs="Arial" w:eastAsia="Arial" w:hAnsi="Arial"/>
          <w:sz w:val="17"/>
          <w:szCs w:val="17"/>
          <w:color w:val="auto"/>
        </w:rPr>
        <w:t>Customers representing 10% or more of revenue and accounts receivable were WT and Chicony. WT serves as the Company’s non-exclusive sales representative and fulfillment partner in Asia other than Japan, and Chicony is an ODM that manufactures devices incorporating the Company’s solutions on behalf of multiple end-customers. These two customers accounted for approximately 53.9% and 13.7% of total revenue for the three months ended July 31, 2023, respectively, and accounted for approximately 51.5% and 14.8% of total revenue for the six months ended July 31, 2023, respectively. These two customers accounted for approximately 59.4% and 12.9% of total revenue for the three months ended July 31, 2022, respectively, and accounted for approximately 57.9% and 12.1% of total revenue for the six months ended July 31, 2022, respectively. Accounts receivable with WT and Chicony were approximately $12.2 million and $8.8 million as of July 31, 2023, respectively.</w:t>
      </w: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the consolidated financial statements and notes thereto for the fiscal year ended January 31, 2023 and management’s discussion and analysis of our financial condition and results of operations included in our Annual Report on Form 10-K for the 2023 fiscal year filed with the Securities and Exchange Commission, or SEC, on March 31, 2023.</w:t>
      </w:r>
    </w:p>
    <w:p>
      <w:pPr>
        <w:spacing w:after="0" w:line="188"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i w:val="1"/>
          <w:iCs w:val="1"/>
          <w:color w:val="auto"/>
        </w:rPr>
        <w:t>This Quarterly Report on Form 10-Q, including this “Management’s Discussion and Analysis of Financial Condition and Results of Operations”, includes a number of forward-looking statements that involve many risks and uncertainties. Forward-looking statements are identified by the use of the words “would,” “could,” “will,” “may,” “expect,” “believe,” “should,” “anticipate,” “outlook,” “if,” “future,” “intend,” “plan,” “estimate,” “predict,” “potential,” “target,” “seek,” “project,” “forecast,” “continue” or “foreseeable” and similar words and phrases, including the negatives of these terms, or other variations of these terms, that denote future events. Such statements include, but are not limited to, statements concerning our market opportunity and our ability to compete in such markets, our product strategy, our ability to develop and introduce new solutions, our future financial and operating performance, our sales and marketing strategy, our investment strategy, research and development, our customer and supplier relationships and inventory levels, industry trends, our cash needs and capital requirements, our repurchase programs, our expectations about taxes, operating expenses, and cost recognition, the availability of third-party components and economic and political conditions.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Quarterly Report on Form 10-Q. These factors include, but are not limited to: risks associated with revenue being generated from new customers or design wins, neither of which is assured; our ability to retain and expand customer relationships and to achieve design wins; risks associated with the overall economy, including higher inflation and escalating trade tensions between the U.S. and China; the commercial success of our customers’ products; our growth strategy; fluctuations in our operating results; our ability to anticipate future market demands and future needs and preferences of our customers; our ability to introduce new and enhanced solutions; the expansion of our current markets and our ability to successfully enter new markets; anticipated trends and challenges, including competition, in the markets in which we operate or seek to operate; our expectations regarding computer vision; our ability to effectively generate and manage growth; our ability to retain key employees; the potential for intellectual property disputes or other litigation; the risks described under Item 1A of Part II — “Risk Factors,” and Item 2 of Part I — “Management’s Discussion and Analysis of Financial Condition and Results of Operations”; the risks described elsewhere in this Quarterly Report on Form 10-Q and those discussed in other documents we file with the SEC. We make these forward-looking statements based upon information available on the date of this Quarterly Report on Form 10-Q, and we have no obligation (and expressly disclaim any such obligation) to update or alter any forward-looking statements, whether as a result of new information or otherwise except as otherwise required by securities regulations.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We are a leading developer of low-power system-on-a-chip, or SoC, semiconductors providing powerful artificial intelligence, or AI, processing, advanced image signal processing and high-resolution video compression. Since inception, we have primarily served human viewing applications with video and image processors for enterprise, public infrastructure and home applications, such as internet protocol, or IP, security cameras, sports cameras, wearables, aerial drones, and aftermarket automotive video recorders. Our recent development efforts have focused on creating advanced AI technology that enables edge devices to visually perceive the environment and make decisions based on the data collected from cameras and, most recently, other types of sensors. This category of AI technology is known as computer vision, or CV, and our CV SoCs integrate our state-of-the-art video processor technology together with our deep learning neural network processing technology, which we refer to as CVflow™. The CVflow-architecture supports a variety of CV algorithms, including object detection, classification and tracking, semantic and instance segmentation, image processing, stereo object detection, terrain mapping, and face recognition. CVflow can process other sensor modalities including lidar and radar, and allows customers to differentiate their products by porting their own, or third party, neural networks and/or classical CV algorithms to our CVflow-based SoCs. Our SoC designs fully integrate AI, computer vision functionality, high-definition, or HD, video processing, image processing, audio processing, and system functions onto a single chip, delivering exceptional video and image quality at high compression rates, differentiated functionality and low power consumption. These CV-based technologies are allowing us to address a broader range of markets and applications requiring AI video features, including IP security cameras, a variety of automotive cameras, consumer cameras, and industrial and robotic applications. We anticipate that our CV technology will also enable us to capture more content per electronic system and increase our average selling price.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right="40" w:firstLine="509"/>
        <w:spacing w:after="0" w:line="272" w:lineRule="auto"/>
        <w:rPr>
          <w:sz w:val="20"/>
          <w:szCs w:val="20"/>
          <w:color w:val="auto"/>
        </w:rPr>
      </w:pPr>
      <w:r>
        <w:rPr>
          <w:rFonts w:ascii="Arial" w:cs="Arial" w:eastAsia="Arial" w:hAnsi="Arial"/>
          <w:sz w:val="17"/>
          <w:szCs w:val="17"/>
          <w:color w:val="auto"/>
        </w:rPr>
        <w:t>Our development efforts are focused on SoCs that provide human viewing, computer vision and radar detection functionalities. As a result, we believe that our future revenue growth, if any, will significantly depend upon our ability to expand within camera markets with our AI and computer vision technology, particularly in the Internet of Things, or IoT, markets, as well as emerging markets such as AI-enabled security cameras, AI-based driving applications, including driver monitoring systems, advanced blind spot detection, object detection, and deep learning algorithms for HD mapping solutions, automotive advanced driver assistance systems, or ADAS, applications, and industrial and robotics markets. We expect our research and development expenditures to increase in comparison to prior periods as we devote additional resources to the development of innovative video and image processing solutions with increased functionality, such as AI and CV capabilities, and as we target new markets.</w:t>
      </w:r>
    </w:p>
    <w:p>
      <w:pPr>
        <w:spacing w:after="0" w:line="177"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We sell our SoC solutions to leading original design manufacturers, or ODMs, and original equipment manufacturers, or OEMs, globally, and in the automotive market, we also sell to Tier-1 suppliers. We refer to ODMs and Tier-1 automotive suppliers as our customers and OEMs as our end customers, except as otherwise indicated or as the context otherwise requires.</w:t>
      </w:r>
    </w:p>
    <w:p>
      <w:pPr>
        <w:spacing w:after="0" w:line="184"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p>
    <w:p>
      <w:pPr>
        <w:spacing w:after="0" w:line="192"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Volume production may begin within 9 to 18 months after a design win, but could be longer in certain markets, depending on the complexity of our customer’s product and other factors upon which we may have little or no influence. In general, design cycles will be longer in the OEM automotive and industrial and robotics markets than in the IoT markets.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An IoT product typically has a life cycle of 6 to 24 months. We anticipate that product lifecycles will typically be longer than 24 months in the OEM automotive and industrial and robotics markets, as new product introductions occur less frequently in these markets.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117" w:lineRule="exact"/>
        <w:rPr>
          <w:sz w:val="20"/>
          <w:szCs w:val="20"/>
          <w:color w:val="auto"/>
        </w:rPr>
      </w:pPr>
    </w:p>
    <w:p>
      <w:pPr>
        <w:ind w:left="1540" w:hanging="514"/>
        <w:spacing w:after="0" w:line="255"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revenue of $62.1 million and $124.3 million for the three and six months ended July 31, 2023, respectively. This represented decreases of 23.2% and 27.4%, respectively, as compared to the same periods in the prior fiscal year. The decreases in revenue were primarily attributable to lower product unit shipments as a result of customer inventory level reduction efforts, as well as lower nonrecurring engineering (NRE) project services due to the timing of completion of project milestones. The decreased revenues from lower product shipments were partially offset by continued adoption of our CV-based solutions, which have higher average selling prices than non-CV solutions.</w:t>
      </w:r>
    </w:p>
    <w:p>
      <w:pPr>
        <w:spacing w:after="0" w:line="84" w:lineRule="exact"/>
        <w:rPr>
          <w:rFonts w:ascii="Arial" w:cs="Arial" w:eastAsia="Arial" w:hAnsi="Arial"/>
          <w:sz w:val="18"/>
          <w:szCs w:val="18"/>
          <w:color w:val="auto"/>
        </w:rPr>
      </w:pPr>
    </w:p>
    <w:p>
      <w:pPr>
        <w:ind w:left="1540" w:right="200" w:hanging="514"/>
        <w:spacing w:after="0" w:line="273" w:lineRule="auto"/>
        <w:tabs>
          <w:tab w:leader="none" w:pos="1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recorded operating losses of $35.3 million and $70.9 million for the three and six months ended July 31, 2023, respectively, as compared to operating losses of $20.2 million and $30.7 million for the three and six months ended July 31, 2022, respectively. The increased operating losses were primarily due to decreased revenue and gross profit, as well as increased operating expenses. The increased operating expenses primarily related to higher personnel costs, higher chip tape-out costs due to the timing of projects and the number of chips in development, and increased engineering-related expenses for supporting our CV-based vision and radar solutions in the IoT, automotive, industrial and robotics markets.</w:t>
      </w:r>
    </w:p>
    <w:p>
      <w:pPr>
        <w:spacing w:after="0" w:line="69" w:lineRule="exact"/>
        <w:rPr>
          <w:rFonts w:ascii="Arial" w:cs="Arial" w:eastAsia="Arial" w:hAnsi="Arial"/>
          <w:sz w:val="17"/>
          <w:szCs w:val="17"/>
          <w:color w:val="auto"/>
        </w:rPr>
      </w:pPr>
    </w:p>
    <w:p>
      <w:pPr>
        <w:ind w:left="1540" w:right="20" w:hanging="514"/>
        <w:spacing w:after="0" w:line="259"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$15.2 million for the six months ended July 31, 2023, as compared to $33.0 million for the six months ended July 31, 2022. The lower cash flows from operating activities were primarily attributable to increased net loss adjusted for certain non-cash items, partially offset by higher collections of accounts receivable associated with the timing of sales and decreased inventory purchases due to lower demand from customers.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ind w:right="60" w:firstLine="509"/>
        <w:spacing w:after="0" w:line="287" w:lineRule="auto"/>
        <w:rPr>
          <w:sz w:val="20"/>
          <w:szCs w:val="20"/>
          <w:color w:val="auto"/>
        </w:rPr>
      </w:pPr>
      <w:r>
        <w:rPr>
          <w:rFonts w:ascii="Arial" w:cs="Arial" w:eastAsia="Arial" w:hAnsi="Arial"/>
          <w:sz w:val="16"/>
          <w:szCs w:val="16"/>
          <w:i w:val="1"/>
          <w:iCs w:val="1"/>
          <w:color w:val="auto"/>
        </w:rPr>
        <w:t xml:space="preserve">Impact of Global Economic Conditions on Our Business. </w:t>
      </w:r>
      <w:r>
        <w:rPr>
          <w:rFonts w:ascii="Arial" w:cs="Arial" w:eastAsia="Arial" w:hAnsi="Arial"/>
          <w:sz w:val="16"/>
          <w:szCs w:val="16"/>
          <w:color w:val="auto"/>
        </w:rPr>
        <w:t>Uncertainty in customer demand as well as the worldwide economy, in general, have</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continued as a result of macroeconomic factors such as the COVID-19 pandemic, high inflation and global banking uncertainty. As a result, we may experience increased volatility in our sales and revenues in the near future, primarily owing to uncertainty around demand for semiconductor products in general. Some customers have indicated they are reducing their inventory levels, as some component lead times contract toward normal levels, which has reduced and may continue to reduce demand for our products. Uncertain market demand may be exacerbating these customers’ inventory reduction efforts. The magnitude and duration of such volatility is uncertain and thus its impact on our business cannot be reasonably estimated at this time. Global supply shortages that arose as a result of the COVID-19 pandemic and measures taken to slow the spread of the virus continue to subside, but could occur again in the future. Supply chain issues can impact our business as they relate to both our suppliers and our customers. With respect to our suppliers, we have in the past experienced supply constraints for certain chips from Samsung Electronics Corporation and we may in the future experience similar issues. With respect to our customers, to the extent customers face supply chain issues with other components needed to pair with our products in order to produce their end products, such customers may delay future orders of our products or hold inventory of our products for longer periods of time.</w:t>
      </w:r>
    </w:p>
    <w:p>
      <w:pPr>
        <w:spacing w:after="0" w:line="172"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i w:val="1"/>
          <w:iCs w:val="1"/>
          <w:color w:val="auto"/>
        </w:rPr>
        <w:t>Ability to Capitalize on AI and Computer Vision Trends</w:t>
      </w:r>
      <w:r>
        <w:rPr>
          <w:rFonts w:ascii="Arial" w:cs="Arial" w:eastAsia="Arial" w:hAnsi="Arial"/>
          <w:sz w:val="18"/>
          <w:szCs w:val="18"/>
          <w:color w:val="auto"/>
        </w:rPr>
        <w:t>. We expect that AI and computer vision functionality will become an increasingly important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in many of our current and future markets, including IoT, automotive, industrial and robotics markets. As a result, we believe that our ability to develop advanced AI computer vision technology, enable and support customer product development in emerging applications, such as ADAS, advanced blind spot detection, object detection, classification and tracking, people recognition, retail analytics, and machine learning, and gain customer acceptance of our technology platform and solutions will be critical to our future success. Moreover, achieving design wins, particularly for computer vision-centric applications in the IoT, automotive, industrial and robotics markets, is vital to our ability to generate revenue growth. As such, we closely monitor design wins by our customers. However, a design win may not successfully materialize into revenue, and even if it does result in revenue, the amount generated by each design win can vary significantly.</w:t>
      </w:r>
    </w:p>
    <w:p>
      <w:pPr>
        <w:spacing w:after="0" w:line="192"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i w:val="1"/>
          <w:iCs w:val="1"/>
          <w:color w:val="auto"/>
        </w:rPr>
        <w:t>Ability to Develop and Introduce New or Enhanced Solutions</w:t>
      </w:r>
      <w:r>
        <w:rPr>
          <w:rFonts w:ascii="Arial" w:cs="Arial" w:eastAsia="Arial" w:hAnsi="Arial"/>
          <w:sz w:val="18"/>
          <w:szCs w:val="18"/>
          <w:color w:val="auto"/>
        </w:rPr>
        <w:t>. We operate in a dynamic environment characterized by rapidly changing technologies</w:t>
      </w:r>
      <w:r>
        <w:rPr>
          <w:rFonts w:ascii="Arial" w:cs="Arial" w:eastAsia="Arial" w:hAnsi="Arial"/>
          <w:sz w:val="18"/>
          <w:szCs w:val="18"/>
          <w:i w:val="1"/>
          <w:iCs w:val="1"/>
          <w:color w:val="auto"/>
        </w:rPr>
        <w:t xml:space="preserve"> </w:t>
      </w:r>
      <w:r>
        <w:rPr>
          <w:rFonts w:ascii="Arial" w:cs="Arial" w:eastAsia="Arial" w:hAnsi="Arial"/>
          <w:sz w:val="18"/>
          <w:szCs w:val="18"/>
          <w:color w:val="auto"/>
        </w:rPr>
        <w:t>and technological obsolescence. To compete successfully, we must design, develop, market and sell enhanced solutions with increased levels of performance and functionality that meet the expectations of our customers. As such, we continuously invest in our research and development projects, especially AI and computer vision technologies. However, failure to anticipate or timely develop new or enhanced solutions in response to technology shifts and trends could result in decreased revenue and our competitors achieving design wins we sought. Moreover, any reliability or quality problems with our solutions could harm our reputation, increase additional development and replacement costs, and prevent us from retaining existing customers and attracting new customers.</w:t>
      </w:r>
    </w:p>
    <w:p>
      <w:pPr>
        <w:spacing w:after="0" w:line="195"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i w:val="1"/>
          <w:iCs w:val="1"/>
          <w:color w:val="auto"/>
        </w:rPr>
        <w:t>Pricing, Product Cost and Margin</w:t>
      </w:r>
      <w:r>
        <w:rPr>
          <w:rFonts w:ascii="Arial" w:cs="Arial" w:eastAsia="Arial" w:hAnsi="Arial"/>
          <w:sz w:val="17"/>
          <w:szCs w:val="17"/>
          <w:color w:val="auto"/>
        </w:rPr>
        <w:t>. Our pricing and margins depend on the volumes and features of the solutions we provide to our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p>
    <w:p>
      <w:pPr>
        <w:spacing w:after="0" w:line="178"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170"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i w:val="1"/>
          <w:iCs w:val="1"/>
          <w:color w:val="auto"/>
        </w:rPr>
        <w:t>Continued Concentration of Revenue by End Market</w:t>
      </w:r>
      <w:r>
        <w:rPr>
          <w:rFonts w:ascii="Arial" w:cs="Arial" w:eastAsia="Arial" w:hAnsi="Arial"/>
          <w:sz w:val="16"/>
          <w:szCs w:val="16"/>
          <w:color w:val="auto"/>
        </w:rPr>
        <w:t>. Historically, our revenue has been significantly concentrated in a small number of end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and we developed technologies to provide solutions for new markets as they emerged. Since fiscal year 2018, the IoT markets and automotive markets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AI and computer vision functionalities for AI-enabled security cameras, AI-based driving applications and industrial and robotics markets. While we will continue to seek to expand our end market exposure, we anticipate that sales to a limited number of markets will continue to account for a significant percentage of our total revenue for the foreseeable future. Our limited market concentration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ind w:right="120" w:firstLine="509"/>
        <w:spacing w:after="0" w:line="290" w:lineRule="auto"/>
        <w:rPr>
          <w:sz w:val="20"/>
          <w:szCs w:val="20"/>
          <w:color w:val="auto"/>
        </w:rPr>
      </w:pPr>
      <w:r>
        <w:rPr>
          <w:rFonts w:ascii="Arial" w:cs="Arial" w:eastAsia="Arial" w:hAnsi="Arial"/>
          <w:sz w:val="16"/>
          <w:szCs w:val="16"/>
          <w:i w:val="1"/>
          <w:iCs w:val="1"/>
          <w:color w:val="auto"/>
        </w:rPr>
        <w:t>Ability to Capitalize on Connectivity Trends</w:t>
      </w:r>
      <w:r>
        <w:rPr>
          <w:rFonts w:ascii="Arial" w:cs="Arial" w:eastAsia="Arial" w:hAnsi="Arial"/>
          <w:sz w:val="16"/>
          <w:szCs w:val="16"/>
          <w:color w:val="auto"/>
        </w:rPr>
        <w:t>. Mobile connected devices are ubiquitous today and play an increasingly prominent role in consumers’</w:t>
      </w:r>
      <w:r>
        <w:rPr>
          <w:rFonts w:ascii="Arial" w:cs="Arial" w:eastAsia="Arial" w:hAnsi="Arial"/>
          <w:sz w:val="16"/>
          <w:szCs w:val="16"/>
          <w:i w:val="1"/>
          <w:iCs w:val="1"/>
          <w:color w:val="auto"/>
        </w:rPr>
        <w:t xml:space="preserve"> </w:t>
      </w:r>
      <w:r>
        <w:rPr>
          <w:rFonts w:ascii="Arial" w:cs="Arial" w:eastAsia="Arial" w:hAnsi="Arial"/>
          <w:sz w:val="16"/>
          <w:szCs w:val="16"/>
          <w:color w:val="auto"/>
        </w:rPr>
        <w:t>lives. The constant connectivity provided by these devices has created a demand for connected electronic peripherals such as video and image capture devices. Our ability to capitalize on these trends by supporting our end customers in the development of connected peripherals that seamlessly cooperate with other connected devices and allow consumers to distribute and share video and images with online media platforms is critical for our success. We incorporate wireless communication functionality into our solutions for wearable, IP security, aerial drone and automotive video recorder cameras. The combination of our compression technology with wireless connectivity enables wireless video streaming and uploading of videos and images to the Internet. Our solutions enable IP security camera systems to stream video content to either cloud infrastructure or connected mobile devices, and our solutions for wearable and aerial drone cameras allow consumers to quickly stream or upload video and images to social media platforms.</w:t>
      </w:r>
    </w:p>
    <w:p>
      <w:pPr>
        <w:spacing w:after="0" w:line="165"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i w:val="1"/>
          <w:iCs w:val="1"/>
          <w:color w:val="auto"/>
        </w:rPr>
        <w:t>Sales Volume</w:t>
      </w:r>
      <w:r>
        <w:rPr>
          <w:rFonts w:ascii="Arial" w:cs="Arial" w:eastAsia="Arial" w:hAnsi="Arial"/>
          <w:sz w:val="17"/>
          <w:szCs w:val="17"/>
          <w:color w:val="auto"/>
        </w:rPr>
        <w:t>. A typical design win that successfully launches into the marketplace can generate a wide range of sales volumes for our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177"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i w:val="1"/>
          <w:iCs w:val="1"/>
          <w:color w:val="auto"/>
        </w:rPr>
        <w:t xml:space="preserve">Customer Product Life Cycle. </w:t>
      </w:r>
      <w:r>
        <w:rPr>
          <w:rFonts w:ascii="Arial" w:cs="Arial" w:eastAsia="Arial" w:hAnsi="Arial"/>
          <w:sz w:val="17"/>
          <w:szCs w:val="17"/>
          <w:color w:val="auto"/>
        </w:rPr>
        <w:t>We estimate our customers’ product life cycles based on the customer, type of product and end market. We typically</w:t>
      </w:r>
      <w:r>
        <w:rPr>
          <w:rFonts w:ascii="Arial" w:cs="Arial" w:eastAsia="Arial" w:hAnsi="Arial"/>
          <w:sz w:val="17"/>
          <w:szCs w:val="17"/>
          <w:i w:val="1"/>
          <w:iCs w:val="1"/>
          <w:color w:val="auto"/>
        </w:rPr>
        <w:t xml:space="preserve"> </w:t>
      </w:r>
      <w:r>
        <w:rPr>
          <w:rFonts w:ascii="Arial" w:cs="Arial" w:eastAsia="Arial" w:hAnsi="Arial"/>
          <w:sz w:val="17"/>
          <w:szCs w:val="17"/>
          <w:color w:val="auto"/>
        </w:rPr>
        <w:t>commence commercial shipments from 9 to 18 months following a design win; however, in some markets, lengthier product and development cycles are possible, depending on the scope and nature of the project, such as in the automotive market. An IoT product typically has a product life cycle of 6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statement of operations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7"/>
              </w:rPr>
              <w:t>Three Months Ended July</w:t>
            </w:r>
          </w:p>
        </w:tc>
        <w:tc>
          <w:tcPr>
            <w:tcW w:w="348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31,</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8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98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62,121</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80,884</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124,263</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171,189</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Cost of revenue</w:t>
            </w:r>
          </w:p>
        </w:tc>
        <w:tc>
          <w:tcPr>
            <w:tcW w:w="8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23,659</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29,820</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48,282</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63,578</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2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Gross profit</w:t>
            </w:r>
          </w:p>
        </w:tc>
        <w:tc>
          <w:tcPr>
            <w:tcW w:w="8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38,462</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51,064</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75,981</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107,611</w:t>
            </w:r>
          </w:p>
        </w:tc>
        <w:tc>
          <w:tcPr>
            <w:tcW w:w="8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700" w:type="dxa"/>
            <w:vAlign w:val="bottom"/>
          </w:tcPr>
          <w:p>
            <w:pPr>
              <w:spacing w:after="0"/>
              <w:rPr>
                <w:sz w:val="3"/>
                <w:szCs w:val="3"/>
                <w:color w:val="auto"/>
              </w:rPr>
            </w:pPr>
          </w:p>
        </w:tc>
        <w:tc>
          <w:tcPr>
            <w:tcW w:w="3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1700" w:type="dxa"/>
            <w:vAlign w:val="bottom"/>
          </w:tcPr>
          <w:p>
            <w:pPr>
              <w:spacing w:after="0"/>
              <w:rPr>
                <w:sz w:val="21"/>
                <w:szCs w:val="21"/>
                <w:color w:val="auto"/>
              </w:rPr>
            </w:pPr>
          </w:p>
        </w:tc>
        <w:tc>
          <w:tcPr>
            <w:tcW w:w="32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54,917</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52,338</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109,358</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99,028</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18,884</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18,914</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37,504</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39,269</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2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73,801</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71,252</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146,862</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138,297</w:t>
            </w:r>
          </w:p>
        </w:tc>
        <w:tc>
          <w:tcPr>
            <w:tcW w:w="8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(35,339 )</w:t>
            </w:r>
          </w:p>
        </w:tc>
        <w:tc>
          <w:tcPr>
            <w:tcW w:w="16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(20,188 )</w:t>
            </w:r>
          </w:p>
        </w:tc>
        <w:tc>
          <w:tcPr>
            <w:tcW w:w="14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(70,881 )</w:t>
            </w:r>
          </w:p>
        </w:tc>
        <w:tc>
          <w:tcPr>
            <w:tcW w:w="140" w:type="dxa"/>
            <w:vAlign w:val="bottom"/>
          </w:tcPr>
          <w:p>
            <w:pPr>
              <w:spacing w:after="0"/>
              <w:rPr>
                <w:sz w:val="22"/>
                <w:szCs w:val="22"/>
                <w:color w:val="auto"/>
              </w:rPr>
            </w:pPr>
          </w:p>
        </w:tc>
        <w:tc>
          <w:tcPr>
            <w:tcW w:w="2400" w:type="dxa"/>
            <w:vAlign w:val="bottom"/>
            <w:gridSpan w:val="3"/>
          </w:tcPr>
          <w:p>
            <w:pPr>
              <w:jc w:val="right"/>
              <w:ind w:right="1680"/>
              <w:spacing w:after="0"/>
              <w:rPr>
                <w:sz w:val="20"/>
                <w:szCs w:val="20"/>
                <w:color w:val="auto"/>
              </w:rPr>
            </w:pPr>
            <w:r>
              <w:rPr>
                <w:rFonts w:ascii="Arial" w:cs="Arial" w:eastAsia="Arial" w:hAnsi="Arial"/>
                <w:sz w:val="18"/>
                <w:szCs w:val="18"/>
                <w:color w:val="auto"/>
                <w:w w:val="97"/>
              </w:rPr>
              <w:t>(30,686 )</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(26 )</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6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00" w:type="dxa"/>
            <w:vAlign w:val="bottom"/>
          </w:tcPr>
          <w:p>
            <w:pPr>
              <w:spacing w:after="0"/>
              <w:rPr>
                <w:sz w:val="22"/>
                <w:szCs w:val="22"/>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Loss before income taxes</w:t>
            </w: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(34,602 )</w:t>
            </w:r>
          </w:p>
        </w:tc>
        <w:tc>
          <w:tcPr>
            <w:tcW w:w="16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(20,214 )</w:t>
            </w:r>
          </w:p>
        </w:tc>
        <w:tc>
          <w:tcPr>
            <w:tcW w:w="14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(68,858 )</w:t>
            </w:r>
          </w:p>
        </w:tc>
        <w:tc>
          <w:tcPr>
            <w:tcW w:w="140" w:type="dxa"/>
            <w:vAlign w:val="bottom"/>
          </w:tcPr>
          <w:p>
            <w:pPr>
              <w:spacing w:after="0"/>
              <w:rPr>
                <w:sz w:val="22"/>
                <w:szCs w:val="22"/>
                <w:color w:val="auto"/>
              </w:rPr>
            </w:pPr>
          </w:p>
        </w:tc>
        <w:tc>
          <w:tcPr>
            <w:tcW w:w="2400" w:type="dxa"/>
            <w:vAlign w:val="bottom"/>
            <w:gridSpan w:val="3"/>
          </w:tcPr>
          <w:p>
            <w:pPr>
              <w:jc w:val="right"/>
              <w:ind w:right="1680"/>
              <w:spacing w:after="0"/>
              <w:rPr>
                <w:sz w:val="20"/>
                <w:szCs w:val="20"/>
                <w:color w:val="auto"/>
              </w:rPr>
            </w:pPr>
            <w:r>
              <w:rPr>
                <w:rFonts w:ascii="Arial" w:cs="Arial" w:eastAsia="Arial" w:hAnsi="Arial"/>
                <w:sz w:val="18"/>
                <w:szCs w:val="18"/>
                <w:color w:val="auto"/>
                <w:w w:val="97"/>
              </w:rPr>
              <w:t>(30,626 )</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(3,404 )</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3,436</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(1,758 )</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6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00" w:type="dxa"/>
            <w:vAlign w:val="bottom"/>
          </w:tcPr>
          <w:p>
            <w:pPr>
              <w:spacing w:after="0"/>
              <w:rPr>
                <w:sz w:val="20"/>
                <w:szCs w:val="20"/>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8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(31,198 )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(23,650 )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(67,100 )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7"/>
              </w:rPr>
              <w:t>(34,472 )</w:t>
            </w:r>
          </w:p>
        </w:tc>
        <w:tc>
          <w:tcPr>
            <w:tcW w:w="1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7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-2013585</wp:posOffset>
            </wp:positionV>
            <wp:extent cx="51435" cy="1797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-2013585</wp:posOffset>
            </wp:positionV>
            <wp:extent cx="51435" cy="179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-2013585</wp:posOffset>
            </wp:positionV>
            <wp:extent cx="43180" cy="179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180" cy="17970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-1353820</wp:posOffset>
            </wp:positionV>
            <wp:extent cx="51435" cy="179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-1353820</wp:posOffset>
            </wp:positionV>
            <wp:extent cx="51435"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-1353820</wp:posOffset>
            </wp:positionV>
            <wp:extent cx="43180" cy="1797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1797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-1353820</wp:posOffset>
            </wp:positionV>
            <wp:extent cx="43180" cy="179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180" cy="17970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-1019175</wp:posOffset>
            </wp:positionV>
            <wp:extent cx="51435" cy="1797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-1019175</wp:posOffset>
            </wp:positionV>
            <wp:extent cx="51435" cy="1797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-1019175</wp:posOffset>
            </wp:positionV>
            <wp:extent cx="43180" cy="1797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3180" cy="1797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-1019175</wp:posOffset>
            </wp:positionV>
            <wp:extent cx="43180" cy="179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17970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-685165</wp:posOffset>
            </wp:positionV>
            <wp:extent cx="51435"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-685165</wp:posOffset>
            </wp:positionV>
            <wp:extent cx="51435"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-685165</wp:posOffset>
            </wp:positionV>
            <wp:extent cx="43180"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-685165</wp:posOffset>
            </wp:positionV>
            <wp:extent cx="4318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The following table sets forth operating results as a percentage of revenue of each line item for the periods indicated:</w:t>
      </w:r>
    </w:p>
    <w:p>
      <w:pPr>
        <w:spacing w:after="0" w:line="311"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196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3"/>
              </w:rPr>
              <w:t>Three Months Ended July 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2"/>
              </w:rPr>
              <w:t>Six Months Ended July 31,</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3"/>
        </w:trPr>
        <w:tc>
          <w:tcPr>
            <w:tcW w:w="378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Revenue</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69"/>
        </w:trPr>
        <w:tc>
          <w:tcPr>
            <w:tcW w:w="3780" w:type="dxa"/>
            <w:vAlign w:val="bottom"/>
          </w:tcPr>
          <w:p>
            <w:pPr>
              <w:spacing w:after="0"/>
              <w:rPr>
                <w:sz w:val="20"/>
                <w:szCs w:val="20"/>
                <w:color w:val="auto"/>
              </w:rPr>
            </w:pPr>
            <w:r>
              <w:rPr>
                <w:rFonts w:ascii="Arial" w:cs="Arial" w:eastAsia="Arial" w:hAnsi="Arial"/>
                <w:sz w:val="18"/>
                <w:szCs w:val="18"/>
                <w:color w:val="auto"/>
              </w:rPr>
              <w:t>Cost of revenue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37"/>
        </w:trPr>
        <w:tc>
          <w:tcPr>
            <w:tcW w:w="3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63"/>
        </w:trPr>
        <w:tc>
          <w:tcPr>
            <w:tcW w:w="3780" w:type="dxa"/>
            <w:vAlign w:val="bottom"/>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0"/>
        </w:trPr>
        <w:tc>
          <w:tcPr>
            <w:tcW w:w="3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57"/>
        </w:trPr>
        <w:tc>
          <w:tcPr>
            <w:tcW w:w="37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6"/>
        </w:trPr>
        <w:tc>
          <w:tcPr>
            <w:tcW w:w="37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57"/>
        </w:trPr>
        <w:tc>
          <w:tcPr>
            <w:tcW w:w="378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0"/>
        </w:trPr>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57"/>
        </w:trPr>
        <w:tc>
          <w:tcPr>
            <w:tcW w:w="3780" w:type="dxa"/>
            <w:vAlign w:val="bottom"/>
          </w:tcPr>
          <w:p>
            <w:pPr>
              <w:ind w:left="360"/>
              <w:spacing w:after="0"/>
              <w:rPr>
                <w:sz w:val="20"/>
                <w:szCs w:val="20"/>
                <w:color w:val="auto"/>
              </w:rPr>
            </w:pPr>
            <w:r>
              <w:rPr>
                <w:rFonts w:ascii="Arial" w:cs="Arial" w:eastAsia="Arial" w:hAnsi="Arial"/>
                <w:sz w:val="18"/>
                <w:szCs w:val="18"/>
                <w:color w:val="auto"/>
              </w:rPr>
              <w:t>Loss before income taxes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37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180" w:type="dxa"/>
            <w:vAlign w:val="bottom"/>
            <w:gridSpan w:val="4"/>
          </w:tcPr>
          <w:p>
            <w:pPr>
              <w:jc w:val="right"/>
              <w:ind w:right="100"/>
              <w:spacing w:after="0" w:line="236" w:lineRule="exact"/>
              <w:rPr>
                <w:sz w:val="20"/>
                <w:szCs w:val="20"/>
                <w:color w:val="auto"/>
              </w:rPr>
            </w:pPr>
            <w:r>
              <w:rPr>
                <w:rFonts w:ascii="Arial" w:cs="Arial" w:eastAsia="Arial" w:hAnsi="Arial"/>
                <w:sz w:val="15"/>
                <w:szCs w:val="15"/>
                <w:color w:val="auto"/>
              </w:rPr>
              <w:t xml:space="preserve">(50 ) </w:t>
            </w:r>
            <w:r>
              <w:rPr>
                <w:rFonts w:ascii="Arial" w:cs="Arial" w:eastAsia="Arial" w:hAnsi="Arial"/>
                <w:sz w:val="27"/>
                <w:szCs w:val="27"/>
                <w:color w:val="auto"/>
                <w:vertAlign w:val="subscript"/>
              </w:rPr>
              <w:t>%</w:t>
            </w:r>
          </w:p>
        </w:tc>
        <w:tc>
          <w:tcPr>
            <w:tcW w:w="960" w:type="dxa"/>
            <w:vAlign w:val="bottom"/>
            <w:gridSpan w:val="4"/>
          </w:tcPr>
          <w:p>
            <w:pPr>
              <w:jc w:val="right"/>
              <w:ind w:right="20"/>
              <w:spacing w:after="0" w:line="236" w:lineRule="exact"/>
              <w:rPr>
                <w:sz w:val="20"/>
                <w:szCs w:val="20"/>
                <w:color w:val="auto"/>
              </w:rPr>
            </w:pPr>
            <w:r>
              <w:rPr>
                <w:rFonts w:ascii="Arial" w:cs="Arial" w:eastAsia="Arial" w:hAnsi="Arial"/>
                <w:sz w:val="15"/>
                <w:szCs w:val="15"/>
                <w:color w:val="auto"/>
              </w:rPr>
              <w:t xml:space="preserve">(29 ) </w:t>
            </w:r>
            <w:r>
              <w:rPr>
                <w:rFonts w:ascii="Arial" w:cs="Arial" w:eastAsia="Arial" w:hAnsi="Arial"/>
                <w:sz w:val="27"/>
                <w:szCs w:val="27"/>
                <w:color w:val="auto"/>
                <w:vertAlign w:val="subscript"/>
              </w:rPr>
              <w:t>%</w:t>
            </w:r>
          </w:p>
        </w:tc>
        <w:tc>
          <w:tcPr>
            <w:tcW w:w="1080" w:type="dxa"/>
            <w:vAlign w:val="bottom"/>
            <w:gridSpan w:val="4"/>
          </w:tcPr>
          <w:p>
            <w:pPr>
              <w:jc w:val="right"/>
              <w:ind w:right="100"/>
              <w:spacing w:after="0" w:line="236" w:lineRule="exact"/>
              <w:rPr>
                <w:sz w:val="20"/>
                <w:szCs w:val="20"/>
                <w:color w:val="auto"/>
              </w:rPr>
            </w:pPr>
            <w:r>
              <w:rPr>
                <w:rFonts w:ascii="Arial" w:cs="Arial" w:eastAsia="Arial" w:hAnsi="Arial"/>
                <w:sz w:val="15"/>
                <w:szCs w:val="15"/>
                <w:color w:val="auto"/>
              </w:rPr>
              <w:t>(54 )</w:t>
            </w:r>
            <w:r>
              <w:rPr>
                <w:rFonts w:ascii="Arial" w:cs="Arial" w:eastAsia="Arial" w:hAnsi="Arial"/>
                <w:sz w:val="27"/>
                <w:szCs w:val="27"/>
                <w:color w:val="auto"/>
                <w:vertAlign w:val="subscript"/>
              </w:rPr>
              <w:t>%</w:t>
            </w:r>
          </w:p>
        </w:tc>
        <w:tc>
          <w:tcPr>
            <w:tcW w:w="900" w:type="dxa"/>
            <w:vAlign w:val="bottom"/>
            <w:gridSpan w:val="4"/>
          </w:tcPr>
          <w:p>
            <w:pPr>
              <w:jc w:val="right"/>
              <w:spacing w:after="0" w:line="236" w:lineRule="exact"/>
              <w:rPr>
                <w:sz w:val="20"/>
                <w:szCs w:val="20"/>
                <w:color w:val="auto"/>
              </w:rPr>
            </w:pPr>
            <w:r>
              <w:rPr>
                <w:rFonts w:ascii="Arial" w:cs="Arial" w:eastAsia="Arial" w:hAnsi="Arial"/>
                <w:sz w:val="15"/>
                <w:szCs w:val="15"/>
                <w:color w:val="auto"/>
              </w:rPr>
              <w:t>(20 )</w:t>
            </w:r>
            <w:r>
              <w:rPr>
                <w:rFonts w:ascii="Arial" w:cs="Arial" w:eastAsia="Arial" w:hAnsi="Arial"/>
                <w:sz w:val="27"/>
                <w:szCs w:val="27"/>
                <w:color w:val="auto"/>
                <w:vertAlign w:val="subscript"/>
              </w:rPr>
              <w:t>%</w:t>
            </w:r>
          </w:p>
        </w:tc>
      </w:tr>
      <w:tr>
        <w:trPr>
          <w:trHeight w:val="20"/>
        </w:trPr>
        <w:tc>
          <w:tcPr>
            <w:tcW w:w="37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-1988185</wp:posOffset>
            </wp:positionV>
            <wp:extent cx="4989195"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-856615</wp:posOffset>
            </wp:positionV>
            <wp:extent cx="51435"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-856615</wp:posOffset>
            </wp:positionV>
            <wp:extent cx="51435" cy="1797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-856615</wp:posOffset>
            </wp:positionV>
            <wp:extent cx="43180" cy="1797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1797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-856615</wp:posOffset>
            </wp:positionV>
            <wp:extent cx="43180" cy="1797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17970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-521970</wp:posOffset>
            </wp:positionV>
            <wp:extent cx="51435" cy="1797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-521970</wp:posOffset>
            </wp:positionV>
            <wp:extent cx="51435" cy="1797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-521970</wp:posOffset>
            </wp:positionV>
            <wp:extent cx="43180" cy="1797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180" cy="1797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-521970</wp:posOffset>
            </wp:positionV>
            <wp:extent cx="43180" cy="1797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180" cy="17970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-187960</wp:posOffset>
            </wp:positionV>
            <wp:extent cx="51435"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-187960</wp:posOffset>
            </wp:positionV>
            <wp:extent cx="51435"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43180"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-187960</wp:posOffset>
            </wp:positionV>
            <wp:extent cx="43180"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We derive substantially all of our revenue from the sale of HD and Ultra HD video and image processing SoC solutions to IoT OEMs, IoT ODMs, automotive OEMs or Tier-1 automotive suppliers, either directly or through our distributors. In recent years, our SoC solutions have been primarily used in IoT camera markets, such as IP security, automotive video recorder, drone and wearable cameras. Although we expect these human viewing camera markets to continue to generate revenue for the foreseeable future, we have recently introduced new SoCs targeting emerging AI and computer vision applications in the IoT, automotive, industrial and robotics markets. We derive a substantial portion of our revenue from sales made indirectly through one of our distributors, WT Microelectronics Co., Ltd., formerly Wintech Microelectronics Co., Ltd., or WT, which serves as our non-exclusive sales representative and fulfillment partner in Asia other than Japan, and to one ODM, Chicony Electronics Co., Ltd., or Chicony, which manufactures devices incorporating our solutions on behalf of multiple end-customers.</w:t>
      </w:r>
    </w:p>
    <w:p>
      <w:pPr>
        <w:spacing w:after="0" w:line="17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Our average selling prices fluctuate based on the mix of our solutions sold in a period which reflects the impact of both changes in unit sales of existing solutions as well as the introduction and sales of new solutions. Our CV-based solutions generally have higher selling prices than our traditional video and image processing SoC solutions that do not enable CV functionality. Our solutions are typically characterized by a life cycle that begins with higher average selling prices and lower volumes, followed by broader market adoption, higher volumes and average selling prices that are lower than initial levels.</w:t>
      </w:r>
    </w:p>
    <w:p>
      <w:pPr>
        <w:spacing w:after="0" w:line="188"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The end markets into which we sell our products have seen significant changes as consumer preferences have evolved in response to new technologies. As a result, the composition and timing of our revenue may differ meaningfully during periods of technology or consumer preference changes. We expect shifts in consumer use of video capture to continue to change over time, as AI and computer vision specialized use cases emerge and video capture continues to proliferate.</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17"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Cost of revenue includes the cost of materials, such as wafers processed by third-party foundries, costs associated with packaging, assembly, testing and manufacturing support operations, such as logistics, planning and quality assurance, as well as personnel costs (including stock-based compensation) related to project service agreements. Cost of revenue also includes indirect costs, such as inventory valuation reserves, adverse purchase commitment reserves, facility cost allocations, amortization of developed technology and software licenses, warranty and other general overhead costs.</w:t>
      </w:r>
    </w:p>
    <w:p>
      <w:pPr>
        <w:spacing w:after="0" w:line="15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We expect that our gross margin may fluctuate from period to period as a result of changes in customer mix,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Research and development expense consists primarily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costs of fabrication of mask sets for prototype products, the cost and depreciation of equipment, outside services as well as allocated depreciation and facility expenses. All research and development costs are expensed as incurred. We expect our research and development expense to increase in absolute dollars as we continue to enhance and expand our product features and offerings and increase headcount for new SoC development and development of computer vision technology.</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Selling, general and administrative expense consists primarily of personnel costs, including salaries, stock-based compensation and employee benefits for our sales, marketing, finance, human resources, information technology and administrative personnel. The expense also includes amortization of trade name and customer relationships, professional service costs related to accounting, tax,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computer vision technology.</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580" w:firstLine="509"/>
        <w:spacing w:after="0" w:line="308" w:lineRule="auto"/>
        <w:rPr>
          <w:sz w:val="20"/>
          <w:szCs w:val="20"/>
          <w:color w:val="auto"/>
        </w:rPr>
      </w:pPr>
      <w:r>
        <w:rPr>
          <w:rFonts w:ascii="Arial" w:cs="Arial" w:eastAsia="Arial" w:hAnsi="Arial"/>
          <w:sz w:val="17"/>
          <w:szCs w:val="17"/>
          <w:color w:val="auto"/>
        </w:rPr>
        <w:t>Other income (expense), net, consists primarily of interest income and yields from our cash deposits and debt security investments, subsidies granted by foreign governments, as well as gains and losses from foreign currency transactions and remeasurements.</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17" w:lineRule="exact"/>
        <w:rPr>
          <w:sz w:val="20"/>
          <w:szCs w:val="20"/>
          <w:color w:val="auto"/>
        </w:rPr>
      </w:pPr>
    </w:p>
    <w:p>
      <w:pPr>
        <w:ind w:right="80" w:firstLine="478"/>
        <w:spacing w:after="0" w:line="290" w:lineRule="auto"/>
        <w:rPr>
          <w:sz w:val="20"/>
          <w:szCs w:val="20"/>
          <w:color w:val="auto"/>
        </w:rPr>
      </w:pPr>
      <w:r>
        <w:rPr>
          <w:rFonts w:ascii="Arial" w:cs="Arial" w:eastAsia="Arial" w:hAnsi="Arial"/>
          <w:sz w:val="16"/>
          <w:szCs w:val="16"/>
          <w:color w:val="auto"/>
        </w:rPr>
        <w:t>We are incorporated and domiciled in the Cayman Islands and also conduct business in several locations such as the United States, China, Taiwan, Hong Kong, Italy, South Korea, Germany,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were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spacing w:after="0" w:line="57"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provision for income taxes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uncertain tax position reserves and changes to reserves that are considered appropriate, as well as the related net interest and penalties.</w:t>
      </w:r>
    </w:p>
    <w:p>
      <w:pPr>
        <w:spacing w:after="0" w:line="70" w:lineRule="exact"/>
        <w:rPr>
          <w:sz w:val="20"/>
          <w:szCs w:val="20"/>
          <w:color w:val="auto"/>
        </w:rPr>
      </w:pPr>
    </w:p>
    <w:p>
      <w:pPr>
        <w:ind w:right="160" w:firstLine="478"/>
        <w:spacing w:after="0" w:line="279" w:lineRule="auto"/>
        <w:rPr>
          <w:sz w:val="20"/>
          <w:szCs w:val="20"/>
          <w:color w:val="auto"/>
        </w:rPr>
      </w:pPr>
      <w:r>
        <w:rPr>
          <w:rFonts w:ascii="Arial" w:cs="Arial" w:eastAsia="Arial" w:hAnsi="Arial"/>
          <w:sz w:val="17"/>
          <w:szCs w:val="17"/>
          <w:color w:val="auto"/>
        </w:rPr>
        <w:t>Significant judgment is also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July 31,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 July</w:t>
            </w:r>
          </w:p>
        </w:tc>
        <w:tc>
          <w:tcPr>
            <w:tcW w:w="220" w:type="dxa"/>
            <w:vAlign w:val="bottom"/>
          </w:tcPr>
          <w:p>
            <w:pPr>
              <w:spacing w:after="0"/>
              <w:rPr>
                <w:sz w:val="14"/>
                <w:szCs w:val="14"/>
                <w:color w:val="auto"/>
              </w:rPr>
            </w:pPr>
          </w:p>
        </w:tc>
        <w:tc>
          <w:tcPr>
            <w:tcW w:w="1260" w:type="dxa"/>
            <w:vAlign w:val="bottom"/>
            <w:gridSpan w:val="3"/>
            <w:vMerge w:val="restart"/>
          </w:tcPr>
          <w:p>
            <w:pPr>
              <w:jc w:val="center"/>
              <w:ind w:left="668"/>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5"/>
              </w:rPr>
              <w:t>Six Months Ended July 31,</w:t>
            </w:r>
          </w:p>
        </w:tc>
        <w:tc>
          <w:tcPr>
            <w:tcW w:w="180" w:type="dxa"/>
            <w:vAlign w:val="bottom"/>
          </w:tcPr>
          <w:p>
            <w:pPr>
              <w:spacing w:after="0"/>
              <w:rPr>
                <w:sz w:val="14"/>
                <w:szCs w:val="14"/>
                <w:color w:val="auto"/>
              </w:rPr>
            </w:pPr>
          </w:p>
        </w:tc>
        <w:tc>
          <w:tcPr>
            <w:tcW w:w="124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5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748"/>
              <w:spacing w:after="0"/>
              <w:rPr>
                <w:sz w:val="20"/>
                <w:szCs w:val="20"/>
                <w:color w:val="auto"/>
              </w:rPr>
            </w:pPr>
            <w:r>
              <w:rPr>
                <w:rFonts w:ascii="Arial" w:cs="Arial" w:eastAsia="Arial" w:hAnsi="Arial"/>
                <w:sz w:val="14"/>
                <w:szCs w:val="14"/>
                <w:b w:val="1"/>
                <w:bCs w:val="1"/>
                <w:color w:val="auto"/>
                <w:w w:val="92"/>
              </w:rPr>
              <w:t>31,</w:t>
            </w:r>
          </w:p>
        </w:tc>
        <w:tc>
          <w:tcPr>
            <w:tcW w:w="220" w:type="dxa"/>
            <w:vAlign w:val="bottom"/>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Borders>
              <w:bottom w:val="single" w:sz="8" w:color="auto"/>
            </w:tcBorders>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80" w:type="dxa"/>
            <w:vAlign w:val="bottom"/>
          </w:tcPr>
          <w:p>
            <w:pPr>
              <w:spacing w:after="0"/>
              <w:rPr>
                <w:sz w:val="15"/>
                <w:szCs w:val="15"/>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w:t>
            </w:r>
          </w:p>
        </w:tc>
        <w:tc>
          <w:tcPr>
            <w:tcW w:w="98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w w:val="82"/>
              </w:rPr>
              <w:t>thousands)</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580"/>
              <w:spacing w:after="0"/>
              <w:rPr>
                <w:sz w:val="20"/>
                <w:szCs w:val="20"/>
                <w:color w:val="auto"/>
              </w:rPr>
            </w:pPr>
            <w:r>
              <w:rPr>
                <w:rFonts w:ascii="Arial" w:cs="Arial" w:eastAsia="Arial" w:hAnsi="Arial"/>
                <w:sz w:val="18"/>
                <w:szCs w:val="18"/>
                <w:color w:val="auto"/>
              </w:rPr>
              <w:t>Revenue</w:t>
            </w:r>
          </w:p>
        </w:tc>
        <w:tc>
          <w:tcPr>
            <w:tcW w:w="800" w:type="dxa"/>
            <w:vAlign w:val="bottom"/>
          </w:tcPr>
          <w:p>
            <w:pPr>
              <w:jc w:val="right"/>
              <w:spacing w:after="0"/>
              <w:rPr>
                <w:sz w:val="20"/>
                <w:szCs w:val="20"/>
                <w:color w:val="auto"/>
              </w:rPr>
            </w:pPr>
            <w:r>
              <w:rPr>
                <w:rFonts w:ascii="Arial" w:cs="Arial" w:eastAsia="Arial" w:hAnsi="Arial"/>
                <w:sz w:val="18"/>
                <w:szCs w:val="18"/>
                <w:color w:val="auto"/>
              </w:rPr>
              <w:t>$  62,121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80,884</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 (18,763 )</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w w:val="90"/>
              </w:rPr>
              <w:t>(23.2 )%$ 124,263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$ 171,189</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 (46,926 )</w:t>
            </w:r>
          </w:p>
        </w:tc>
        <w:tc>
          <w:tcPr>
            <w:tcW w:w="40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(27.4 )%</w:t>
            </w:r>
          </w:p>
        </w:tc>
        <w:tc>
          <w:tcPr>
            <w:tcW w:w="0" w:type="dxa"/>
            <w:vAlign w:val="bottom"/>
          </w:tcPr>
          <w:p>
            <w:pPr>
              <w:spacing w:after="0"/>
              <w:rPr>
                <w:sz w:val="1"/>
                <w:szCs w:val="1"/>
                <w:color w:val="auto"/>
              </w:rPr>
            </w:pPr>
          </w:p>
        </w:tc>
      </w:tr>
      <w:tr>
        <w:trPr>
          <w:trHeight w:val="661"/>
        </w:trPr>
        <w:tc>
          <w:tcPr>
            <w:tcW w:w="2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gridSpan w:val="4"/>
          </w:tcPr>
          <w:p>
            <w:pPr>
              <w:jc w:val="right"/>
              <w:ind w:right="16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-650875</wp:posOffset>
            </wp:positionV>
            <wp:extent cx="641223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ind w:firstLine="509"/>
        <w:spacing w:after="0" w:line="259" w:lineRule="auto"/>
        <w:rPr>
          <w:sz w:val="20"/>
          <w:szCs w:val="20"/>
          <w:color w:val="auto"/>
        </w:rPr>
      </w:pPr>
      <w:r>
        <w:rPr>
          <w:rFonts w:ascii="Arial" w:cs="Arial" w:eastAsia="Arial" w:hAnsi="Arial"/>
          <w:sz w:val="18"/>
          <w:szCs w:val="18"/>
          <w:color w:val="auto"/>
        </w:rPr>
        <w:t>Revenue decreased for the three and six months ended July 31, 2023, as compared to the same periods in the prior fiscal year, primarily due to lower product unit shipments as a result of customer inventory level reduction efforts, as well as lower NRE project services due to the timing of completion of project milestones. The decreased revenues from lower product shipments were partially offset by continued adoption of our CV-based solutions, which have higher average selling prices than non-CV solutions.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20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Three Months Ended July</w:t>
            </w:r>
          </w:p>
        </w:tc>
        <w:tc>
          <w:tcPr>
            <w:tcW w:w="122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w w:val="93"/>
              </w:rPr>
              <w:t>Change</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7"/>
            <w:vMerge w:val="restart"/>
          </w:tcPr>
          <w:p>
            <w:pPr>
              <w:jc w:val="right"/>
              <w:ind w:right="240"/>
              <w:spacing w:after="0"/>
              <w:rPr>
                <w:sz w:val="20"/>
                <w:szCs w:val="20"/>
                <w:color w:val="auto"/>
              </w:rPr>
            </w:pPr>
            <w:r>
              <w:rPr>
                <w:rFonts w:ascii="Arial" w:cs="Arial" w:eastAsia="Arial" w:hAnsi="Arial"/>
                <w:sz w:val="14"/>
                <w:szCs w:val="14"/>
                <w:b w:val="1"/>
                <w:bCs w:val="1"/>
                <w:color w:val="auto"/>
                <w:w w:val="95"/>
              </w:rPr>
              <w:t>Six Months Ended July 31,</w:t>
            </w:r>
          </w:p>
        </w:tc>
        <w:tc>
          <w:tcPr>
            <w:tcW w:w="124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31,</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7"/>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2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5"/>
              </w:rPr>
              <w:t>(dollars in</w:t>
            </w:r>
          </w:p>
        </w:tc>
        <w:tc>
          <w:tcPr>
            <w:tcW w:w="900" w:type="dxa"/>
            <w:vAlign w:val="bottom"/>
            <w:gridSpan w:val="3"/>
          </w:tcPr>
          <w:p>
            <w:pPr>
              <w:jc w:val="right"/>
              <w:ind w:right="135"/>
              <w:spacing w:after="0"/>
              <w:rPr>
                <w:sz w:val="20"/>
                <w:szCs w:val="20"/>
                <w:color w:val="auto"/>
              </w:rPr>
            </w:pPr>
            <w:r>
              <w:rPr>
                <w:rFonts w:ascii="Arial" w:cs="Arial" w:eastAsia="Arial" w:hAnsi="Arial"/>
                <w:sz w:val="14"/>
                <w:szCs w:val="14"/>
                <w:b w:val="1"/>
                <w:bCs w:val="1"/>
                <w:color w:val="auto"/>
                <w:w w:val="87"/>
              </w:rPr>
              <w:t>thousands)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Cost of revenue</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  23,659</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29,820</w:t>
            </w:r>
          </w:p>
        </w:tc>
        <w:tc>
          <w:tcPr>
            <w:tcW w:w="2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  (6,161 )</w:t>
            </w:r>
          </w:p>
        </w:tc>
        <w:tc>
          <w:tcPr>
            <w:tcW w:w="34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(20.7 )%$</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48,282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63,578</w:t>
            </w: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 (15,296 )</w:t>
            </w:r>
          </w:p>
        </w:tc>
        <w:tc>
          <w:tcPr>
            <w:tcW w:w="4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(24.1 )%</w:t>
            </w:r>
          </w:p>
        </w:tc>
        <w:tc>
          <w:tcPr>
            <w:tcW w:w="0" w:type="dxa"/>
            <w:vAlign w:val="bottom"/>
          </w:tcPr>
          <w:p>
            <w:pPr>
              <w:spacing w:after="0"/>
              <w:rPr>
                <w:sz w:val="1"/>
                <w:szCs w:val="1"/>
                <w:color w:val="auto"/>
              </w:rPr>
            </w:pPr>
          </w:p>
        </w:tc>
      </w:tr>
      <w:tr>
        <w:trPr>
          <w:trHeight w:val="269"/>
        </w:trPr>
        <w:tc>
          <w:tcPr>
            <w:tcW w:w="2020" w:type="dxa"/>
            <w:vAlign w:val="bottom"/>
          </w:tcPr>
          <w:p>
            <w:pPr>
              <w:spacing w:after="0"/>
              <w:rPr>
                <w:sz w:val="20"/>
                <w:szCs w:val="20"/>
                <w:color w:val="auto"/>
              </w:rPr>
            </w:pPr>
            <w:r>
              <w:rPr>
                <w:rFonts w:ascii="Arial" w:cs="Arial" w:eastAsia="Arial" w:hAnsi="Arial"/>
                <w:sz w:val="18"/>
                <w:szCs w:val="18"/>
                <w:color w:val="auto"/>
              </w:rPr>
              <w:t>Gross profit</w:t>
            </w:r>
          </w:p>
        </w:tc>
        <w:tc>
          <w:tcPr>
            <w:tcW w:w="740" w:type="dxa"/>
            <w:vAlign w:val="bottom"/>
          </w:tcPr>
          <w:p>
            <w:pPr>
              <w:jc w:val="right"/>
              <w:spacing w:after="0"/>
              <w:rPr>
                <w:sz w:val="20"/>
                <w:szCs w:val="20"/>
                <w:color w:val="auto"/>
              </w:rPr>
            </w:pPr>
            <w:r>
              <w:rPr>
                <w:rFonts w:ascii="Arial" w:cs="Arial" w:eastAsia="Arial" w:hAnsi="Arial"/>
                <w:sz w:val="18"/>
                <w:szCs w:val="18"/>
                <w:color w:val="auto"/>
              </w:rPr>
              <w:t>38,462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51,064</w:t>
            </w:r>
          </w:p>
        </w:tc>
        <w:tc>
          <w:tcPr>
            <w:tcW w:w="220" w:type="dxa"/>
            <w:vAlign w:val="bottom"/>
          </w:tcPr>
          <w:p>
            <w:pPr>
              <w:spacing w:after="0"/>
              <w:rPr>
                <w:sz w:val="23"/>
                <w:szCs w:val="2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(12,602 )</w:t>
            </w:r>
          </w:p>
        </w:tc>
        <w:tc>
          <w:tcPr>
            <w:tcW w:w="340" w:type="dxa"/>
            <w:vAlign w:val="bottom"/>
          </w:tcPr>
          <w:p>
            <w:pPr>
              <w:spacing w:after="0"/>
              <w:rPr>
                <w:sz w:val="23"/>
                <w:szCs w:val="23"/>
                <w:color w:val="auto"/>
              </w:rPr>
            </w:pPr>
          </w:p>
        </w:tc>
        <w:tc>
          <w:tcPr>
            <w:tcW w:w="1040" w:type="dxa"/>
            <w:vAlign w:val="bottom"/>
            <w:gridSpan w:val="3"/>
          </w:tcPr>
          <w:p>
            <w:pPr>
              <w:jc w:val="right"/>
              <w:ind w:right="48"/>
              <w:spacing w:after="0"/>
              <w:rPr>
                <w:sz w:val="20"/>
                <w:szCs w:val="20"/>
                <w:color w:val="auto"/>
              </w:rPr>
            </w:pPr>
            <w:r>
              <w:rPr>
                <w:rFonts w:ascii="Arial" w:cs="Arial" w:eastAsia="Arial" w:hAnsi="Arial"/>
                <w:sz w:val="18"/>
                <w:szCs w:val="18"/>
                <w:color w:val="auto"/>
              </w:rPr>
              <w:t>(24.7 )%</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75,981</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107,611</w:t>
            </w:r>
          </w:p>
        </w:tc>
        <w:tc>
          <w:tcPr>
            <w:tcW w:w="20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(31,630 )</w:t>
            </w:r>
          </w:p>
        </w:tc>
        <w:tc>
          <w:tcPr>
            <w:tcW w:w="40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(29.4 )%</w:t>
            </w:r>
          </w:p>
        </w:tc>
        <w:tc>
          <w:tcPr>
            <w:tcW w:w="0" w:type="dxa"/>
            <w:vAlign w:val="bottom"/>
          </w:tcPr>
          <w:p>
            <w:pPr>
              <w:spacing w:after="0"/>
              <w:rPr>
                <w:sz w:val="1"/>
                <w:szCs w:val="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18"/>
                <w:szCs w:val="18"/>
                <w:color w:val="auto"/>
              </w:rPr>
              <w:t>Gross margin</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61.9 %</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63.1 %</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8"/>
              <w:spacing w:after="0"/>
              <w:rPr>
                <w:sz w:val="20"/>
                <w:szCs w:val="20"/>
                <w:color w:val="auto"/>
              </w:rPr>
            </w:pPr>
            <w:r>
              <w:rPr>
                <w:rFonts w:ascii="Arial" w:cs="Arial" w:eastAsia="Arial" w:hAnsi="Arial"/>
                <w:sz w:val="18"/>
                <w:szCs w:val="18"/>
                <w:color w:val="auto"/>
              </w:rPr>
              <w:t>(1.2 )%</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61.1 %</w:t>
            </w:r>
          </w:p>
        </w:tc>
        <w:tc>
          <w:tcPr>
            <w:tcW w:w="20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62.9 %</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-471170</wp:posOffset>
            </wp:positionV>
            <wp:extent cx="641223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-144780</wp:posOffset>
            </wp:positionV>
            <wp:extent cx="6412230"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5"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Cost of revenue decreased for the three and six months ended July 31, 2023, as compared to the same periods in the prior fiscal year, primarily due to lower product unit shipments associated with lower revenue, as well as a reversal of adverse purchase commitments recognized in prior periods as a result of favorable changes in contract terms. The decreases were partially offset by increased inventory reserves caused by market weakness and lower demand from customers.</w:t>
      </w:r>
    </w:p>
    <w:p>
      <w:pPr>
        <w:spacing w:after="0" w:line="18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Gross margin decreased for the three and six months ended July 31, 2023, as compared to the same periods in the prior fiscal year, primarily due to unfavorable product mix, increased inventory reserves and lower NRE project services, partially offset by a reversal of adverse purchase commitments recognized in prior periods as a result of favorable changes in contract terms.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2020" w:type="dxa"/>
            <w:vAlign w:val="bottom"/>
          </w:tcPr>
          <w:p>
            <w:pPr>
              <w:spacing w:after="0"/>
              <w:rPr>
                <w:sz w:val="16"/>
                <w:szCs w:val="16"/>
                <w:color w:val="auto"/>
              </w:rPr>
            </w:pPr>
          </w:p>
        </w:tc>
        <w:tc>
          <w:tcPr>
            <w:tcW w:w="18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Three Months Ended July 31,</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3"/>
              </w:rPr>
              <w:t>Change</w:t>
            </w:r>
          </w:p>
        </w:tc>
        <w:tc>
          <w:tcPr>
            <w:tcW w:w="6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Six Months Ended July 31,</w:t>
            </w:r>
          </w:p>
        </w:tc>
        <w:tc>
          <w:tcPr>
            <w:tcW w:w="180" w:type="dxa"/>
            <w:vAlign w:val="bottom"/>
          </w:tcPr>
          <w:p>
            <w:pPr>
              <w:spacing w:after="0"/>
              <w:rPr>
                <w:sz w:val="16"/>
                <w:szCs w:val="16"/>
                <w:color w:val="auto"/>
              </w:rPr>
            </w:pPr>
          </w:p>
        </w:tc>
        <w:tc>
          <w:tcPr>
            <w:tcW w:w="12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20" w:type="dxa"/>
            <w:vAlign w:val="bottom"/>
          </w:tcPr>
          <w:p>
            <w:pPr>
              <w:spacing w:after="0"/>
              <w:rPr>
                <w:sz w:val="15"/>
                <w:szCs w:val="15"/>
                <w:color w:val="auto"/>
              </w:rPr>
            </w:pPr>
          </w:p>
        </w:tc>
        <w:tc>
          <w:tcPr>
            <w:tcW w:w="8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20" w:type="dxa"/>
            <w:vAlign w:val="bottom"/>
            <w:vMerge w:val="restart"/>
          </w:tcPr>
          <w:p>
            <w:pPr>
              <w:spacing w:after="0"/>
              <w:rPr>
                <w:sz w:val="20"/>
                <w:szCs w:val="20"/>
                <w:color w:val="auto"/>
              </w:rPr>
            </w:pPr>
            <w:r>
              <w:rPr>
                <w:rFonts w:ascii="Arial" w:cs="Arial" w:eastAsia="Arial" w:hAnsi="Arial"/>
                <w:sz w:val="18"/>
                <w:szCs w:val="18"/>
                <w:color w:val="auto"/>
              </w:rPr>
              <w:t>Research and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(dollars in</w:t>
            </w:r>
          </w:p>
        </w:tc>
        <w:tc>
          <w:tcPr>
            <w:tcW w:w="98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w w:val="87"/>
              </w:rPr>
              <w:t>thousands)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2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development</w:t>
            </w:r>
          </w:p>
        </w:tc>
        <w:tc>
          <w:tcPr>
            <w:tcW w:w="820" w:type="dxa"/>
            <w:vAlign w:val="bottom"/>
          </w:tcPr>
          <w:p>
            <w:pPr>
              <w:jc w:val="right"/>
              <w:spacing w:after="0"/>
              <w:rPr>
                <w:sz w:val="20"/>
                <w:szCs w:val="20"/>
                <w:color w:val="auto"/>
              </w:rPr>
            </w:pPr>
            <w:r>
              <w:rPr>
                <w:rFonts w:ascii="Arial" w:cs="Arial" w:eastAsia="Arial" w:hAnsi="Arial"/>
                <w:sz w:val="18"/>
                <w:szCs w:val="18"/>
                <w:color w:val="auto"/>
              </w:rPr>
              <w:t>$  54,917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52,338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4.9 % $</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109,358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99,028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10,330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-281940</wp:posOffset>
            </wp:positionV>
            <wp:extent cx="6412230" cy="291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412230" cy="291465"/>
                    </a:xfrm>
                    <a:prstGeom prst="rect">
                      <a:avLst/>
                    </a:prstGeom>
                    <a:noFill/>
                  </pic:spPr>
                </pic:pic>
              </a:graphicData>
            </a:graphic>
          </wp:anchor>
        </w:drawing>
      </w:r>
    </w:p>
    <w:p>
      <w:pPr>
        <w:spacing w:after="0" w:line="195"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Research and development expense increased for the three and six months ended July 31, 2023, as compared to the same periods in the prior fiscal year, primarily due to increased personnel costs, SoC development cost and engineering-related expenses. Personnel costs increased by approximately $2.0 million and $3.8 million, respectively, as a result of higher stock-based compensation expense and headcount growth. SoC development cost increased by approximately $0.4 million and $4.2 million, respectively, due to the timing of projects and the number of chips in development. Engineering-related expenses, including the cost and depreciation of equipment and tools, outside services and facility expenses in support of new SoCs and related applications, increased by approximately $0.2 million and $2.2 million, respectively, due to the timing of project progress.</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2000" w:type="dxa"/>
            <w:vAlign w:val="bottom"/>
          </w:tcPr>
          <w:p>
            <w:pPr>
              <w:spacing w:after="0"/>
              <w:rPr>
                <w:sz w:val="16"/>
                <w:szCs w:val="16"/>
                <w:color w:val="auto"/>
              </w:rPr>
            </w:pPr>
          </w:p>
        </w:tc>
        <w:tc>
          <w:tcPr>
            <w:tcW w:w="18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Three Months Ended July 31,</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3"/>
              </w:rPr>
              <w:t>Change</w:t>
            </w:r>
          </w:p>
        </w:tc>
        <w:tc>
          <w:tcPr>
            <w:tcW w:w="7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Six Months Ended July 31,</w:t>
            </w:r>
          </w:p>
        </w:tc>
        <w:tc>
          <w:tcPr>
            <w:tcW w:w="180" w:type="dxa"/>
            <w:vAlign w:val="bottom"/>
          </w:tcPr>
          <w:p>
            <w:pPr>
              <w:spacing w:after="0"/>
              <w:rPr>
                <w:sz w:val="16"/>
                <w:szCs w:val="16"/>
                <w:color w:val="auto"/>
              </w:rPr>
            </w:pPr>
          </w:p>
        </w:tc>
        <w:tc>
          <w:tcPr>
            <w:tcW w:w="12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00" w:type="dxa"/>
            <w:vAlign w:val="bottom"/>
          </w:tcPr>
          <w:p>
            <w:pPr>
              <w:spacing w:after="0"/>
              <w:rPr>
                <w:sz w:val="15"/>
                <w:szCs w:val="15"/>
                <w:color w:val="auto"/>
              </w:rPr>
            </w:pPr>
          </w:p>
        </w:tc>
        <w:tc>
          <w:tcPr>
            <w:tcW w:w="8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00" w:type="dxa"/>
            <w:vAlign w:val="bottom"/>
            <w:vMerge w:val="restart"/>
          </w:tcPr>
          <w:p>
            <w:pPr>
              <w:spacing w:after="0"/>
              <w:rPr>
                <w:sz w:val="20"/>
                <w:szCs w:val="20"/>
                <w:color w:val="auto"/>
              </w:rPr>
            </w:pPr>
            <w:r>
              <w:rPr>
                <w:rFonts w:ascii="Arial" w:cs="Arial" w:eastAsia="Arial" w:hAnsi="Arial"/>
                <w:sz w:val="18"/>
                <w:szCs w:val="18"/>
                <w:color w:val="auto"/>
              </w:rPr>
              <w:t>Selling, general and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5"/>
              </w:rPr>
              <w:t>(dollars in</w:t>
            </w:r>
          </w:p>
        </w:tc>
        <w:tc>
          <w:tcPr>
            <w:tcW w:w="98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w w:val="87"/>
              </w:rPr>
              <w:t>thousands)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0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administrative</w:t>
            </w:r>
          </w:p>
        </w:tc>
        <w:tc>
          <w:tcPr>
            <w:tcW w:w="820" w:type="dxa"/>
            <w:vAlign w:val="bottom"/>
          </w:tcPr>
          <w:p>
            <w:pPr>
              <w:jc w:val="right"/>
              <w:spacing w:after="0"/>
              <w:rPr>
                <w:sz w:val="20"/>
                <w:szCs w:val="20"/>
                <w:color w:val="auto"/>
              </w:rPr>
            </w:pPr>
            <w:r>
              <w:rPr>
                <w:rFonts w:ascii="Arial" w:cs="Arial" w:eastAsia="Arial" w:hAnsi="Arial"/>
                <w:sz w:val="18"/>
                <w:szCs w:val="18"/>
                <w:color w:val="auto"/>
              </w:rPr>
              <w:t>$  18,884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18,914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(30 )</w:t>
            </w:r>
          </w:p>
        </w:tc>
        <w:tc>
          <w:tcPr>
            <w:tcW w:w="340" w:type="dxa"/>
            <w:vAlign w:val="bottom"/>
          </w:tcPr>
          <w:p>
            <w:pPr>
              <w:spacing w:after="0"/>
              <w:rPr>
                <w:sz w:val="20"/>
                <w:szCs w:val="20"/>
                <w:color w:val="auto"/>
              </w:rPr>
            </w:pPr>
          </w:p>
        </w:tc>
        <w:tc>
          <w:tcPr>
            <w:tcW w:w="1080" w:type="dxa"/>
            <w:vAlign w:val="bottom"/>
            <w:gridSpan w:val="3"/>
          </w:tcPr>
          <w:p>
            <w:pPr>
              <w:jc w:val="right"/>
              <w:ind w:right="8"/>
              <w:spacing w:after="0"/>
              <w:rPr>
                <w:sz w:val="20"/>
                <w:szCs w:val="20"/>
                <w:color w:val="auto"/>
              </w:rPr>
            </w:pPr>
            <w:r>
              <w:rPr>
                <w:rFonts w:ascii="Arial" w:cs="Arial" w:eastAsia="Arial" w:hAnsi="Arial"/>
                <w:sz w:val="18"/>
                <w:szCs w:val="18"/>
                <w:color w:val="auto"/>
              </w:rPr>
              <w:t>(0.2 )%$</w:t>
            </w:r>
          </w:p>
        </w:tc>
        <w:tc>
          <w:tcPr>
            <w:tcW w:w="600" w:type="dxa"/>
            <w:vAlign w:val="bottom"/>
          </w:tcPr>
          <w:p>
            <w:pPr>
              <w:jc w:val="right"/>
              <w:spacing w:after="0"/>
              <w:rPr>
                <w:sz w:val="20"/>
                <w:szCs w:val="20"/>
                <w:color w:val="auto"/>
              </w:rPr>
            </w:pPr>
            <w:r>
              <w:rPr>
                <w:rFonts w:ascii="Arial" w:cs="Arial" w:eastAsia="Arial" w:hAnsi="Arial"/>
                <w:sz w:val="18"/>
                <w:szCs w:val="18"/>
                <w:color w:val="auto"/>
              </w:rPr>
              <w:t>37,504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39,269</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  (1,765 )</w:t>
            </w:r>
          </w:p>
        </w:tc>
        <w:tc>
          <w:tcPr>
            <w:tcW w:w="4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-281940</wp:posOffset>
            </wp:positionV>
            <wp:extent cx="6412230" cy="291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412230" cy="291465"/>
                    </a:xfrm>
                    <a:prstGeom prst="rect">
                      <a:avLst/>
                    </a:prstGeom>
                    <a:noFill/>
                  </pic:spPr>
                </pic:pic>
              </a:graphicData>
            </a:graphic>
          </wp:anchor>
        </w:drawing>
      </w:r>
    </w:p>
    <w:p>
      <w:pPr>
        <w:spacing w:after="0" w:line="209"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Selling, general and administrative expense remained relatively flat for the three months ended July 31, 2023, as compared to the same period in the prior fiscal year, primarily due to lower administrative expense, offset by increased traveling and marketing expense. The decrease in selling, general and administrative expense for the six months ended July 31, 2023, as compared to the same period in the prior fiscal year, was primarily attributable to approximately $1.7 million of additional stock-based compensation expense associated with a stock acceleration in the first quarter of fiscal year 2023 that did not recur in fiscal year 2024, as well as $1.2 million of lower administrative expense, partially offset by approximately $0.7 million of additional traveling and marketing expense and $0.4 million of additional personnel cost.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0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5"/>
              </w:rPr>
              <w:t>Three Months Ended July</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gridSpan w:val="2"/>
            <w:vMerge w:val="restart"/>
          </w:tcPr>
          <w:p>
            <w:pPr>
              <w:jc w:val="right"/>
              <w:ind w:right="688"/>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17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5"/>
              </w:rPr>
              <w:t>Six Months Ended July 31,</w:t>
            </w:r>
          </w:p>
        </w:tc>
        <w:tc>
          <w:tcPr>
            <w:tcW w:w="200" w:type="dxa"/>
            <w:vAlign w:val="bottom"/>
          </w:tcPr>
          <w:p>
            <w:pPr>
              <w:spacing w:after="0"/>
              <w:rPr>
                <w:sz w:val="14"/>
                <w:szCs w:val="14"/>
                <w:color w:val="auto"/>
              </w:rPr>
            </w:pPr>
          </w:p>
        </w:tc>
        <w:tc>
          <w:tcPr>
            <w:tcW w:w="120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w w:val="97"/>
              </w:rPr>
              <w:t>Change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2"/>
              </w:rPr>
              <w:t>31,</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Borders>
              <w:bottom w:val="single" w:sz="8" w:color="auto"/>
            </w:tcBorders>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00" w:type="dxa"/>
            <w:vAlign w:val="bottom"/>
            <w:vMerge w:val="restart"/>
          </w:tcPr>
          <w:p>
            <w:pPr>
              <w:spacing w:after="0"/>
              <w:rPr>
                <w:sz w:val="20"/>
                <w:szCs w:val="20"/>
                <w:color w:val="auto"/>
              </w:rPr>
            </w:pPr>
            <w:r>
              <w:rPr>
                <w:rFonts w:ascii="Arial" w:cs="Arial" w:eastAsia="Arial" w:hAnsi="Arial"/>
                <w:sz w:val="18"/>
                <w:szCs w:val="18"/>
                <w:color w:val="auto"/>
                <w:w w:val="99"/>
              </w:rPr>
              <w:t>Other income (expense),</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(dollars in</w:t>
            </w:r>
          </w:p>
        </w:tc>
        <w:tc>
          <w:tcPr>
            <w:tcW w:w="98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w w:val="82"/>
              </w:rPr>
              <w:t>thousands)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737</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763</w:t>
            </w:r>
          </w:p>
        </w:tc>
        <w:tc>
          <w:tcPr>
            <w:tcW w:w="2200" w:type="dxa"/>
            <w:vAlign w:val="bottom"/>
            <w:gridSpan w:val="4"/>
          </w:tcPr>
          <w:p>
            <w:pPr>
              <w:jc w:val="right"/>
              <w:spacing w:after="0"/>
              <w:rPr>
                <w:sz w:val="20"/>
                <w:szCs w:val="20"/>
                <w:color w:val="auto"/>
              </w:rPr>
            </w:pPr>
            <w:r>
              <w:rPr>
                <w:rFonts w:ascii="Arial" w:cs="Arial" w:eastAsia="Arial" w:hAnsi="Arial"/>
                <w:sz w:val="18"/>
                <w:szCs w:val="18"/>
                <w:color w:val="auto"/>
              </w:rPr>
              <w:t>(2,934.6 )%$   2,023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1,963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3"/>
              </w:rPr>
              <w:t>3,271.7 %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-282575</wp:posOffset>
            </wp:positionV>
            <wp:extent cx="6412230" cy="291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412230" cy="291465"/>
                    </a:xfrm>
                    <a:prstGeom prst="rect">
                      <a:avLst/>
                    </a:prstGeom>
                    <a:noFill/>
                  </pic:spPr>
                </pic:pic>
              </a:graphicData>
            </a:graphic>
          </wp:anchor>
        </w:drawing>
      </w:r>
    </w:p>
    <w:p>
      <w:pPr>
        <w:spacing w:after="0" w:line="195"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increases in other income, net, for the three and six months ended July 31, 2023, as compared to the same periods in the prior fiscal year, were primarily due to $1.1 million and $2.2 million, respectively, of additional yields from our debt security investments that were resumed in the second half of fiscal year 2023. The increases were also attributable to approximately $0.7 million and $1.0 million of additional interest income from our cash deposits driven by higher interest rates. The increases were partially offset by an approximately $1.2 million impairment relating to an equity investment recognized during the second quarter of fiscal year 2024.</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1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 July</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Change</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5"/>
              </w:rPr>
              <w:t>Six Months Ended July 31,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820" w:type="dxa"/>
            <w:vAlign w:val="bottom"/>
          </w:tcPr>
          <w:p>
            <w:pPr>
              <w:spacing w:after="0"/>
              <w:rPr>
                <w:sz w:val="16"/>
                <w:szCs w:val="16"/>
                <w:color w:val="auto"/>
              </w:rPr>
            </w:pPr>
          </w:p>
        </w:tc>
        <w:tc>
          <w:tcPr>
            <w:tcW w:w="12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31,</w:t>
            </w:r>
          </w:p>
        </w:tc>
        <w:tc>
          <w:tcPr>
            <w:tcW w:w="6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Borders>
              <w:bottom w:val="single" w:sz="8" w:color="auto"/>
            </w:tcBorders>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7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1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90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w w:val="82"/>
              </w:rPr>
              <w:t>thousands)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82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82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  (3,404 )</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3,436</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  (6,840 )</w:t>
            </w:r>
          </w:p>
        </w:tc>
        <w:tc>
          <w:tcPr>
            <w:tcW w:w="4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w w:val="91"/>
              </w:rPr>
              <w:t>(199.1 ) %</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  (1,758 )</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  (5,604 )</w:t>
            </w: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(145.7 ) %</w:t>
            </w:r>
          </w:p>
        </w:tc>
        <w:tc>
          <w:tcPr>
            <w:tcW w:w="0" w:type="dxa"/>
            <w:vAlign w:val="bottom"/>
          </w:tcPr>
          <w:p>
            <w:pPr>
              <w:spacing w:after="0"/>
              <w:rPr>
                <w:sz w:val="1"/>
                <w:szCs w:val="1"/>
                <w:color w:val="auto"/>
              </w:rPr>
            </w:pPr>
          </w:p>
        </w:tc>
      </w:tr>
      <w:tr>
        <w:trPr>
          <w:trHeight w:val="257"/>
        </w:trPr>
        <w:tc>
          <w:tcPr>
            <w:tcW w:w="1820" w:type="dxa"/>
            <w:vAlign w:val="bottom"/>
          </w:tcPr>
          <w:p>
            <w:pPr>
              <w:spacing w:after="0"/>
              <w:rPr>
                <w:sz w:val="20"/>
                <w:szCs w:val="20"/>
                <w:color w:val="auto"/>
              </w:rPr>
            </w:pPr>
            <w:r>
              <w:rPr>
                <w:rFonts w:ascii="Arial" w:cs="Arial" w:eastAsia="Arial" w:hAnsi="Arial"/>
                <w:sz w:val="18"/>
                <w:szCs w:val="18"/>
                <w:color w:val="auto"/>
              </w:rPr>
              <w:t>Effective tax rate</w:t>
            </w: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2"/>
                <w:szCs w:val="22"/>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8"/>
              <w:spacing w:after="0"/>
              <w:rPr>
                <w:sz w:val="20"/>
                <w:szCs w:val="20"/>
                <w:color w:val="auto"/>
              </w:rPr>
            </w:pPr>
            <w:r>
              <w:rPr>
                <w:rFonts w:ascii="Arial" w:cs="Arial" w:eastAsia="Arial" w:hAnsi="Arial"/>
                <w:sz w:val="18"/>
                <w:szCs w:val="18"/>
                <w:color w:val="auto"/>
              </w:rPr>
              <w:t xml:space="preserve">26.8  </w:t>
            </w: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 xml:space="preserve">15.2  </w:t>
            </w: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The quarterly income taxes reflect an estimate of the corresponding fiscal year’s annual effective tax rate and include, when applicable, adjustments from discrete tax items arising in the quarter.</w:t>
      </w:r>
    </w:p>
    <w:p>
      <w:pPr>
        <w:spacing w:after="0" w:line="170"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The decreases in income tax expense for the three and six months ended July 31, 2023, as compared to the same periods in the prior fiscal year, were primarily due to the tax benefit from the release of $3.6 million of valuation allowance on the deferred tax assets of Oculii Corp, or Oculii, during the second quarter of fiscal year 2024 and recording a tax benefit of $3.1 million for Oculii’s losses in fiscal year 2024. The decrease in income tax expense for the six months ended July 31, 2023 was partially offset by an increase in the proportion of profits generated in higher tax jurisdictions.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As of July 31, 2023 and January 31, 2023, we had cash, cash equivalents and marketable debt securities of approximately $216.5 million and $206.9 million, respectively. We invest in highly-liquid, short-term marketable debt securities and hold these investments as available-for-sale securities. As of July 31, 2023, these securities had a fair value of approximately $102.9 million with unrealized losses of approximately $1.0 million caused by market fluctuations. For the three and six months ended July 31, 2023, there was approximately $1.1 million and $2.2 million, respectively, of interest and other income related to the debt security investments recorded in other income (expense), net in the condensed consolidated statements of operations. The current inflationary environment in the United States and resulting high interest rates have not had material impact on our investment portfolio and financial position.</w:t>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4620" w:type="dxa"/>
            <w:vAlign w:val="bottom"/>
            <w:gridSpan w:val="7"/>
          </w:tcPr>
          <w:p>
            <w:pPr>
              <w:ind w:left="60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71"/>
              </w:rPr>
              <w:t>thousands)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15,187</w:t>
            </w: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jc w:val="center"/>
              <w:ind w:right="2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33,003</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20" w:type="dxa"/>
            <w:vAlign w:val="bottom"/>
          </w:tcPr>
          <w:p>
            <w:pPr>
              <w:spacing w:after="0"/>
              <w:rPr>
                <w:sz w:val="20"/>
                <w:szCs w:val="20"/>
                <w:color w:val="auto"/>
              </w:rPr>
            </w:pPr>
          </w:p>
        </w:tc>
        <w:tc>
          <w:tcPr>
            <w:tcW w:w="720" w:type="dxa"/>
            <w:vAlign w:val="bottom"/>
            <w:gridSpan w:val="2"/>
          </w:tcPr>
          <w:p>
            <w:pPr>
              <w:jc w:val="right"/>
              <w:ind w:right="48"/>
              <w:spacing w:after="0"/>
              <w:rPr>
                <w:sz w:val="20"/>
                <w:szCs w:val="20"/>
                <w:color w:val="auto"/>
              </w:rPr>
            </w:pPr>
            <w:r>
              <w:rPr>
                <w:rFonts w:ascii="Arial" w:cs="Arial" w:eastAsia="Arial" w:hAnsi="Arial"/>
                <w:sz w:val="18"/>
                <w:szCs w:val="18"/>
                <w:color w:val="auto"/>
                <w:w w:val="93"/>
              </w:rPr>
              <w:t>(7,969 )</w:t>
            </w:r>
          </w:p>
        </w:tc>
        <w:tc>
          <w:tcPr>
            <w:tcW w:w="4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(10,311 )</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8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w:t>
            </w:r>
          </w:p>
        </w:tc>
        <w:tc>
          <w:tcPr>
            <w:tcW w:w="2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8,974</w:t>
            </w:r>
          </w:p>
        </w:tc>
        <w:tc>
          <w:tcPr>
            <w:tcW w:w="200" w:type="dxa"/>
            <w:vAlign w:val="bottom"/>
          </w:tcPr>
          <w:p>
            <w:pPr>
              <w:spacing w:after="0"/>
              <w:rPr>
                <w:sz w:val="20"/>
                <w:szCs w:val="20"/>
                <w:color w:val="auto"/>
              </w:rPr>
            </w:pPr>
          </w:p>
        </w:tc>
        <w:tc>
          <w:tcPr>
            <w:tcW w:w="4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920" w:type="dxa"/>
            <w:vAlign w:val="bottom"/>
            <w:vMerge w:val="restart"/>
          </w:tcPr>
          <w:p>
            <w:pPr>
              <w:ind w:left="3840"/>
              <w:spacing w:after="0"/>
              <w:rPr>
                <w:sz w:val="20"/>
                <w:szCs w:val="20"/>
                <w:color w:val="auto"/>
              </w:rPr>
            </w:pPr>
            <w:r>
              <w:rPr>
                <w:rFonts w:ascii="Arial" w:cs="Arial" w:eastAsia="Arial" w:hAnsi="Arial"/>
                <w:sz w:val="18"/>
                <w:szCs w:val="18"/>
                <w:color w:val="auto"/>
              </w:rPr>
              <w:t>26</w:t>
            </w: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-685165</wp:posOffset>
            </wp:positionV>
            <wp:extent cx="51435"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-685165</wp:posOffset>
            </wp:positionV>
            <wp:extent cx="43180"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Net cash provided by operating activities decreased for the six months ended July 31, 2023, as compared to the same period in the prior fiscal year, primarily attributable to increased net loss adjusted for certain non-cash items, partially offset by higher collections of accounts receivable associated with the timing of sales and decreased inventory purchases due to lower demand from customers.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Net cash used in investing activities decreased for the six months ended July 31, 2023, as compared to the same period in the prior fiscal year, primarily due to approximately $2.7 million of net cash receipts from our debt security investments and $0.4 million less in payments for purchase of property, equipment and licenses, partially offset by a $0.7 million claim from an acquisition escrow account in fiscal year 2023 that did not recur in fiscal year 2024.</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Net cash provided by financing activities increased for the six months ended July 31, 2023, as compared to the same period in the prior fiscal year, primarily due to approximately $1.1 million of additional cash proceeds from option exercises and employee stock purchase withholdings, partially offset by an additional $0.5 million payment for the purchase of licenses.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No ordinary shares were repurchased during the three and six months ended July 31, 2023. On May 26, 2023, our Board of Directors approved an extension of the existing share repurchase program for an additional twelve months through June 30, 2024. The repurchase program does not obligate us to acquire any particular amount of ordinary shares, and it may be suspended at any time at our discretion. As of July 31, 2023, there was approximately $49.0 million remaining available for repurchases under the repurchase program through June 30, 2024.</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and Capital Expenditure Requirements</w:t>
      </w:r>
    </w:p>
    <w:p>
      <w:pPr>
        <w:spacing w:after="0" w:line="117"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As of July 31, 2023, we had cash, cash equivalents and marketable debt securities on hand of approximately $216.5 million. We believe that our existing cash balances will be sufficient to meet our anticipated cash requirements through at least the next 12 months. In the future, we expect our operating and capital expenditures to increase as we increase headcount, expand our business activities, and implement and enhance our information technology platforms. As we expand our operations, we may require more working capital. If our available cash balances are insufficient to satisfy our future liquidity requirements, we may seek to sell equity or convertible debt securities or borrow funds commercially. The sale of equity and convertible debt securities may result in dilution to our shareholders, and those securities may have rights senior to those of our ordinary shares. If we raise additional funds through the issuance of convertible debt securities or borrowing funds commercially, we may become subject to covenants that would restrict our operations. We may require additional capital beyond our currently anticipated amounts. Additional capital may not be available to us on reasonable terms, or at all.</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short- term and long-term capital requirements will depend on many factors, including the following:</w:t>
      </w:r>
    </w:p>
    <w:p>
      <w:pPr>
        <w:spacing w:after="0" w:line="117" w:lineRule="exact"/>
        <w:rPr>
          <w:sz w:val="20"/>
          <w:szCs w:val="20"/>
          <w:color w:val="auto"/>
        </w:rPr>
      </w:pPr>
    </w:p>
    <w:p>
      <w:pPr>
        <w:ind w:left="1540" w:hanging="514"/>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generate cash from operations;</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control our costs;</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expansion of our research and development of new technologies and products to address new markets and applications;</w:t>
      </w:r>
    </w:p>
    <w:p>
      <w:pPr>
        <w:spacing w:after="0" w:line="128" w:lineRule="exact"/>
        <w:rPr>
          <w:rFonts w:ascii="Arial" w:cs="Arial" w:eastAsia="Arial" w:hAnsi="Arial"/>
          <w:sz w:val="17"/>
          <w:szCs w:val="17"/>
          <w:color w:val="auto"/>
        </w:rPr>
      </w:pPr>
    </w:p>
    <w:p>
      <w:pPr>
        <w:ind w:left="1540" w:hanging="514"/>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technologies or products;</w:t>
      </w:r>
    </w:p>
    <w:p>
      <w:pPr>
        <w:spacing w:after="0" w:line="117" w:lineRule="exact"/>
        <w:rPr>
          <w:rFonts w:ascii="Arial" w:cs="Arial" w:eastAsia="Arial" w:hAnsi="Arial"/>
          <w:sz w:val="18"/>
          <w:szCs w:val="18"/>
          <w:color w:val="auto"/>
        </w:rPr>
      </w:pPr>
    </w:p>
    <w:p>
      <w:pPr>
        <w:ind w:left="1540" w:right="360" w:hanging="514"/>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economic and political conditions, including macroeconomic conditions, high inflation and trade restrictions, the impact of COVID-19, as well as effects of the measures implemented to control the spread of the virus;</w:t>
      </w:r>
    </w:p>
    <w:p>
      <w:pPr>
        <w:spacing w:after="0" w:line="62" w:lineRule="exact"/>
        <w:rPr>
          <w:rFonts w:ascii="Arial" w:cs="Arial" w:eastAsia="Arial" w:hAnsi="Arial"/>
          <w:sz w:val="18"/>
          <w:szCs w:val="18"/>
          <w:color w:val="auto"/>
        </w:rPr>
      </w:pPr>
    </w:p>
    <w:p>
      <w:pPr>
        <w:ind w:left="1540" w:right="360" w:hanging="514"/>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or participating in litigation-related activities; and</w:t>
      </w:r>
    </w:p>
    <w:p>
      <w:pPr>
        <w:spacing w:after="0" w:line="62" w:lineRule="exact"/>
        <w:rPr>
          <w:rFonts w:ascii="Arial" w:cs="Arial" w:eastAsia="Arial" w:hAnsi="Arial"/>
          <w:sz w:val="18"/>
          <w:szCs w:val="18"/>
          <w:color w:val="auto"/>
        </w:rPr>
      </w:pPr>
    </w:p>
    <w:p>
      <w:pPr>
        <w:ind w:left="1540" w:hanging="514"/>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acquisition of complementary businesses, products and technologies.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Manufacturing Purchase Obligations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color w:val="auto"/>
        </w:rPr>
        <w:t>As of July 31, 2023, we had purchase obligations with our independent contract manufacturers of $24.6 million.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ind w:right="120" w:firstLine="509"/>
        <w:spacing w:after="0" w:line="286" w:lineRule="auto"/>
        <w:rPr>
          <w:sz w:val="20"/>
          <w:szCs w:val="20"/>
          <w:color w:val="auto"/>
        </w:rPr>
      </w:pPr>
      <w:r>
        <w:rPr>
          <w:rFonts w:ascii="Arial" w:cs="Arial" w:eastAsia="Arial" w:hAnsi="Arial"/>
          <w:sz w:val="17"/>
          <w:szCs w:val="17"/>
          <w:color w:val="auto"/>
        </w:rPr>
        <w:t>During the six months ended July 31, 2023, we entered into several noncancelable on-premise internal-use software license agreements for product design. As of July 31, 2023, total estimated future undiscounted cash payments for these licenses were approximately $8.8 million, of which $4.2 million will be paid within 12 months and the remaining $4.6 million will be paid within 12 to 36 months.</w:t>
      </w:r>
    </w:p>
    <w:p>
      <w:pPr>
        <w:spacing w:after="0" w:line="165"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Except as described above, there were no other material changes in our contractual obligations, commitments and contingencies from those disclosed in our Annual Report on Form 10-K for the fiscal year ended January 31, 2023. Please see Item 7, “Management’s Discussion and Analysis of Financial Condition and Results of Operations – Contractual Obligations, Commitments and Contingencies” in our Annual Report on Form 10-K for the fiscal year ended January 31, 2023 for a description of our contractual obligations.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As of July 31, 2023, we did not engage in any off-balance sheet arrangements, including the use of structured finance, special purpose entities or variable interest entities.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Accounting Guidance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See Note 1 of Notes to Condensed Consolidated Financial Statements for information regarding recently issued accounting pronouncements.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121" w:lineRule="exact"/>
        <w:rPr>
          <w:sz w:val="20"/>
          <w:szCs w:val="20"/>
          <w:color w:val="auto"/>
        </w:rPr>
      </w:pPr>
    </w:p>
    <w:p>
      <w:pPr>
        <w:ind w:right="100" w:firstLine="57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2023 fiscal year filed with the SEC on March 31, 2023.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As of July 31, 2023 and January 31, 2023, we had cash, cash equivalents and marketable debt securities totaling $216.5 million and $206.9 million, respectively. Our cash is deposited in checking accounts with reputable financial institutions in excess of the Federal Deposit Insurance Corporation, or FDIC, insurance coverage limit of $250,000 per depositor, per FDIC-insured bank, per ownership category. The cash equivalents and marketable debt securities consist primarily of investments in money market funds, commercial paper, debt securities of corporations or corporate bonds, asset-backed securities and U.S. government securities. Our cash is held primarily for working capital purposes. We do not enter into investments for trading or speculative purposes.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Rate Fluctuation Risk</w:t>
      </w:r>
    </w:p>
    <w:p>
      <w:pPr>
        <w:spacing w:after="0" w:line="117"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 xml:space="preserve">The primary objective of our investment activities is to preserve capital, provide liquidity and maximize income without significantly increasing risk. Some of the securities we invest in are subject to market risk. This means that a change in prevailing interest rates may have an impact on </w:t>
      </w:r>
      <w:r>
        <w:rPr>
          <w:rFonts w:ascii="Arial" w:cs="Arial" w:eastAsia="Arial" w:hAnsi="Arial"/>
          <w:sz w:val="17"/>
          <w:szCs w:val="17"/>
          <w:color w:val="212529"/>
        </w:rPr>
        <w:t>the interest</w:t>
      </w:r>
      <w:r>
        <w:rPr>
          <w:rFonts w:ascii="Arial" w:cs="Arial" w:eastAsia="Arial" w:hAnsi="Arial"/>
          <w:sz w:val="17"/>
          <w:szCs w:val="17"/>
          <w:color w:val="auto"/>
        </w:rPr>
        <w:t xml:space="preserve"> </w:t>
      </w:r>
      <w:r>
        <w:rPr>
          <w:rFonts w:ascii="Arial" w:cs="Arial" w:eastAsia="Arial" w:hAnsi="Arial"/>
          <w:sz w:val="17"/>
          <w:szCs w:val="17"/>
          <w:color w:val="212529"/>
        </w:rPr>
        <w:t>income and the fair market value of those securities</w:t>
      </w:r>
      <w:r>
        <w:rPr>
          <w:rFonts w:ascii="Arial" w:cs="Arial" w:eastAsia="Arial" w:hAnsi="Arial"/>
          <w:sz w:val="17"/>
          <w:szCs w:val="17"/>
          <w:color w:val="000000"/>
        </w:rPr>
        <w:t>. To minimize this risk, we maintain our portfolio in a variety of debt securities with high liquidity and</w:t>
      </w:r>
      <w:r>
        <w:rPr>
          <w:rFonts w:ascii="Arial" w:cs="Arial" w:eastAsia="Arial" w:hAnsi="Arial"/>
          <w:sz w:val="17"/>
          <w:szCs w:val="17"/>
          <w:color w:val="212529"/>
        </w:rPr>
        <w:t xml:space="preserve"> </w:t>
      </w:r>
      <w:r>
        <w:rPr>
          <w:rFonts w:ascii="Arial" w:cs="Arial" w:eastAsia="Arial" w:hAnsi="Arial"/>
          <w:sz w:val="17"/>
          <w:szCs w:val="17"/>
          <w:color w:val="000000"/>
        </w:rPr>
        <w:t>low credit risk. The current inflationary environment in the United States and resulting high interest rates have generated high interest income and have not had a material negative impact on our investment portfolio and financial position to date. We do not enter into investments for trading or speculative purposes. As of July 31, 2023, a hypothetical 10% change in interest rates would not have a material impact on our interest income or investment fair value. The liquidity risk and the risk associated with fluctuating interest rates are limited to our investment portfolio.</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To date, all of our product sales and inventory purchases have been denominated in U.S. dollars. We therefore have not had any foreign currency risk associated with these two activities. The functional currency of all of our entities is the U.S. dollar. Our operations outside of the United States incur operating expenses and hold assets and liabilities denominated in foreign currencies, principally the New Taiwan Dollar, the Chinese Yuan Renminbi and the Eurozone Euro. Our results of operations and cash flows are subject to fluctuations due to changes in foreign currency exchange rates. As we grow our operations, our exposure to foreign currency risk could become more significant. To date, we have not entered into any foreign currency exchange contracts and currently do not expect to enter into foreign currency exchange contracts for trading or speculative purposes.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60" w:firstLine="509"/>
        <w:spacing w:after="0" w:line="288"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of the end of the period covered by this Quarterly Report on Form 10-Q. The term “disclosure controls and procedures” (as defined in Rules 13a- 15(e) and 15d- 15(e))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8"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Based upon such evaluation, our Principal Executive Officer and Principal Financial Officer have concluded that, as of July 31, 2023, our disclosure controls and procedures were effective at the reasonable assurance level.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Company’s fiscal quarter ended July 31, 2023 that have materially affected, or are reasonably likely to materially affect, the Company’s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of Disclosure Controls and Internal Control over Financial Reporting</w:t>
      </w:r>
    </w:p>
    <w:p>
      <w:pPr>
        <w:spacing w:after="0" w:line="117"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900" w:firstLine="509"/>
        <w:spacing w:after="0" w:line="277" w:lineRule="auto"/>
        <w:rPr>
          <w:sz w:val="20"/>
          <w:szCs w:val="20"/>
          <w:color w:val="auto"/>
        </w:rPr>
      </w:pPr>
      <w:r>
        <w:rPr>
          <w:rFonts w:ascii="Arial" w:cs="Arial" w:eastAsia="Arial" w:hAnsi="Arial"/>
          <w:sz w:val="18"/>
          <w:szCs w:val="18"/>
          <w:color w:val="auto"/>
        </w:rPr>
        <w:t>We are not engaged in any material legal proceedings at this time. Refer to Note 13, Commitments and Contingencies, to the condensed consolidated financial statements included in Part I, Item 1 of this Quarterly Report on Form 10-Q.</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business and our industry is subject to numerous risks and uncertainties, including those described in the following Risk Factors. These risks include, but are not limited to, the following:</w:t>
      </w:r>
    </w:p>
    <w:p>
      <w:pPr>
        <w:spacing w:after="0" w:line="62" w:lineRule="exact"/>
        <w:rPr>
          <w:sz w:val="20"/>
          <w:szCs w:val="20"/>
          <w:color w:val="auto"/>
        </w:rPr>
      </w:pPr>
    </w:p>
    <w:p>
      <w:pPr>
        <w:ind w:left="1020" w:right="64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global semiconductor supply shortages and weak economic conditions could adversely affect our business, financial condition, and results of operations.</w:t>
      </w:r>
    </w:p>
    <w:p>
      <w:pPr>
        <w:spacing w:after="0" w:line="62" w:lineRule="exact"/>
        <w:rPr>
          <w:rFonts w:ascii="Arial" w:cs="Arial" w:eastAsia="Arial" w:hAnsi="Arial"/>
          <w:sz w:val="18"/>
          <w:szCs w:val="18"/>
          <w:color w:val="auto"/>
        </w:rPr>
      </w:pPr>
    </w:p>
    <w:p>
      <w:pPr>
        <w:ind w:left="1020" w:right="64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our customers do not design our solutions into their product offerings, or if our customers’ product offerings are not commercially successful, our business would suffer.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9" w:name="page30"/>
    <w:bookmarkEnd w:id="29"/>
    <w:p>
      <w:pPr>
        <w:ind w:left="503" w:right="580" w:hanging="503"/>
        <w:spacing w:after="0" w:line="277"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penetrate new markets, including the automotive original equipment manufacturer (OEM) and advanced driver assistance systems (ADAS) market, our revenue and financial condition could be harmed.</w:t>
      </w:r>
    </w:p>
    <w:p>
      <w:pPr>
        <w:spacing w:after="0" w:line="62" w:lineRule="exact"/>
        <w:rPr>
          <w:rFonts w:ascii="Arial" w:cs="Arial" w:eastAsia="Arial" w:hAnsi="Arial"/>
          <w:sz w:val="18"/>
          <w:szCs w:val="18"/>
          <w:color w:val="auto"/>
        </w:rPr>
      </w:pPr>
    </w:p>
    <w:p>
      <w:pPr>
        <w:ind w:left="503" w:right="460" w:hanging="503"/>
        <w:spacing w:after="0" w:line="277"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develop and introduce new or enhanced solutions that meet market requirements on a timely basis, our ability to attract and retain customers could be impaired and our competitive position could be harmed.</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8"/>
        </w:numPr>
        <w:rPr>
          <w:rFonts w:ascii="Arial" w:cs="Arial" w:eastAsia="Arial" w:hAnsi="Arial"/>
          <w:sz w:val="17"/>
          <w:szCs w:val="17"/>
          <w:color w:val="auto"/>
        </w:rPr>
      </w:pPr>
      <w:r>
        <w:rPr>
          <w:rFonts w:ascii="Arial" w:cs="Arial" w:eastAsia="Arial" w:hAnsi="Arial"/>
          <w:sz w:val="17"/>
          <w:szCs w:val="17"/>
          <w:color w:val="auto"/>
        </w:rPr>
        <w:t>Shortages in, or increased costs of, wafers and materials could adversely impact our gross margins and lead to reduced revenues.</w:t>
      </w:r>
    </w:p>
    <w:p>
      <w:pPr>
        <w:spacing w:after="0" w:line="128" w:lineRule="exact"/>
        <w:rPr>
          <w:rFonts w:ascii="Arial" w:cs="Arial" w:eastAsia="Arial" w:hAnsi="Arial"/>
          <w:sz w:val="17"/>
          <w:szCs w:val="17"/>
          <w:color w:val="auto"/>
        </w:rPr>
      </w:pPr>
    </w:p>
    <w:p>
      <w:pPr>
        <w:ind w:left="503" w:hanging="503"/>
        <w:spacing w:after="0"/>
        <w:tabs>
          <w:tab w:leader="none" w:pos="503"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primary inventory warehouse is located in Hong Kong and may be affected by political, social and economic conditions in Hong Kong.</w:t>
      </w:r>
    </w:p>
    <w:p>
      <w:pPr>
        <w:spacing w:after="0" w:line="140" w:lineRule="exact"/>
        <w:rPr>
          <w:rFonts w:ascii="Arial" w:cs="Arial" w:eastAsia="Arial" w:hAnsi="Arial"/>
          <w:sz w:val="16"/>
          <w:szCs w:val="16"/>
          <w:color w:val="auto"/>
        </w:rPr>
      </w:pPr>
    </w:p>
    <w:p>
      <w:pPr>
        <w:ind w:left="503" w:right="240" w:hanging="503"/>
        <w:spacing w:after="0" w:line="277"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target markets may not grow or develop as we currently expect and are subject to market risks, any of which could harm our business, revenue and operating results.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COVID-19 pandemic has adversely affected our business and could materially and adversely affect our business in the future.</w:t>
      </w:r>
    </w:p>
    <w:p>
      <w:pPr>
        <w:spacing w:after="0" w:line="128" w:lineRule="exact"/>
        <w:rPr>
          <w:rFonts w:ascii="Arial" w:cs="Arial" w:eastAsia="Arial" w:hAnsi="Arial"/>
          <w:sz w:val="17"/>
          <w:szCs w:val="17"/>
          <w:color w:val="auto"/>
        </w:rPr>
      </w:pPr>
    </w:p>
    <w:p>
      <w:pPr>
        <w:ind w:left="503" w:right="320" w:hanging="503"/>
        <w:spacing w:after="0" w:line="277"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62" w:lineRule="exact"/>
        <w:rPr>
          <w:rFonts w:ascii="Arial" w:cs="Arial" w:eastAsia="Arial" w:hAnsi="Arial"/>
          <w:sz w:val="18"/>
          <w:szCs w:val="18"/>
          <w:color w:val="auto"/>
        </w:rPr>
      </w:pPr>
    </w:p>
    <w:p>
      <w:pPr>
        <w:ind w:left="503" w:right="200" w:hanging="503"/>
        <w:spacing w:after="0" w:line="308" w:lineRule="auto"/>
        <w:tabs>
          <w:tab w:leader="none" w:pos="503"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are subject to governmental export and import controls that could subject us to liability or impair our ability to compete in international markets, including China. In addition, our ability to sell our products to certain China customers has been restricted.</w:t>
      </w:r>
    </w:p>
    <w:p>
      <w:pPr>
        <w:spacing w:after="0" w:line="38" w:lineRule="exact"/>
        <w:rPr>
          <w:rFonts w:ascii="Arial" w:cs="Arial" w:eastAsia="Arial" w:hAnsi="Arial"/>
          <w:sz w:val="17"/>
          <w:szCs w:val="17"/>
          <w:color w:val="auto"/>
        </w:rPr>
      </w:pPr>
    </w:p>
    <w:p>
      <w:pPr>
        <w:ind w:left="503" w:right="280" w:hanging="503"/>
        <w:spacing w:after="0" w:line="277"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economic and political conditions, including high inflation and trade restrictions, recessionary concerns and trade restrictions, may impact our business and financial condition in ways that we currently cannot predict.</w:t>
      </w:r>
    </w:p>
    <w:p>
      <w:pPr>
        <w:spacing w:after="0" w:line="62" w:lineRule="exact"/>
        <w:rPr>
          <w:rFonts w:ascii="Arial" w:cs="Arial" w:eastAsia="Arial" w:hAnsi="Arial"/>
          <w:sz w:val="18"/>
          <w:szCs w:val="18"/>
          <w:color w:val="auto"/>
        </w:rPr>
      </w:pPr>
    </w:p>
    <w:p>
      <w:pPr>
        <w:ind w:left="503" w:right="280" w:hanging="503"/>
        <w:spacing w:after="0" w:line="277"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depend on a limited number of customers and end customers for a significant portion of our revenue. If we fail to retain or expand our customer relationships, our revenue could decline.</w:t>
      </w:r>
    </w:p>
    <w:p>
      <w:pPr>
        <w:spacing w:after="0" w:line="62" w:lineRule="exact"/>
        <w:rPr>
          <w:rFonts w:ascii="Arial" w:cs="Arial" w:eastAsia="Arial" w:hAnsi="Arial"/>
          <w:sz w:val="18"/>
          <w:szCs w:val="18"/>
          <w:color w:val="auto"/>
        </w:rPr>
      </w:pPr>
    </w:p>
    <w:p>
      <w:pPr>
        <w:ind w:left="503" w:right="440" w:hanging="503"/>
        <w:spacing w:after="0" w:line="342" w:lineRule="auto"/>
        <w:tabs>
          <w:tab w:leader="none" w:pos="503" w:val="left"/>
        </w:tabs>
        <w:numPr>
          <w:ilvl w:val="0"/>
          <w:numId w:val="8"/>
        </w:numPr>
        <w:rPr>
          <w:rFonts w:ascii="Arial" w:cs="Arial" w:eastAsia="Arial" w:hAnsi="Arial"/>
          <w:sz w:val="16"/>
          <w:szCs w:val="16"/>
          <w:color w:val="auto"/>
        </w:rPr>
      </w:pPr>
      <w:r>
        <w:rPr>
          <w:rFonts w:ascii="Arial" w:cs="Arial" w:eastAsia="Arial" w:hAnsi="Arial"/>
          <w:sz w:val="16"/>
          <w:szCs w:val="16"/>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15" w:lineRule="exact"/>
        <w:rPr>
          <w:rFonts w:ascii="Arial" w:cs="Arial" w:eastAsia="Arial" w:hAnsi="Arial"/>
          <w:sz w:val="16"/>
          <w:szCs w:val="16"/>
          <w:color w:val="auto"/>
        </w:rPr>
      </w:pPr>
    </w:p>
    <w:p>
      <w:pPr>
        <w:ind w:left="503" w:right="400" w:hanging="503"/>
        <w:spacing w:after="0" w:line="263"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75" w:lineRule="exact"/>
        <w:rPr>
          <w:rFonts w:ascii="Arial" w:cs="Arial" w:eastAsia="Arial" w:hAnsi="Arial"/>
          <w:sz w:val="18"/>
          <w:szCs w:val="18"/>
          <w:color w:val="auto"/>
        </w:rPr>
      </w:pPr>
    </w:p>
    <w:p>
      <w:pPr>
        <w:ind w:left="503" w:hanging="503"/>
        <w:spacing w:after="0"/>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expect competition to increase in the future, which could have an adverse effect on our revenue and market share.</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A breach of our security systems may have a material adverse effect on our business.</w:t>
      </w:r>
    </w:p>
    <w:p>
      <w:pPr>
        <w:spacing w:after="0" w:line="117" w:lineRule="exact"/>
        <w:rPr>
          <w:rFonts w:ascii="Arial" w:cs="Arial" w:eastAsia="Arial" w:hAnsi="Arial"/>
          <w:sz w:val="18"/>
          <w:szCs w:val="18"/>
          <w:color w:val="auto"/>
        </w:rPr>
      </w:pPr>
    </w:p>
    <w:p>
      <w:pPr>
        <w:ind w:left="503" w:hanging="503"/>
        <w:spacing w:after="0" w:line="277"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While we intend to continue to invest in research and development, we may be unable to make the substantial investments that are required to remain competitive in our business.</w:t>
      </w:r>
    </w:p>
    <w:p>
      <w:pPr>
        <w:spacing w:after="0" w:line="62" w:lineRule="exact"/>
        <w:rPr>
          <w:rFonts w:ascii="Arial" w:cs="Arial" w:eastAsia="Arial" w:hAnsi="Arial"/>
          <w:sz w:val="18"/>
          <w:szCs w:val="18"/>
          <w:color w:val="auto"/>
        </w:rPr>
      </w:pPr>
    </w:p>
    <w:p>
      <w:pPr>
        <w:ind w:left="503" w:right="240" w:hanging="503"/>
        <w:spacing w:after="0" w:line="277"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highly skilled personnel and, if we are unable to hire, retain or motivate key personnel, we may not be able to grow effectively. Similarly, the loss of any of our key personnel could seriously harm our business.</w:t>
      </w:r>
    </w:p>
    <w:p>
      <w:pPr>
        <w:spacing w:after="0" w:line="62" w:lineRule="exact"/>
        <w:rPr>
          <w:rFonts w:ascii="Arial" w:cs="Arial" w:eastAsia="Arial" w:hAnsi="Arial"/>
          <w:sz w:val="18"/>
          <w:szCs w:val="18"/>
          <w:color w:val="auto"/>
        </w:rPr>
      </w:pPr>
    </w:p>
    <w:p>
      <w:pPr>
        <w:ind w:left="503" w:right="300" w:hanging="503"/>
        <w:spacing w:after="0" w:line="277"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average selling prices of semiconductor solutions in our target markets have typically decreased over time and will likely do so in the future, which could harm our revenue and gross margins.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are unable to manage any future growth, we may not be able to execute our business plan and our operating results could suffer.</w:t>
      </w:r>
    </w:p>
    <w:p>
      <w:pPr>
        <w:spacing w:after="0" w:line="128" w:lineRule="exact"/>
        <w:rPr>
          <w:rFonts w:ascii="Arial" w:cs="Arial" w:eastAsia="Arial" w:hAnsi="Arial"/>
          <w:sz w:val="17"/>
          <w:szCs w:val="17"/>
          <w:color w:val="auto"/>
        </w:rPr>
      </w:pPr>
    </w:p>
    <w:p>
      <w:pPr>
        <w:ind w:left="503" w:hanging="503"/>
        <w:spacing w:after="0"/>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Deterioration of the financial conditions of our customers could adversely affect our operating results.</w:t>
      </w:r>
    </w:p>
    <w:p>
      <w:pPr>
        <w:spacing w:after="0" w:line="117" w:lineRule="exact"/>
        <w:rPr>
          <w:rFonts w:ascii="Arial" w:cs="Arial" w:eastAsia="Arial" w:hAnsi="Arial"/>
          <w:sz w:val="18"/>
          <w:szCs w:val="18"/>
          <w:color w:val="auto"/>
        </w:rPr>
      </w:pPr>
    </w:p>
    <w:p>
      <w:pPr>
        <w:ind w:left="503" w:right="420" w:hanging="503"/>
        <w:spacing w:after="0" w:line="277"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the cyclical nature of the semiconductor industry. We may have difficulty accurately predicting our future revenue and appropriately budgeting our expenses.</w:t>
      </w:r>
    </w:p>
    <w:p>
      <w:pPr>
        <w:spacing w:after="0" w:line="62" w:lineRule="exact"/>
        <w:rPr>
          <w:rFonts w:ascii="Arial" w:cs="Arial" w:eastAsia="Arial" w:hAnsi="Arial"/>
          <w:sz w:val="18"/>
          <w:szCs w:val="18"/>
          <w:color w:val="auto"/>
        </w:rPr>
      </w:pPr>
    </w:p>
    <w:p>
      <w:pPr>
        <w:ind w:left="503" w:right="360" w:hanging="503"/>
        <w:spacing w:after="0" w:line="263"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75" w:lineRule="exact"/>
        <w:rPr>
          <w:rFonts w:ascii="Arial" w:cs="Arial" w:eastAsia="Arial" w:hAnsi="Arial"/>
          <w:sz w:val="18"/>
          <w:szCs w:val="18"/>
          <w:color w:val="auto"/>
        </w:rPr>
      </w:pPr>
    </w:p>
    <w:p>
      <w:pPr>
        <w:ind w:left="503" w:right="180" w:hanging="503"/>
        <w:spacing w:after="0" w:line="277"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experience difficulties transitioning to new wafer fabrication process technologies or achieving higher levels of design integration, which may result in reduced manufacturing yields, delays in product deliveries and increased costs.</w:t>
      </w:r>
    </w:p>
    <w:p>
      <w:pPr>
        <w:spacing w:after="0" w:line="62" w:lineRule="exact"/>
        <w:rPr>
          <w:rFonts w:ascii="Arial" w:cs="Arial" w:eastAsia="Arial" w:hAnsi="Arial"/>
          <w:sz w:val="18"/>
          <w:szCs w:val="18"/>
          <w:color w:val="auto"/>
        </w:rPr>
      </w:pPr>
    </w:p>
    <w:p>
      <w:pPr>
        <w:ind w:left="503" w:right="40" w:hanging="503"/>
        <w:spacing w:after="0" w:line="277"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Rapidly changing industry standards could make our video and image processing solutions obsolete, which would cause our operating results to suffer.</w:t>
      </w:r>
    </w:p>
    <w:p>
      <w:pPr>
        <w:spacing w:after="0" w:line="170"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33" w:right="339" w:bottom="1440" w:gutter="0" w:footer="0" w:header="0"/>
        </w:sectPr>
      </w:pPr>
    </w:p>
    <w:bookmarkStart w:id="30" w:name="page31"/>
    <w:bookmarkEnd w:id="30"/>
    <w:p>
      <w:pPr>
        <w:jc w:val="both"/>
        <w:ind w:left="503" w:right="340" w:hanging="503"/>
        <w:spacing w:after="0" w:line="342" w:lineRule="auto"/>
        <w:tabs>
          <w:tab w:leader="none" w:pos="503" w:val="left"/>
        </w:tabs>
        <w:numPr>
          <w:ilvl w:val="0"/>
          <w:numId w:val="9"/>
        </w:numPr>
        <w:rPr>
          <w:rFonts w:ascii="Arial" w:cs="Arial" w:eastAsia="Arial" w:hAnsi="Arial"/>
          <w:sz w:val="16"/>
          <w:szCs w:val="16"/>
          <w:color w:val="auto"/>
        </w:rPr>
      </w:pPr>
      <w:r>
        <w:rPr>
          <w:rFonts w:ascii="Arial" w:cs="Arial" w:eastAsia="Arial" w:hAnsi="Arial"/>
          <w:sz w:val="16"/>
          <w:szCs w:val="16"/>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5" w:lineRule="exact"/>
        <w:rPr>
          <w:rFonts w:ascii="Arial" w:cs="Arial" w:eastAsia="Arial" w:hAnsi="Arial"/>
          <w:sz w:val="16"/>
          <w:szCs w:val="16"/>
          <w:color w:val="auto"/>
        </w:rPr>
      </w:pPr>
    </w:p>
    <w:p>
      <w:pPr>
        <w:ind w:left="503" w:right="20" w:hanging="503"/>
        <w:spacing w:after="0" w:line="277" w:lineRule="auto"/>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acquisitions we may make in the future could disrupt our business, cause dilution to our shareholders, reduce our financial resources and harm our business.</w:t>
      </w:r>
    </w:p>
    <w:p>
      <w:pPr>
        <w:spacing w:after="0" w:line="62" w:lineRule="exact"/>
        <w:rPr>
          <w:rFonts w:ascii="Arial" w:cs="Arial" w:eastAsia="Arial" w:hAnsi="Arial"/>
          <w:sz w:val="18"/>
          <w:szCs w:val="18"/>
          <w:color w:val="auto"/>
        </w:rPr>
      </w:pPr>
    </w:p>
    <w:p>
      <w:pPr>
        <w:ind w:left="503" w:right="120" w:hanging="503"/>
        <w:spacing w:after="0" w:line="277" w:lineRule="auto"/>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tax risks, including relating to the complexity of calculating our tax provision, changes in effective tax rates, or unfavorable tax law changes.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9"/>
        </w:numPr>
        <w:rPr>
          <w:rFonts w:ascii="Arial" w:cs="Arial" w:eastAsia="Arial" w:hAnsi="Arial"/>
          <w:sz w:val="17"/>
          <w:szCs w:val="17"/>
          <w:color w:val="auto"/>
        </w:rPr>
      </w:pPr>
      <w:r>
        <w:rPr>
          <w:rFonts w:ascii="Arial" w:cs="Arial" w:eastAsia="Arial" w:hAnsi="Arial"/>
          <w:sz w:val="17"/>
          <w:szCs w:val="17"/>
          <w:color w:val="auto"/>
        </w:rPr>
        <w:t>Fluctuations in our operating results on a quarterly and annual basis could cause the market price of our ordinary shares to decline.</w:t>
      </w:r>
    </w:p>
    <w:p>
      <w:pPr>
        <w:spacing w:after="0" w:line="128" w:lineRule="exact"/>
        <w:rPr>
          <w:rFonts w:ascii="Arial" w:cs="Arial" w:eastAsia="Arial" w:hAnsi="Arial"/>
          <w:sz w:val="17"/>
          <w:szCs w:val="17"/>
          <w:color w:val="auto"/>
        </w:rPr>
      </w:pPr>
    </w:p>
    <w:p>
      <w:pPr>
        <w:ind w:left="503" w:hanging="503"/>
        <w:spacing w:after="0"/>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do not generate revenue growth, we may not be able to execute our business plan and our operating results could suffer.</w:t>
      </w:r>
    </w:p>
    <w:p>
      <w:pPr>
        <w:spacing w:after="0" w:line="117" w:lineRule="exact"/>
        <w:rPr>
          <w:rFonts w:ascii="Arial" w:cs="Arial" w:eastAsia="Arial" w:hAnsi="Arial"/>
          <w:sz w:val="18"/>
          <w:szCs w:val="18"/>
          <w:color w:val="auto"/>
        </w:rPr>
      </w:pPr>
    </w:p>
    <w:p>
      <w:pPr>
        <w:ind w:left="503" w:right="80" w:hanging="503"/>
        <w:spacing w:after="0" w:line="277" w:lineRule="auto"/>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do not have long-term supply contracts with our third-party manufacturing vendors, and they may not allocate sufficient capacity to us at reasonable prices to meet future demands for our solutions.</w:t>
      </w:r>
    </w:p>
    <w:p>
      <w:pPr>
        <w:spacing w:after="0" w:line="62" w:lineRule="exact"/>
        <w:rPr>
          <w:rFonts w:ascii="Arial" w:cs="Arial" w:eastAsia="Arial" w:hAnsi="Arial"/>
          <w:sz w:val="18"/>
          <w:szCs w:val="18"/>
          <w:color w:val="auto"/>
        </w:rPr>
      </w:pPr>
    </w:p>
    <w:p>
      <w:pPr>
        <w:ind w:left="503" w:right="320" w:hanging="503"/>
        <w:spacing w:after="0" w:line="277" w:lineRule="auto"/>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customers incorporate components supplied by multiple third parties, and a supply shortage or delay in delivery of these components could delay orders for our solutions by our customers.</w:t>
      </w:r>
    </w:p>
    <w:p>
      <w:pPr>
        <w:spacing w:after="0" w:line="62" w:lineRule="exact"/>
        <w:rPr>
          <w:rFonts w:ascii="Arial" w:cs="Arial" w:eastAsia="Arial" w:hAnsi="Arial"/>
          <w:sz w:val="18"/>
          <w:szCs w:val="18"/>
          <w:color w:val="auto"/>
        </w:rPr>
      </w:pPr>
    </w:p>
    <w:p>
      <w:pPr>
        <w:ind w:left="503" w:hanging="503"/>
        <w:spacing w:after="0" w:line="263" w:lineRule="auto"/>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75" w:lineRule="exact"/>
        <w:rPr>
          <w:rFonts w:ascii="Arial" w:cs="Arial" w:eastAsia="Arial" w:hAnsi="Arial"/>
          <w:sz w:val="18"/>
          <w:szCs w:val="18"/>
          <w:color w:val="auto"/>
        </w:rPr>
      </w:pPr>
    </w:p>
    <w:p>
      <w:pPr>
        <w:ind w:left="503" w:right="380" w:hanging="503"/>
        <w:spacing w:after="0" w:line="277" w:lineRule="auto"/>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substantial portion of our revenue is processed through a single distributor and the loss of this distributor may cause disruptions in our shipments, which may adversely affect our operations and financial condition.</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risks associated with our distributors' product inventories.</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rely on various third party vendors, service providers and contractors in the operation of our business.</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warranty and product liability claims and to product recalls.</w:t>
      </w:r>
    </w:p>
    <w:p>
      <w:pPr>
        <w:spacing w:after="0" w:line="117" w:lineRule="exact"/>
        <w:rPr>
          <w:rFonts w:ascii="Arial" w:cs="Arial" w:eastAsia="Arial" w:hAnsi="Arial"/>
          <w:sz w:val="18"/>
          <w:szCs w:val="18"/>
          <w:color w:val="auto"/>
        </w:rPr>
      </w:pPr>
    </w:p>
    <w:p>
      <w:pPr>
        <w:ind w:left="503" w:right="480" w:hanging="503"/>
        <w:spacing w:after="0" w:line="277" w:lineRule="auto"/>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numerous regulatory compliance requirements, which are costly to comply with, and our failure to comply with these requirements could harm our business and operating results.</w:t>
      </w:r>
    </w:p>
    <w:p>
      <w:pPr>
        <w:spacing w:after="0" w:line="62" w:lineRule="exact"/>
        <w:rPr>
          <w:rFonts w:ascii="Arial" w:cs="Arial" w:eastAsia="Arial" w:hAnsi="Arial"/>
          <w:sz w:val="18"/>
          <w:szCs w:val="18"/>
          <w:color w:val="auto"/>
        </w:rPr>
      </w:pPr>
    </w:p>
    <w:p>
      <w:pPr>
        <w:ind w:left="503" w:right="40" w:hanging="503"/>
        <w:spacing w:after="0" w:line="263" w:lineRule="auto"/>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 parties’ assertions of infringement of their intellectual property rights could result in our having to incur significant costs and cause our operating results to suffer. Any potential dispute involving our intellectual property could affect our customers, which could trigger our indemnification obligations to them and result in substantial expense to us.</w:t>
      </w:r>
    </w:p>
    <w:p>
      <w:pPr>
        <w:spacing w:after="0" w:line="184"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3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b w:val="1"/>
          <w:bCs w:val="1"/>
          <w:i w:val="1"/>
          <w:iCs w:val="1"/>
          <w:color w:val="auto"/>
        </w:rPr>
        <w:t>Impacts of the global semiconductor supply shortage and uncertain macroeconomic conditions could adversely affect our business, financial condition, and results of operations.</w:t>
      </w:r>
    </w:p>
    <w:p>
      <w:pPr>
        <w:spacing w:after="0" w:line="170"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During the COVID-19 global pandemic, various restrictions were put in place causing a temporary decline in demand for certain items. As restrictions began easing across the world, an increase in demand for products containing semiconductor chips exacerbated bottlenecks in the supply chain, resulting in a global semiconductor supply shortage impacting our industry, which resulted in a lengthening of the manufacturing lead time for our products and impacting the normal forecasting and ordering patterns of our customers. While we work closely with our suppliers and customers to minimize the potential adverse impacts of these considerations of supply shortage and longer lead times, we have experienced increased volatility in our business. In recent periods, some customers have indicated they are reducing their inventory levels as lead times for semiconductor chips and other components used by customers begin to shrink, which has reduced, and may continue to reduce, such customers’ demand for our products and harm our financial results. Weak economic conditions or uncertain demand for their products may exacerbate such customers’ inventory reduction efforts, further impacting such customers’ demand for our products. To the extent customers face supply chain issues with respect to other components needed to pair with our products in order to produce their end products, such customers may delay future orders of our products or hold inventory of our products for longer periods of time. With respect to our suppliers, we have in the past experienced supply constraints for certain chips from Samsung and we may in the future experience similar issues. Impacts of the global supply shortages and uncertainty in customer demand and the worldwide economy in general may be exacerbated by the impacts of high inflation and global banking concerns, and we may experience increased volatility in sales and revenues as a result.</w:t>
      </w:r>
    </w:p>
    <w:p>
      <w:pPr>
        <w:spacing w:after="0" w:line="174"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170" w:lineRule="exact"/>
        <w:rPr>
          <w:sz w:val="20"/>
          <w:szCs w:val="20"/>
          <w:color w:val="auto"/>
        </w:rPr>
      </w:pPr>
    </w:p>
    <w:p>
      <w:pPr>
        <w:ind w:right="80" w:firstLine="509"/>
        <w:spacing w:after="0" w:line="287" w:lineRule="auto"/>
        <w:rPr>
          <w:sz w:val="20"/>
          <w:szCs w:val="20"/>
          <w:color w:val="auto"/>
        </w:rPr>
      </w:pPr>
      <w:r>
        <w:rPr>
          <w:rFonts w:ascii="Arial" w:cs="Arial" w:eastAsia="Arial" w:hAnsi="Arial"/>
          <w:sz w:val="16"/>
          <w:szCs w:val="16"/>
          <w:color w:val="auto"/>
        </w:rPr>
        <w:t>We sell our video and image processing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We also face certain competitive disadvantages in these markets relative to larger competitors that have significantly more resources and a longer history working with OEMs and ODMs in these markets. In addition, trade tensions between the United States and China and potential new export restrictions may make it more difficult to secure future design wins with China customers.</w:t>
      </w:r>
    </w:p>
    <w:p>
      <w:pPr>
        <w:spacing w:after="0" w:line="168" w:lineRule="exact"/>
        <w:rPr>
          <w:sz w:val="20"/>
          <w:szCs w:val="20"/>
          <w:color w:val="auto"/>
        </w:rPr>
      </w:pPr>
    </w:p>
    <w:p>
      <w:pPr>
        <w:ind w:right="120" w:firstLine="509"/>
        <w:spacing w:after="0" w:line="296" w:lineRule="auto"/>
        <w:rPr>
          <w:sz w:val="20"/>
          <w:szCs w:val="20"/>
          <w:color w:val="auto"/>
        </w:rPr>
      </w:pPr>
      <w:r>
        <w:rPr>
          <w:rFonts w:ascii="Arial" w:cs="Arial" w:eastAsia="Arial" w:hAnsi="Arial"/>
          <w:sz w:val="16"/>
          <w:szCs w:val="16"/>
          <w:color w:val="auto"/>
        </w:rPr>
        <w:t>Even if an OEM designs one of our SoC solutions into its product, we cannot be assured that the OEM’s product will be commercially successful over time or at all. For example, in the past we have secured design wins for customer products that were never commercially released by our customer or did not sell in volumes initially forecast by the customer, as a result of factors beyond our control. If products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If we fail to penetrate new markets, including the automotive OEM and ADAS market, our revenue and financial condition could be harmed.</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2" w:name="page33"/>
    <w:bookmarkEnd w:id="32"/>
    <w:p>
      <w:pPr>
        <w:ind w:right="20" w:firstLine="509"/>
        <w:spacing w:after="0" w:line="286" w:lineRule="auto"/>
        <w:rPr>
          <w:sz w:val="20"/>
          <w:szCs w:val="20"/>
          <w:color w:val="auto"/>
        </w:rPr>
      </w:pPr>
      <w:r>
        <w:rPr>
          <w:rFonts w:ascii="Arial" w:cs="Arial" w:eastAsia="Arial" w:hAnsi="Arial"/>
          <w:sz w:val="16"/>
          <w:szCs w:val="16"/>
          <w:color w:val="auto"/>
        </w:rPr>
        <w:t>We believe that our future revenue growth, if any, significantly depends on our ability to expand within the Internet of Things, or IoT, camera markets with our new artificial intelligence, or AI, computer vision SoC solutions, and the OEM automotive, robotics and industrial markets. Our AI computer vision SoC solutions have functionality that may also be applicable to other developing markets, such as processing of large language models (LLMs). Each of these markets presents distinct and substantial risks and, in many cases, requires us to develop new functionality or software to address the particular requirements of that market. If any of these markets do not develop as we currently anticipate, the technical requirements of these markets evolve in ways we do not anticipate, the development of such markets is delayed or impacted by factors outside of our control, or if we are unable to penetrate them successfully with our solutions, our revenue could decline and our financial condition would be negatively impacted. 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requires a substantial investment of our time and resources and we cannot assure you that we will secure design wins from these or other companies or that we will achieve meaningful revenue from the sales of our solutions into these markets. In addition, we face competition from larger competitors with greater resources and more history in these markets, which may put us at a competitive disadvantage to these larger competitors. If we fail to penetrate these or other new markets we are targeting, our financial condition would likely suffer. Moreover, if we are successful in achieving design wins in these new markets, it will likely take longer to generate revenue from such design wins than in our traditional markets.</w:t>
      </w:r>
    </w:p>
    <w:p>
      <w:pPr>
        <w:spacing w:after="0" w:line="17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b w:val="1"/>
          <w:bCs w:val="1"/>
          <w:i w:val="1"/>
          <w:iCs w:val="1"/>
          <w:color w:val="auto"/>
        </w:rPr>
        <w:t>If we fail to develop and introduce new or enhanced solutions that meet market requirements on a timely basis, our ability to attract and retain customers could be impaired and our competitive position could be harmed.</w:t>
      </w:r>
    </w:p>
    <w:p>
      <w:pPr>
        <w:spacing w:after="0" w:line="17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operate in a dynamic environment characterized by rapidly changing technologies. To compete successfully, we must design, develop, market and sell enhanced solutions that provide increasingly higher levels of performance and functionality and that meet the technical and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applicable to our solutions; or the requirement of additional functionality included in video processors. In addition, some of the markets for our solutions are characterized by frequent introduction of next-generation and new products, short product life cycles, increasing demand for added functionality and significant price competition. As we develop and introduce new solutions, we also face the risk that customers may not value or be willing to bear the cost of incorporating these newer solutions into their products, particularly if they believe their customers are satisfied with current solutions. Regardless of the improved features or superior performance of the newer solutions, customers may be unwilling to adopt our new solutions due to design or pricing constraints. If we or our customers are unable to manage product transitions in a timely and cost-effective manner, our business and results of operations would suffer.</w:t>
      </w:r>
    </w:p>
    <w:p>
      <w:pPr>
        <w:spacing w:after="0" w:line="182"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need to establish and maintain relationships with third-party suppliers or software providers in order to effectively market our solutions to end-customers. Failure to establish these relationships could harm our ability to achieve design wins. Delays in product development could impair our relationships with our customers and negatively impact sales of our solutions under development. If we fail to introduce new or enhanced solutions that meet the needs of our customers or penetrate new markets in a timely fashion, we will lose market share, and our operating results will be adversely affected.</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Shortages in, or increased costs of, wafers and materials could adversely impact our gross margins and lead to reduced revenues.</w:t>
      </w:r>
    </w:p>
    <w:p>
      <w:pPr>
        <w:spacing w:after="0" w:line="23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Worldwide manufacturing capacity for silicon wafers is relatively inelastic. If the demand for silicon wafers or assembly material exceeds market supply, our supply of silicon wafers or assembly material could quickly become limited or prohibitively expensive. Silicon wafers constitute a material portion of our product cost and if we are unable to purchase wafers at favorable prices, our results of operations and financial condition will be adversely affected. The semiconductor industry has recently experienced significant shortages of manufacturing capacity, which resulted in a lengthening of the manufacturing lead time for our products and which has at times harmed our revenue. While this capacity shortage has improved, lead times for our products remain longer than normal, which could negatively impact our ability to meet our customer’s demand for our products and have an adverse impact on our revenue, results of operations and customer relationships. We have also experienced, during times of supply chain capacity shortages, customers placing orders for our products that exceed their actual demand, which may lead to us manufacturing a surplus of products and could have a negative impact on our results of operations and cash reserves and lead to our customers having excess inventory. In recent periods, some customers have indicated they are reducing their inventory levels as lead times for semiconductor chips and other components used by customers shrink, which may reduce such customers’ demand for our products in future periods and harm our financial results.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ind w:firstLine="509"/>
        <w:spacing w:after="0" w:line="277" w:lineRule="auto"/>
        <w:rPr>
          <w:sz w:val="20"/>
          <w:szCs w:val="20"/>
          <w:color w:val="auto"/>
        </w:rPr>
      </w:pPr>
      <w:r>
        <w:rPr>
          <w:rFonts w:ascii="Arial" w:cs="Arial" w:eastAsia="Arial" w:hAnsi="Arial"/>
          <w:sz w:val="18"/>
          <w:szCs w:val="18"/>
          <w:b w:val="1"/>
          <w:bCs w:val="1"/>
          <w:i w:val="1"/>
          <w:iCs w:val="1"/>
          <w:color w:val="auto"/>
        </w:rPr>
        <w:t>Our primary inventory warehouse is located in Hong Kong and may be affected by continued political, social, health and economic conditions in Hong Kong.</w:t>
      </w:r>
    </w:p>
    <w:p>
      <w:pPr>
        <w:spacing w:after="0" w:line="170"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We operate a warehouse facility in Hong Kong through which the substantial majority of our finished SoCs are shipped to customers or our logistic partners. Hong Kong has experienced, and continues to experience, political unrest and social strife in addition to the impact of the COVID-19 pandemic. The Bureau of Industry and Security, or BIS, has imposed restrictions on exports and reexports of U.S.-controlled items to Hong Kong by imposing on Hong Kong the same stringent licensing requirements applicable to China. It is possible that the U.S. government may take future measures to impose stricter export controls or duties on shipments made to Hong Kong, which could harm our business, increase the cost of conducting our operations in Hong Kong or result in retaliatory actions against U.S. interests.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addition, we could be forced to relocate our warehouse operations, either temporarily or permanently, to another potentially costlier location (or a location resulting in higher tax costs) or find alternative potentially costlier methods of shipping our finished SoCs to customers and logistic partners.</w:t>
      </w:r>
    </w:p>
    <w:p>
      <w:pPr>
        <w:spacing w:after="0" w:line="172"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b w:val="1"/>
          <w:bCs w:val="1"/>
          <w:i w:val="1"/>
          <w:iCs w:val="1"/>
          <w:color w:val="auto"/>
        </w:rPr>
        <w:t>Our target markets may not grow or develop as we currently expect and are subject to market risks, any of which could harm our business, revenue and operating results.</w:t>
      </w:r>
    </w:p>
    <w:p>
      <w:pPr>
        <w:spacing w:after="0" w:line="170"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are focusing our development resources on addressing computer vision applications, primarily in the automotive and IoT markets. The application of computer vision functionality in these markets is relatively new, and we may be unable to predict the timing or development of these markets with accuracy. For example, a slower than expected adoption rate for computer vision technology in automotive or IP security camera applications could slow the demand for our new solutions. If our key target markets do not grow, grow slower, or do not develop in ways that we currently expect, demand for our SoCs may not materialize as expected, and our business and operating results could suffer.</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The COVID-19 pandemic has adversely affected our business and could materially and adversely affect our business in the future.</w:t>
      </w:r>
    </w:p>
    <w:p>
      <w:pPr>
        <w:spacing w:after="0" w:line="237" w:lineRule="exact"/>
        <w:rPr>
          <w:sz w:val="20"/>
          <w:szCs w:val="20"/>
          <w:color w:val="auto"/>
        </w:rPr>
      </w:pPr>
    </w:p>
    <w:p>
      <w:pPr>
        <w:ind w:right="220" w:firstLine="509"/>
        <w:spacing w:after="0" w:line="270" w:lineRule="auto"/>
        <w:rPr>
          <w:sz w:val="20"/>
          <w:szCs w:val="20"/>
          <w:color w:val="auto"/>
        </w:rPr>
      </w:pPr>
      <w:r>
        <w:rPr>
          <w:rFonts w:ascii="Arial" w:cs="Arial" w:eastAsia="Arial" w:hAnsi="Arial"/>
          <w:sz w:val="17"/>
          <w:szCs w:val="17"/>
          <w:color w:val="auto"/>
        </w:rPr>
        <w:t>Our business has been, and may in the future be, adversely impacted by the effects of the COVID-19 pandemic. In addition to global macroeconomic effects, the COVID-19 pandemic and related adverse public health developments caused, and may again cause, disruption to our operations. We have had to impose remote or work from home conditions at different times for varying periods of time in most of our offices. Approximately 350 of our employees are located in Taiwan and approximately 230 employees are located in China, and lengthy closures of these offices could significantly disrupt our software engineering and customer support operations. In addition, we and our suppliers, third-party distributors and customers have been, and may in the future again be, disrupted by quarantines and restrictions on certain employees’ ability to perform their jobs, office closures or restrictions, disruptions to shipping infrastructure, or other travel or health-related restrictions. Moreover, if there is a significant COVID-19 outbreak that impacts Samsung’s ability to manufacture our SoCs or our third-party contractors’ ability to assemble, test and ship our products, we could experience delays or reductions in our ability to ship products to our customers.</w:t>
      </w:r>
    </w:p>
    <w:p>
      <w:pPr>
        <w:spacing w:after="0" w:line="181"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Since fiscal year 2023, we have experienced, and we expect to continue to experience, a significant disruption of orders by customers. During the first half of fiscal year 2023, we experienced a significant increase in the manufacturing lead time for our products, including supply constraints for certain chips from Samsung Electronics Corporation (Samsung), which disrupted the normal ordering patterns of our customers and harmed our revenue, but which may have in turn led to increased customer demand for our products in order to increase their inventory levels. In recent periods, some customers have sought to reduce their inventory levels as lead times for semiconductor chips and other components used by customers shrink, which has reduced, and may continue to reduce, such customers’ demand for our products in future periods. Weak or uncertain economic conditions, including high inflation or reduced market demand, may exacerbate these risks. In addition, decreased consumer demand from the impact of pandemic lockdowns in China contributed to, and could in the future contribute to, decreased revenue in consumer-related markets.</w:t>
      </w:r>
    </w:p>
    <w:p>
      <w:pPr>
        <w:spacing w:after="0" w:line="178"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 w:name="page35"/>
    <w:bookmarkEnd w:id="34"/>
    <w:p>
      <w:pPr>
        <w:ind w:right="60" w:firstLine="509"/>
        <w:spacing w:after="0" w:line="272" w:lineRule="auto"/>
        <w:rPr>
          <w:sz w:val="20"/>
          <w:szCs w:val="20"/>
          <w:color w:val="auto"/>
        </w:rPr>
      </w:pPr>
      <w:r>
        <w:rPr>
          <w:rFonts w:ascii="Arial" w:cs="Arial" w:eastAsia="Arial" w:hAnsi="Arial"/>
          <w:sz w:val="17"/>
          <w:szCs w:val="17"/>
          <w:color w:val="auto"/>
        </w:rPr>
        <w:t>Our customers typically do not provide us with firm, long-term purchase commitments. A substantial majority of our sales are made on a purchase order basis, which permits our customers to cancel, change or delay their product purchase commitments with little or no notice to us and often without penalty to them. Because production lead times often exceed the amount of time required by our customers to fill their orders, we often must build SoCs in advance of receiving orders from customers, relying on an imperfect demand forecast to project volumes and product mix. As a result of a number of factors, including longer manufacturing times for our products and increased demand from customers during fiscal year 2023, we have increased our inventory levels in the near term. In recent periods, some customers have indicated they are reducing their inventory levels of our products, which may reduce such customers’ demand for our products in future quarters.</w:t>
      </w:r>
    </w:p>
    <w:p>
      <w:pPr>
        <w:spacing w:after="0" w:line="177"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changes in market conditions including reductions in market activity due to the COVID-19 pandemic, adverse changes in our product order mix and fluctuating demand for our customers’ products. Even after an order is received, our customers may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w:t>
      </w:r>
    </w:p>
    <w:p>
      <w:pPr>
        <w:spacing w:after="0" w:line="177"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w:t>
      </w:r>
    </w:p>
    <w:p>
      <w:pPr>
        <w:spacing w:after="0" w:line="188"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170" w:lineRule="exact"/>
        <w:rPr>
          <w:sz w:val="20"/>
          <w:szCs w:val="20"/>
          <w:color w:val="auto"/>
        </w:rPr>
      </w:pPr>
    </w:p>
    <w:p>
      <w:pPr>
        <w:ind w:right="80" w:firstLine="509"/>
        <w:spacing w:after="0" w:line="286" w:lineRule="auto"/>
        <w:rPr>
          <w:sz w:val="20"/>
          <w:szCs w:val="20"/>
          <w:color w:val="auto"/>
        </w:rPr>
      </w:pPr>
      <w:r>
        <w:rPr>
          <w:rFonts w:ascii="Arial" w:cs="Arial" w:eastAsia="Arial" w:hAnsi="Arial"/>
          <w:sz w:val="16"/>
          <w:szCs w:val="16"/>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2023, the customers representing 10% or more of our revenue were WT Microelectronics Co., Ltd., or WT, which serves as our non-exclusive sales representative and fulfillment partner in Asia other than Japan, and Chicony Electronics Co., Ltd., or Chicony, one ODM which manufactures devices incorporating our solutions on behalf of multiple end-customers, accounted for approximately 57% and 12% of total revenue, respectively. For the six months ended July 31, 2023, the customers representing 10% or more of the revenue were WT and Chicony, which accounted for approximately 52% and 15% of total revenue, respectively. In addition, we believe that revenue from our top 10 end customers, either directly or through a distributor or an ODM, accounted for approximately 47% of our total revenue in fiscal year 2023 and accounted for approximately 55% of our total revenue for the six months ended July 31, 2023. We believe that our operating results for the foreseeable future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which has happened in the past.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w:t>
      </w:r>
    </w:p>
    <w:p>
      <w:pPr>
        <w:spacing w:after="0" w:line="167" w:lineRule="exact"/>
        <w:rPr>
          <w:sz w:val="20"/>
          <w:szCs w:val="20"/>
          <w:color w:val="auto"/>
        </w:rPr>
      </w:pPr>
    </w:p>
    <w:p>
      <w:pPr>
        <w:ind w:right="140" w:firstLine="509"/>
        <w:spacing w:after="0" w:line="308" w:lineRule="auto"/>
        <w:rPr>
          <w:sz w:val="20"/>
          <w:szCs w:val="20"/>
          <w:color w:val="auto"/>
        </w:rPr>
      </w:pPr>
      <w:r>
        <w:rPr>
          <w:rFonts w:ascii="Arial" w:cs="Arial" w:eastAsia="Arial" w:hAnsi="Arial"/>
          <w:sz w:val="17"/>
          <w:szCs w:val="17"/>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146"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We are focused on selling our SoC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ind w:firstLine="509"/>
        <w:spacing w:after="0" w:line="255" w:lineRule="auto"/>
        <w:rPr>
          <w:sz w:val="20"/>
          <w:szCs w:val="20"/>
          <w:color w:val="auto"/>
        </w:rPr>
      </w:pPr>
      <w:r>
        <w:rPr>
          <w:rFonts w:ascii="Arial" w:cs="Arial" w:eastAsia="Arial" w:hAnsi="Arial"/>
          <w:sz w:val="18"/>
          <w:szCs w:val="18"/>
          <w:color w:val="auto"/>
        </w:rPr>
        <w:t>Our customers generally take a considerable amount of time to evaluate our solutions. The typical time from early engagement by our sales force to actual product introduction runs from nine to 12 months for IoT markets and potentially significantly longer in the OEM automotive, robotics and industrial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spacing w:after="0" w:line="192"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b w:val="1"/>
          <w:bCs w:val="1"/>
          <w:i w:val="1"/>
          <w:iCs w:val="1"/>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184"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333333"/>
        </w:rPr>
        <w:t>Prior to purchasing our products, some of our customers, particularly in the automotive market, may require that our products and our third-party contractors undergo extensive qualification processes, which involve testing of our products in the customers’ systems, as well as testing for reliability of our products and our supply chain. This qualification process may take several months and qualification of a product by a customer does not assure any sales of the product to that customer. Even after successful qualification and sales of a product to a customer, a subsequent revision in our third party contractors’ manufacturing process or our selection of a new supplier may require a new qualification process,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 our products with customers in anticipation of sales. If we are unsuccessful or delayed in qualifying these products with a customer, sales of the products to the customer may be precluded or delayed, which may impede our growth and cause our business to suffer.</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expect competition to increase in the future, which could have an adverse effect on our revenue and market share.</w:t>
      </w:r>
    </w:p>
    <w:p>
      <w:pPr>
        <w:spacing w:after="0" w:line="225" w:lineRule="exact"/>
        <w:rPr>
          <w:sz w:val="20"/>
          <w:szCs w:val="20"/>
          <w:color w:val="auto"/>
        </w:rPr>
      </w:pPr>
    </w:p>
    <w:p>
      <w:pPr>
        <w:ind w:right="100" w:firstLine="509"/>
        <w:spacing w:after="0" w:line="289" w:lineRule="auto"/>
        <w:rPr>
          <w:sz w:val="20"/>
          <w:szCs w:val="20"/>
          <w:color w:val="auto"/>
        </w:rPr>
      </w:pPr>
      <w:r>
        <w:rPr>
          <w:rFonts w:ascii="Arial" w:cs="Arial" w:eastAsia="Arial" w:hAnsi="Arial"/>
          <w:sz w:val="16"/>
          <w:szCs w:val="16"/>
          <w:color w:val="auto"/>
        </w:rPr>
        <w:t>The global semiconductor market in general, and the computer vision and video/image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greater resources, longer histories in these markets and established relationships with OEMs and ODMs. Increased competition could result in price pressure, reduced profitability and loss of market share, any of which could harm our business, revenue and operating results.</w:t>
      </w:r>
    </w:p>
    <w:p>
      <w:pPr>
        <w:spacing w:after="0" w:line="166"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Our competitors range from large, international companies with greater resources offering a wide range of semiconductor products to smaller, nimble companies specializing in narrow markets. In the IoT market, our primary competitors include AMLogic Inc., Fuzhou Rockchip Electronics Co., Ltd., HiSilicon Technologies Co., Ltd., or HiSilicon, which is owned by Huawei Technologies Co., Ingenic Semiconductor Co., Ltd., Novatek Microelectronics Corp., or Novatek, NVIDIA Corporation, or NVIDIA, OmniVision Technologies, Inc., Qualcomm Incorporated, or Qualcomm, SigmaStar Technology Corp., and Socionext Inc. In the automotive camera market, we compete against Allwinner Technology Co., Ltd., Horizon Robotics Inc., iCatch Technology, Inc., Mobileye, a subsidiary of Intel Corporation, Novatek, NVIDIA, NXP Semiconductors N.V., Qualcomm, Renesas Electronics Corporation, and Texas Instruments. 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185"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80"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anticipate market and technology trends and successfully develop solutions that meet market needs;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understand the price points and performance metrics of competing products in the marketplace;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solutions’ performance and cost-effectiveness relative to that of competing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in identifying and penetrating new markets, applications and customers;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gain access to leading design tools and product specifications at the same time as our competitors;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key OEMs and ODMs;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products’ effective implementation of video processing or radar standards;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expand international operations in a timely and cost-efficient manner;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deliver products in volume on a timely basis at competitive prices;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support our customers’ incorporation of our solutions into their products; and</w:t>
      </w:r>
    </w:p>
    <w:p>
      <w:pPr>
        <w:spacing w:after="0" w:line="117"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recruit design and application engineers with expertise in computer vision, video and image processing technologies and sales and marketing personnel.</w:t>
      </w:r>
    </w:p>
    <w:p>
      <w:pPr>
        <w:spacing w:after="0" w:line="170" w:lineRule="exact"/>
        <w:rPr>
          <w:sz w:val="20"/>
          <w:szCs w:val="20"/>
          <w:color w:val="auto"/>
        </w:rPr>
      </w:pPr>
    </w:p>
    <w:p>
      <w:pPr>
        <w:ind w:right="440" w:firstLine="509"/>
        <w:spacing w:after="0" w:line="286" w:lineRule="auto"/>
        <w:rPr>
          <w:sz w:val="20"/>
          <w:szCs w:val="20"/>
          <w:color w:val="auto"/>
        </w:rPr>
      </w:pPr>
      <w:r>
        <w:rPr>
          <w:rFonts w:ascii="Arial" w:cs="Arial" w:eastAsia="Arial" w:hAnsi="Arial"/>
          <w:sz w:val="17"/>
          <w:szCs w:val="17"/>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breach of our security systems may have a material adverse effect on our business.</w:t>
      </w:r>
    </w:p>
    <w:p>
      <w:pPr>
        <w:spacing w:after="0" w:line="225"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Our security systems are designed to maintain the physical security of our facilities and information systems and protect our customers’, suppliers’ and employees’ confidential information. Accidental or willful security breaches or incidents or other unauthorized access by third parties to our facilities or our information systems or the existence of computer viruses or other malicious code or security vulnerabilities in our data or software could expose us to a risk of loss, unavailability, misappropriation and other unauthorized processing of proprietary and confidential information. The costs to us to eliminate or alleviate cyber or other security problems, bugs, viruses, ransomware and other malicious software programs and security vulnerabilities could be significant, and our efforts to address these problems may not be successful and could result in interruptions and delays that may impede our sales, product distribution, financial reporting or other critical functions. In addition, we could incur significant costs in notifying affected persons and entities and otherwise complying with the multitude of foreign, federal, state and local laws and regulations relating to the unauthorized access to, or use or disclosure of, personal information.</w:t>
      </w:r>
    </w:p>
    <w:p>
      <w:pPr>
        <w:spacing w:after="0" w:line="196"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Security breaches and incidents, computer malware and computer hacking attacks have become more prevalent and sophisticated. These threats are constantly evolving, making it increasingly difficult to successfully defend against or implement adequate preventive measures, and we may face difficulties or delays in identifying and otherwise responding to any security breach or incident. Moreover, remote work by our personnel and remote access to our systems have increased significantly, which also increases our cybersecurity risk profile. We expect to incur significant costs in an effort to detect and prevent security breaches and incidents, and we may face increased costs and requirements to expend substantial resources in the event of an actual or perceived security breach or incident. Experienced computer programmers and hackers may be able to penetrate our security controls and misappropriate or compromise our confidential information or that of third parties or create system disruptions. Computer programmers and hackers also may be able to deploy viruses, worms and other malicious software programs that attack our information systems and cause disruptions of our business. For portions of our IT infrastructure, we rely on products and services provided by third parties. These third-party providers may also experience breaches, incidents, and attacks compromising or otherwise impacting their products, and their products may contain security vulnerabilities, each of which could impact our systems. Data security breaches and incidents may also result from non-technical means, including, for example, intentional malfeasance or negligence by an employee or contractor. Any data security breach or incident or theft, misuse, loss, unavailability or other unauthorized processing of this information, or the perception that any of these matters has occurred, could result in, among other things, damage to our reputation, allegations by our customers that we have not performed our contractual obligations, regulatory investigations and other proceedings, litigation by affected parties and possible penalties, damages, and other liabilities, any of which could have a material adverse effect on our business, financial condition, our reputation, and our relationships with our customers and partners. We may also encounter errors resulting in corruption or loss of data, an inability to accurately process or record transactions, and security or technical reliability issues. All of these could harm our ability to conduct core operating functions such as processing purchase orders and invoices, product distribution, recording and reporting financial and management information on a timely and accurate basis, and could impact our internal control compliance efforts. Due to political uncertainty and military actions associated with the ongoing hostility between Russia and Ukraine, we and our vendors, contractors, and other third parties we work with are vulnerable to a heightened risk of cybersecurity attacks, phishing attacks, viruses, malware, ransomware, hacking or similar breaches and incidents from nation-state and affiliated actors, including attacks that could materially disrupt our supply chain and our systems and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ind w:right="120" w:firstLine="509"/>
        <w:spacing w:after="0" w:line="255" w:lineRule="auto"/>
        <w:rPr>
          <w:sz w:val="20"/>
          <w:szCs w:val="20"/>
          <w:color w:val="auto"/>
        </w:rPr>
      </w:pPr>
      <w:r>
        <w:rPr>
          <w:rFonts w:ascii="Arial" w:cs="Arial" w:eastAsia="Arial" w:hAnsi="Arial"/>
          <w:sz w:val="18"/>
          <w:szCs w:val="18"/>
          <w:color w:val="auto"/>
        </w:rPr>
        <w:t>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These third-party service providers also are subject to similar, and in certain cases greater, security threats. Any unauthorized access by third parties to the systems of our cloud-based service providers, any other security breaches or incidents impacting such systems, or the existence of computer viruses, ransomware or other malicious code in their data or software could expose us to a risk of loss, misappropriation, unavailability and other unauthorized processing of information.</w:t>
      </w:r>
    </w:p>
    <w:p>
      <w:pPr>
        <w:spacing w:after="0" w:line="192" w:lineRule="exact"/>
        <w:rPr>
          <w:sz w:val="20"/>
          <w:szCs w:val="20"/>
          <w:color w:val="auto"/>
        </w:rPr>
      </w:pPr>
    </w:p>
    <w:p>
      <w:pPr>
        <w:ind w:right="280" w:firstLine="509"/>
        <w:spacing w:after="0" w:line="311" w:lineRule="auto"/>
        <w:rPr>
          <w:sz w:val="20"/>
          <w:szCs w:val="20"/>
          <w:color w:val="auto"/>
        </w:rPr>
      </w:pPr>
      <w:r>
        <w:rPr>
          <w:rFonts w:ascii="Arial" w:cs="Arial" w:eastAsia="Arial" w:hAnsi="Arial"/>
          <w:sz w:val="16"/>
          <w:szCs w:val="16"/>
          <w:color w:val="auto"/>
        </w:rPr>
        <w:t>Additionally, we cannot be certain that our insurance coverage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these results could adversely affect our business, financial condition, and operating results.</w:t>
      </w:r>
    </w:p>
    <w:p>
      <w:pPr>
        <w:spacing w:after="0" w:line="149"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170"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The semiconductor industry requires substantial investment in research and development in order to bring to market new and enhanced solutions. Our research and development expense was $204.9 million, $167.3 million and $140.8 million in fiscal years 2023, 2022 and 2021, respectively. For the six months ended July 31, 2023, our research and development expense was $109.4 million. In general, we expect to increase our research and development expenditures in future periods as compared to prior periods as part of our strategy of focusing on the development of innovative computer vision, video and image processing solutions with increased functionality, and as we target new markets, such as the automotive OEM and robotics markets. We are unable to predict whether we will have sufficient resources to achieve the level of investment in research and development required to remain competitive. For example, development in the latest process nodes, such as 5 nanometer, or nm, or smaller, costs significantly more than required to develop in larger process nodes, such as 14 or 10nm.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loss of any of our key personnel could seriously harm our business.</w:t>
      </w:r>
    </w:p>
    <w:p>
      <w:pPr>
        <w:spacing w:after="0" w:line="225"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We believe our future success depends in large part upon the continuing services of the members of our senior management team and various engineering and other technical personnel. If one or more of our senior executives or other key personnel are unable or unwilling to continue in their present positions, we may not be able to replace them easily or at all, our business may be disrupted, and our financial condition and results of operations may be materially and adversely affected. In addition, if any member of our senior management team or any of our other key personnel joins a competitor or forms a competing company, we may experience material disruption of our operations and development plans and lose customers, know-how and key professionals and staff members, and we may incur increased operating expenses as the attention of other senior executives is diverted to recruit replacements for key personnel.</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rely on highly skilled personnel and, if we are unable to hire, retain or motivate key personnel, we may not be able to grow effectively.</w:t>
      </w:r>
    </w:p>
    <w:p>
      <w:pPr>
        <w:spacing w:after="0" w:line="248"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Our performance largely depends on the talents and efforts of highly skilled individuals. Our future success depends on our continuing ability to identify, hire, develop, motivate, and retain highly skilled personnel for all areas of our organization. Our industry is characterized by high demand and intense competition for talent, particularly for engineering personnel. The pool of qualified candidates is limited, particularly in Silicon Valley and parts of Asia for very-large-scale integration, or VLSI, and artificial intelligence and computer vision engineers, and certain of our competitors and potential competitors with greater resources have directly targeted our employees. In addition, we also face competition in hiring artificial intelligence engineers, including from companies with which we do not directly compete. Our compensation arrangements, such as our equity award programs, may not always be successful in attracting new employees and retaining and motivating our existing employees. Our continued ability to compete effectively, and to grow our business, depends on our ability to attract new employees and to retain and motivate our existing employees.</w:t>
      </w:r>
    </w:p>
    <w:p>
      <w:pPr>
        <w:spacing w:after="0" w:line="178"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b w:val="1"/>
          <w:bCs w:val="1"/>
          <w:i w:val="1"/>
          <w:iCs w:val="1"/>
          <w:color w:val="auto"/>
        </w:rPr>
        <w:t>The average selling prices of semiconductor solutions in our target markets have typically decreased over time and will likely do so in the future, which could harm our revenue and gross margins.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ind w:right="40" w:firstLine="509"/>
        <w:spacing w:after="0" w:line="290" w:lineRule="auto"/>
        <w:rPr>
          <w:sz w:val="20"/>
          <w:szCs w:val="20"/>
          <w:color w:val="auto"/>
        </w:rPr>
      </w:pPr>
      <w:r>
        <w:rPr>
          <w:rFonts w:ascii="Arial" w:cs="Arial" w:eastAsia="Arial" w:hAnsi="Arial"/>
          <w:sz w:val="16"/>
          <w:szCs w:val="16"/>
          <w:color w:val="auto"/>
        </w:rPr>
        <w:t>Average selling prices of semiconductor products in the markets we serve have historically decreased over time, and we expect such declines to occur for our solutions over time. Our gross margins and financial results will suffer if we are unable to offset reductions in our average selling prices by reducing our costs, developing new or enhanced SoC solutions, such as our new AI computer vision-based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 factors. We expect that we will have to address pricing pressures again in the future, particularly in markets experiencing consolidation, which could require us to reduce the prices of our SoC solutions and harm our operating results.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If we are unable to manage any future growth, we may not be able to execute our business plan and our operating results could suffer.</w:t>
      </w:r>
    </w:p>
    <w:p>
      <w:pPr>
        <w:spacing w:after="0" w:line="248"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Our business has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 To manage growth successfully, we believe we must effectively, among other things:</w:t>
      </w:r>
    </w:p>
    <w:p>
      <w:pPr>
        <w:spacing w:after="0" w:line="63" w:lineRule="exact"/>
        <w:rPr>
          <w:sz w:val="20"/>
          <w:szCs w:val="20"/>
          <w:color w:val="auto"/>
        </w:rPr>
      </w:pPr>
    </w:p>
    <w:p>
      <w:pPr>
        <w:ind w:left="1020" w:right="38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recruit, hire, train and manage additional qualified engineers for our research and development activities, particularly for the positions of semiconductor design and systems, AI computer vision development and applications engineering;</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 additional sales and business development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and improve our administrative, financial and operational systems, procedures and controls;</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enhance our information technology support for enterprise resource planning and design engineering by adapting and expanding our systems and tool capabilities, and properly training new hires as to their use;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able to secure sufficient manufacturing capacity.</w:t>
      </w:r>
    </w:p>
    <w:p>
      <w:pPr>
        <w:spacing w:after="0" w:line="225"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We are likely to incur the costs associated with these increased investments earlier than some of the anticipated benefits, and the return on these investments, if any, may be lower, may develop more slowly than we expect or may not materialize. 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Deterioration of the financial conditions of our customers could adversely affect our operating results.</w:t>
      </w:r>
    </w:p>
    <w:p>
      <w:pPr>
        <w:spacing w:after="0" w:line="225" w:lineRule="exact"/>
        <w:rPr>
          <w:sz w:val="20"/>
          <w:szCs w:val="20"/>
          <w:color w:val="auto"/>
        </w:rPr>
      </w:pPr>
    </w:p>
    <w:p>
      <w:pPr>
        <w:ind w:right="140" w:firstLine="509"/>
        <w:spacing w:after="0" w:line="291" w:lineRule="auto"/>
        <w:rPr>
          <w:sz w:val="20"/>
          <w:szCs w:val="20"/>
          <w:color w:val="auto"/>
        </w:rPr>
      </w:pPr>
      <w:r>
        <w:rPr>
          <w:rFonts w:ascii="Arial" w:cs="Arial" w:eastAsia="Arial" w:hAnsi="Arial"/>
          <w:sz w:val="16"/>
          <w:szCs w:val="16"/>
          <w:color w:val="auto"/>
        </w:rPr>
        <w:t>Deterioration of the financial condition of our distributors or customers could adversely impact our collection of accounts receivable. For the fiscal year ended January 31, 2023, the customers representing 10% or more of revenue were WT and Chicony, which accounted for approximately 57% and</w:t>
      </w:r>
    </w:p>
    <w:p>
      <w:pPr>
        <w:ind w:right="20"/>
        <w:spacing w:after="0" w:line="252" w:lineRule="auto"/>
        <w:rPr>
          <w:sz w:val="20"/>
          <w:szCs w:val="20"/>
          <w:color w:val="auto"/>
        </w:rPr>
      </w:pPr>
      <w:r>
        <w:rPr>
          <w:rFonts w:ascii="Arial" w:cs="Arial" w:eastAsia="Arial" w:hAnsi="Arial"/>
          <w:sz w:val="18"/>
          <w:szCs w:val="18"/>
          <w:color w:val="auto"/>
        </w:rPr>
        <w:t>12% of total revenue, respectively. For the six months ended July 31, 2023, the customers representing 10% or more of revenue were WT and Chicony, which accounted for approximately 52% and 15% of total revenue, respectively. As of July 31, 2023, accounts receivable with WT and Chicony were approximately $12.2 million and $8.8 million, respectively. We regularly review the collectability and creditworthiness of our distributors and customers to determine an appropriate allowance for credit losses. Based on our review of our distributors and customers, we currently have only immaterial reserves for uncollectible accounts. If our uncollectible accounts, however, were to exceed our current or future allowance for credit losses, our operating results would be negatively impacted.</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ind w:right="20" w:firstLine="509"/>
        <w:spacing w:after="0" w:line="269" w:lineRule="auto"/>
        <w:rPr>
          <w:sz w:val="20"/>
          <w:szCs w:val="20"/>
          <w:color w:val="auto"/>
        </w:rPr>
      </w:pPr>
      <w:r>
        <w:rPr>
          <w:rFonts w:ascii="Arial" w:cs="Arial" w:eastAsia="Arial" w:hAnsi="Arial"/>
          <w:sz w:val="17"/>
          <w:szCs w:val="17"/>
          <w:color w:val="auto"/>
        </w:rPr>
        <w:t>The semiconductor industry is highly cyclical and is characterized by constant and rapid technological change, rapid product obsolescence, price erosion, evolving standards, short product life cycles and wide fluctuations in product supply and demand. Cyclical downturns have been characterized by diminished product demand, production overcapacity, high inventory levels and accelerated erosion of average selling prices, which could harm our business and operating results. We are dependent on the availability of third-party foundry and assembly capacity to manufacture and assemble our SoC solutions. None of our third-party foundry or assembly contractors has provided assurances that adequate capacity will be available to us in the future. The semiconductor industry recently experienced significant shortages of capacity, which resulted in a lengthening of the manufacturing lead time for our products. Such capacity shortages could negatively impact our ability to meet our customers’ demand for our products and have an adverse impact on our revenue, results of operations and customer relationships. We have also experienced, during times of supply chain capacity shortage, customers placing orders for our products that exceed their actual demand, which may lead to us manufacturing a surplus of products and could have a negative impact on our results of operations and cash reserves. Most recently, some customers have indicated their intent to reduce their inventory levels as capacity shortages improve, which has and may continue to negatively impact such customers’ demand for our solutions in future periods and, in turn, harm our financial results.</w:t>
      </w:r>
    </w:p>
    <w:p>
      <w:pPr>
        <w:spacing w:after="0" w:line="179"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184"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spacing w:after="0" w:line="196"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170"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We may face difficulties, delays and increased expense as we transition our products to new processes, such as the 4nm or 3nm process nodes, and potentially to new foundries. We currently depend on Samsung, as the principal foundry for our products, to transition to new processes successfully. We cannot assure you that Samsung will be able to effectively manage such transitions or that we will be able to maintain our relationship with Samsung or develop relationships with new foundries. Moreover, as we utilize more advanced process nodes beyond 5nm, we are increasingly dependent upon a very small number of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ind w:left="520"/>
        <w:spacing w:after="0"/>
        <w:rPr>
          <w:sz w:val="20"/>
          <w:szCs w:val="20"/>
          <w:color w:val="auto"/>
        </w:rPr>
      </w:pPr>
      <w:r>
        <w:rPr>
          <w:rFonts w:ascii="Arial" w:cs="Arial" w:eastAsia="Arial" w:hAnsi="Arial"/>
          <w:sz w:val="15"/>
          <w:szCs w:val="15"/>
          <w:b w:val="1"/>
          <w:bCs w:val="1"/>
          <w:i w:val="1"/>
          <w:iCs w:val="1"/>
          <w:color w:val="auto"/>
        </w:rPr>
        <w:t>Rapidly changing industry standards could make our video and image processing solutions obsolete, which would cause our operating results to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suffer.</w:t>
      </w:r>
    </w:p>
    <w:p>
      <w:pPr>
        <w:spacing w:after="0" w:line="211"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We design our video and image processing solutions to conform to video compression standards, including MPEG-2, H.264 Advanced Video Coding (AVC) and H.265 High Efficiency Video Coding (HEVC), set by industry standards setting bodies such as ITU-T Video Coding Experts Group and the ISO/IEC Moving Picture Experts Group. Generally, our solutions comprise only a part of a camera device. All components of these devices must uniformly comply with industry standards in order to operate efficiently together. We depend on companies that provide other components of the devices to support prevailing industry standards. Many of these companies are significantly larger and more influential in driving industry standards than we are.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 As a result, our sales would suffer, and we could be required to make significant expenditures to develop new SoC solutions to ensure compliance with relevant standards.</w:t>
      </w:r>
    </w:p>
    <w:p>
      <w:pPr>
        <w:spacing w:after="0" w:line="172" w:lineRule="exact"/>
        <w:rPr>
          <w:sz w:val="20"/>
          <w:szCs w:val="20"/>
          <w:color w:val="auto"/>
        </w:rPr>
      </w:pPr>
    </w:p>
    <w:p>
      <w:pPr>
        <w:ind w:right="520" w:firstLine="509"/>
        <w:spacing w:after="0" w:line="381" w:lineRule="auto"/>
        <w:rPr>
          <w:sz w:val="20"/>
          <w:szCs w:val="20"/>
          <w:color w:val="auto"/>
        </w:rPr>
      </w:pPr>
      <w:r>
        <w:rPr>
          <w:rFonts w:ascii="Arial" w:cs="Arial" w:eastAsia="Arial" w:hAnsi="Arial"/>
          <w:sz w:val="15"/>
          <w:szCs w:val="15"/>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00"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have research and development design centers and business development offices in China, Germany, Italy, Japan,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84"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complexity and costs of managing international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and more difficult collection of receivables from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enforcing contracts generally;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regional economic instability;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geopolitical instability and military conflicts, including the ongoing conflict in Ukraine;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protection of our intellectual property and other assets;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compliance with local laws and regulations and unanticipated changes in local laws and regulations, including tax laws and regulations;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 and foreign exchange restrictions and higher tariffs;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travel restrictions;</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and availability of import and export licenses and other governmental approvals, permits and licenses, including export classification requirements;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exchange fluctuations relating to our international operating activities;</w:t>
      </w:r>
    </w:p>
    <w:p>
      <w:pPr>
        <w:spacing w:after="0" w:line="117"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imposed by the U.S. government on our ability to do business with certain companies or in certain countries as a result of international political conflicts;</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transportation delays and other consequences of limited local infrastructure, and disruptions, such as large-scale outages or interruptions of service from utilities or telecommunications providers;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heightened risk of terrorist acts;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standards and practices in the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regional health issues, pandemics, and natural disasters;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1" w:name="page42"/>
    <w:bookmarkEnd w:id="41"/>
    <w:p>
      <w:pPr>
        <w:ind w:right="120" w:firstLine="509"/>
        <w:spacing w:after="0" w:line="277" w:lineRule="auto"/>
        <w:rPr>
          <w:sz w:val="20"/>
          <w:szCs w:val="20"/>
          <w:color w:val="auto"/>
        </w:rPr>
      </w:pPr>
      <w:r>
        <w:rPr>
          <w:rFonts w:ascii="Arial" w:cs="Arial" w:eastAsia="Arial" w:hAnsi="Arial"/>
          <w:sz w:val="18"/>
          <w:szCs w:val="18"/>
          <w:b w:val="1"/>
          <w:bCs w:val="1"/>
          <w:i w:val="1"/>
          <w:iCs w:val="1"/>
          <w:color w:val="auto"/>
        </w:rPr>
        <w:t>Any acquisitions we may make in the future could disrupt our business, cause dilution to our shareholders, reduce our financial resources and harm our business.</w:t>
      </w:r>
    </w:p>
    <w:p>
      <w:pPr>
        <w:spacing w:after="0" w:line="170"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Prior to our acquisition of Oculii in 2021, we had not made any acquisitions since our acquisition of VisLab S.r.l. in 2015. Our ability to make and successfully integrate acquisitions is largely unproven. Any future acquisitions may not strengthen our competitive position and may be viewed negatively by our customers, financial markets or investors, and we may not achieve our goals in a timely manner, or at all. In addition, any acquisitions we make could lead to difficulties in integrating personnel, technologies and operations from the acquired businesses and in retaining and motivating key personnel from these businesses. Acquisitions may disrupt our ongoing operations, divert management from their primary responsibilities, subject us to additional liabilities, increase our expenses and adversely impact our business, operating results, financial condition and cash flows. Acquisitions may also reduce our cash available for operations and other uses, and could also result in an increase in amortization expense related to identifiable assets acquired, potentially dilutive issuances of equity securities or the incurrence of debt, any of which could harm our business.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The complexity of calculating our tax provision may result in errors that could result in restatements of our financial statements.</w:t>
      </w:r>
    </w:p>
    <w:p>
      <w:pPr>
        <w:spacing w:after="0" w:line="237"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We are incorporated in the Cayman Islands and our operations are subject to income and transaction taxes in the United States, China, Hong Kong, Germany, Italy, Japan,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The risk of errors may be exacerbated by the significant number of tax law changes recently enacted in the United States and other jurisdictions. Restatements are generally costly and could adversely impact our results of operations or have a negative impact on the trading price of our ordinary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Performance or Results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Fluctuations in our operating results on a quarterly and annual basis could cause the market price of our ordinary shares to decline.</w:t>
      </w:r>
    </w:p>
    <w:p>
      <w:pPr>
        <w:spacing w:after="0" w:line="248"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revenue and operating results have fluctuated significantly from period to period in the past and are likely to do so in the future. As a result, you should not rely on period-to-period comparisons of our operating results as an indication of our future performance. It is also possible that our normal seasonal patterns will be impacted by ongoing macroeconomic uncertainty, effects of the COVID-19 pandemic, supply chain disruptions and semiconductor capacity shortages, including the buildup of inventory by customers in response to such shortages, and high inflation. In future periods, our forecasted or actual revenue and results of operations may be below the expectations of analysts and investors, which could cause the market price of our ordinary shares to decline.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affect our operating results include:</w:t>
      </w:r>
    </w:p>
    <w:p>
      <w:pPr>
        <w:spacing w:after="0" w:line="117"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demand, sales cycles, product mix, and prices for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forecasting, scheduling, rescheduling or cancellation of orders by our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shifts in consumer or manufacturer preferences and any resultant change in demand for our customers’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competitive dynamics of our markets, including new entrants or pricing pressures;</w:t>
      </w:r>
    </w:p>
    <w:p>
      <w:pPr>
        <w:spacing w:after="0" w:line="117" w:lineRule="exact"/>
        <w:rPr>
          <w:rFonts w:ascii="Arial" w:cs="Arial" w:eastAsia="Arial" w:hAnsi="Arial"/>
          <w:sz w:val="18"/>
          <w:szCs w:val="18"/>
          <w:color w:val="auto"/>
        </w:rPr>
      </w:pPr>
    </w:p>
    <w:p>
      <w:pPr>
        <w:ind w:left="1020" w:right="48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our customers’ ability to manufacture and ship products that incorporate our solutions caused by internal and external factors beyond our control;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define, design and release new solutions in a timely manner that meet our customers’ needs;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availability of adequate manufacturing capacity from our manufacturing subcontractors;</w:t>
      </w:r>
    </w:p>
    <w:p>
      <w:pPr>
        <w:spacing w:after="0" w:line="117" w:lineRule="exact"/>
        <w:rPr>
          <w:rFonts w:ascii="Arial" w:cs="Arial" w:eastAsia="Arial" w:hAnsi="Arial"/>
          <w:sz w:val="18"/>
          <w:szCs w:val="18"/>
          <w:color w:val="auto"/>
        </w:rPr>
      </w:pPr>
    </w:p>
    <w:p>
      <w:pPr>
        <w:ind w:left="1020" w:right="70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manufacturing costs, including wafer, test and assembly costs, mask costs, manufacturing yields and product quality and reliability;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product announcements by our competitors or by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incurrence of research and development and related new products expenditures;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write-downs of inventory for excess quantities and technological obsolescence;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of investment or other asset values;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2" w:name="page43"/>
    <w:bookmarkEnd w:id="42"/>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accounting pronouncements and changes in accounting policies;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volatility in our share price, which may lead to higher stock-based compensation expense;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volatility in our effective tax rate;</w:t>
      </w:r>
    </w:p>
    <w:p>
      <w:pPr>
        <w:spacing w:after="0" w:line="117" w:lineRule="exact"/>
        <w:rPr>
          <w:rFonts w:ascii="Arial" w:cs="Arial" w:eastAsia="Arial" w:hAnsi="Arial"/>
          <w:sz w:val="18"/>
          <w:szCs w:val="18"/>
          <w:color w:val="auto"/>
        </w:rPr>
      </w:pPr>
    </w:p>
    <w:p>
      <w:pPr>
        <w:ind w:left="1020" w:right="300" w:hanging="503"/>
        <w:spacing w:after="0" w:line="308"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general socioeconomic and political conditions in the countries where we operate or where our products are sold or used, including recent macroeconomic volatility, the COVID-19 pandemic, U.S.-China relations and the conditions in Hong Kong; and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litigation, especially related to intellectual property.</w:t>
      </w:r>
    </w:p>
    <w:p>
      <w:pPr>
        <w:spacing w:after="0" w:line="225"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Moreover, the semiconductor industry has historically been cyclical in nature, reflecting overall economic conditions as well as budgeting and buying patterns of consumers. For example, the semiconductor industry recently experienced significant shortages of capacity, which resulted in a lengthening of the manufacturing lead time for our products and could be impacting the normal forecasting and ordering patterns of our customers. In recent periods, some customers have indicated they are reducing their inventory levels as lead times for semiconductor chips and other components used by customers shrink, which has reduced, and may continue to reduce, such customers’ demand for our products in future periods.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and profitability, or incur losses.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we do not generate revenue growth, we may not be able to execute our business plan and our operating results could suffer.</w:t>
      </w:r>
    </w:p>
    <w:p>
      <w:pPr>
        <w:spacing w:after="0" w:line="237"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We believe that our future revenue growth, if any, will significantly depend on our ability to expand within our existing IoT camera markets, such as the existing professional and home security and monitoring camera markets, and successfully penetrate new markets, such as the OEM automotive, robotics and industrial markets, with our new AI computer vision-based SoC solutions. We believe that executing upon our business plan requires us to continue to develop new SoCs and new software to address the particular requirements of these markets. Accordingly, we continue to invest in the development of new technology and solutions and expect our research and development expenditures to increase compared to prior periods. If we are unable to generate or maintain adequate revenue growth, our financial results could suffer and we may not be able to continue to invest in the development of new technology and solutions required to be successful.</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have difficulty accurately predicting our future revenue and appropriately budgeting our expenses.</w:t>
      </w:r>
    </w:p>
    <w:p>
      <w:pPr>
        <w:spacing w:after="0" w:line="225"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rapidly evolving nature of the markets in which we sell our solutions, combined with substantial uncertainty concerning how these markets may develop, the considerable amount of time our customers generally take to evaluate our solutions, and other factors beyond our control, limits our ability to accurately forecast quarterly or annual revenue. In the recent years, we expanded our staffing and increased our expenditures in anticipation of future revenue growth. If our revenue does not increase as anticipated, we could incur significant losses due to our higher expense levels if we are not able to decrease our expenses in a timely manner to offset any shortfall in future revenue. Continued or persistent losses may require us to obtain additional capital that may not be available on reasonable terms or at all.</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Changes to financial accounting standards may affect our results of operations and could cause us to change our business practices.</w:t>
      </w:r>
    </w:p>
    <w:p>
      <w:pPr>
        <w:spacing w:after="0" w:line="248"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We prepare our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accounting rules and regulations. Changes in those accounting rules could have a significant effect on our financial results, require significant resources, pose challenges in forecasting revenue and may affect our reporting of transactions completed before a change is announced. Changes to those rules or the questioning of current practices may adversely affect our reported financial results or the way we conduct our business.</w:t>
      </w:r>
    </w:p>
    <w:p>
      <w:pPr>
        <w:spacing w:after="0" w:line="161"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b w:val="1"/>
          <w:bCs w:val="1"/>
          <w:i w:val="1"/>
          <w:iCs w:val="1"/>
          <w:color w:val="auto"/>
        </w:rPr>
        <w:t>Fluctuations in exchange rates between and among the currencies of the countries in which we do business may adversely affect our operating results.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ind w:firstLine="509"/>
        <w:spacing w:after="0" w:line="287" w:lineRule="auto"/>
        <w:rPr>
          <w:sz w:val="20"/>
          <w:szCs w:val="20"/>
          <w:color w:val="auto"/>
        </w:rPr>
      </w:pPr>
      <w:r>
        <w:rPr>
          <w:rFonts w:ascii="Arial" w:cs="Arial" w:eastAsia="Arial" w:hAnsi="Arial"/>
          <w:sz w:val="16"/>
          <w:szCs w:val="16"/>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customers located outside the United States, primarily in Asia. Sales to customers in Asia accounted for approximately 79%, 86% and 88% of our total revenue in fiscal years 2023, 2022 and 2021, respectively. For the six months ended July 31, 2023, sales to customers in Asia accounted for approximately 77% of our total revenue. Certain prior quarter amounts of revenue by geographic region have been adjusted to reflect the appropriate bill-to location for the related revenue. These adjustments did not impact the total revenues in any of the periods presented. Because most of our end customers or their ODM manufacturers are located in Asia, we anticipate that a majority of our future revenue will continue to come from sales to that region.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168"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A significant number of our employees are located in Asia, principally Taiwan and China, and Europe. Therefore, a portion of our payroll as well as certain other operating expenses are paid in currencies other than the U.S. dollar, such as the New Taiwan Dollar, the Chinese Yuan Renminbi and the Eurozone Euro.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between the New Taiwan Dollar and the U.S. dollar, and between the Eurozone Euro and the U.S. dollar, have been volatile in the recent past and these currency fluctuations may make it difficult for us to predict our operating results.</w:t>
      </w:r>
    </w:p>
    <w:p>
      <w:pPr>
        <w:spacing w:after="0" w:line="164"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cannot predict our future capital needs, and we may not be able to obtain additional financing to fund our operations.</w:t>
      </w:r>
    </w:p>
    <w:p>
      <w:pPr>
        <w:spacing w:after="0" w:line="225"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92" w:lineRule="exact"/>
        <w:rPr>
          <w:sz w:val="20"/>
          <w:szCs w:val="20"/>
          <w:color w:val="auto"/>
        </w:rPr>
      </w:pPr>
    </w:p>
    <w:p>
      <w:pPr>
        <w:ind w:right="660" w:firstLine="509"/>
        <w:spacing w:after="0" w:line="277" w:lineRule="auto"/>
        <w:rPr>
          <w:sz w:val="20"/>
          <w:szCs w:val="20"/>
          <w:color w:val="auto"/>
        </w:rPr>
      </w:pPr>
      <w:r>
        <w:rPr>
          <w:rFonts w:ascii="Arial" w:cs="Arial" w:eastAsia="Arial" w:hAnsi="Arial"/>
          <w:sz w:val="18"/>
          <w:szCs w:val="18"/>
          <w:b w:val="1"/>
          <w:bCs w:val="1"/>
          <w:i w:val="1"/>
          <w:iCs w:val="1"/>
          <w:color w:val="auto"/>
        </w:rPr>
        <w:t>Our marketable securities portfolio could experience a decline in market value or otherwise become illiquid, which could materially and adversely affect our financial results.</w:t>
      </w:r>
    </w:p>
    <w:p>
      <w:pPr>
        <w:spacing w:after="0" w:line="170"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As of July 31, 2023, we had approximately $102.9 million in money market funds and debt security investments. The debt security investments consisted of commercial paper, debt securities of corporations or corporate bonds, asset-backed securities and U.S. government securities.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COVID-19 pandemic, the Eurozone crisis and the U.S. debt ceiling crisis, which affected various sectors of the financial markets and led to global credit and liquidity issues. For example, in March 2023, Silicon Valley Bank (SVB) was closed and the Federal Deposit Insurance Corporation (FDIC) was appointed as receiver. At the time of closing on March 10, 2023, we had cash deposits with SVB of approximately $17.0 million. We also had cash equivalents and marketable debt security investments residing in custodial accounts held by U.S. Bank for which SVB Asset Management was the investment advisor until March 15, 2023. While we were able to recover all deposited amounts from SVB, there can be no assurance that our current or future banks will not face similar risks as SVB or that we will be able to recover in full our deposits in the event of similar closures. We regularly maintain cash balances that are not insured or are in excess of the FDIC’s insurance limit. If the global financial markets continue to experience volatility or deteriorate, our investment portfolio may be impacted and some or all of our investments may become illiquid or otherwise experience loss which could adversely impact our financial results and position. To the extent that we increase the amount of our security investments in the future, these risks would be exacerbated.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170"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Moreover, availability of foundry capacity at our primary foundry vendor has tightened recently, which could limit the volume of products we can produce and/or delay production of new products, both of which would negatively impact our business and operations. Similarly, our assembly vendors have recently experienced shortages of certain substrates necessary for the production of our solutions due in part to COVID-19, which has negatively impacted the production time of our devices. If these conditions continue for a substantial period or worsen, our ability to meet our anticipated demand for our solutions could be impacted which, in turn, could negatively impact our operations and financial results.</w:t>
      </w:r>
    </w:p>
    <w:p>
      <w:pPr>
        <w:spacing w:after="0" w:line="186"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10nm or 5nm.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178"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b w:val="1"/>
          <w:bCs w:val="1"/>
          <w:i w:val="1"/>
          <w:iCs w:val="1"/>
          <w:color w:val="auto"/>
        </w:rPr>
        <w:t>Our customers incorporate components supplied by multiple third parties, and a supply shortage or delay in delivery of these components could delay orders for our solutions by our customers.</w:t>
      </w:r>
    </w:p>
    <w:p>
      <w:pPr>
        <w:spacing w:after="0" w:line="17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Our customers purchase components used in the manufacture of their products from various sources of supply, often involving several specialized components, including lenses, sensors, microcontrollers, power management integrated circuits (PMICs), Wi-Fi chips,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For example, the semiconductor industry recently experienced shortages of certain devices, including microcontrollers, PMICs, Wi-Fi chips, which impacted our customers’ ability to build their products and negatively impact our customers’ demand for our solutions. We believe these shortages were exacerbated by the COVID-19 pandemic.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firstLine="509"/>
        <w:spacing w:after="0" w:line="381" w:lineRule="auto"/>
        <w:rPr>
          <w:sz w:val="20"/>
          <w:szCs w:val="20"/>
          <w:color w:val="auto"/>
        </w:rPr>
      </w:pPr>
      <w:r>
        <w:rPr>
          <w:rFonts w:ascii="Arial" w:cs="Arial" w:eastAsia="Arial" w:hAnsi="Arial"/>
          <w:sz w:val="15"/>
          <w:szCs w:val="15"/>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00"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Final testing of all of our products is handled by Sigurd Corporation or King Yuan Electronics Co., Ltd. under the supervision of our engineers. We depend on these third parties to supply us with material of a requested quantity in a timely manner that meets our standards for yield, cost and manufacturing quality. Availability of capacity within our supply chain tightened during fiscal year 2023, which at times limited the volume of products we can produce, negatively impacting our business and operations, and similar capacity constraints may adversely affect our business in the future. Moreover, because each SoC is fabricated in only one manufacturing facility, or single sourced, any disruption to a facility could cause significant delays in the production or shipment of the products produced in that facility that could not be easily offset by having such product(s) produced in another facility.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spacing w:after="0" w:line="171"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176"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17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sell a significant percentage of our solutions through a single distributor, WT, which serves as our non-exclusive sales representative and fulfillment partner in Asia other than Japan. Approximately 57%, 62% and 63% of our revenue was derived from sales through WT for the fiscal years ended January 31, 2023, 2022 and 2021, respectively, and approximately 52% of our revenue was derived from sales through WT for the six months ended July 31, 2023. We anticipate that a significant portion of our revenue will continue to be derived from sales through WT in the foreseeable future. Our current agreement with WT is effective until January 2026, unless it is terminated earlier by either party for any or no reason with 60 days written notice or by failure of the breaching party to cure a material breach within 30 days following written notice of such material breach by the non-breaching party. Our agreement with WT will automatically renew for additional successive 12-month terms unless at least 60 days before the end of the then-current term either party provides written notice to the other party that it elects not to renew the agreement. Termination of the relationship with WT, either by us or by WT,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WT, or any successor or other distributors we do business with, may face issues obtaining credit, which could impair their ability to make timely payments to us.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risks associated with our distributors' product inventories.</w:t>
      </w:r>
    </w:p>
    <w:p>
      <w:pPr>
        <w:spacing w:after="0" w:line="225" w:lineRule="exact"/>
        <w:rPr>
          <w:sz w:val="20"/>
          <w:szCs w:val="20"/>
          <w:color w:val="auto"/>
        </w:rPr>
      </w:pPr>
    </w:p>
    <w:p>
      <w:pPr>
        <w:ind w:right="220" w:firstLine="509"/>
        <w:spacing w:after="0" w:line="255" w:lineRule="auto"/>
        <w:rPr>
          <w:sz w:val="20"/>
          <w:szCs w:val="20"/>
          <w:color w:val="auto"/>
        </w:rPr>
      </w:pPr>
      <w:r>
        <w:rPr>
          <w:rFonts w:ascii="Arial" w:cs="Arial" w:eastAsia="Arial" w:hAnsi="Arial"/>
          <w:sz w:val="18"/>
          <w:szCs w:val="18"/>
          <w:color w:val="auto"/>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In accordance with ASC 606,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6" w:name="page47"/>
    <w:bookmarkEnd w:id="46"/>
    <w:p>
      <w:pPr>
        <w:ind w:right="20" w:firstLine="509"/>
        <w:spacing w:after="0" w:line="290" w:lineRule="auto"/>
        <w:rPr>
          <w:sz w:val="20"/>
          <w:szCs w:val="20"/>
          <w:color w:val="auto"/>
        </w:rPr>
      </w:pPr>
      <w:r>
        <w:rPr>
          <w:rFonts w:ascii="Arial" w:cs="Arial" w:eastAsia="Arial" w:hAnsi="Arial"/>
          <w:sz w:val="16"/>
          <w:szCs w:val="16"/>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 In recent periods, some end customers have indicated they are seeking to reduce their inventory levels, which may reduce such customers’ demand for our products, including products purchased through our distributors, in future periods and harm our financial results.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our foundry vendors do not achieve satisfactory yields or quality, our reputation and customer relationships could be harmed.</w:t>
      </w:r>
    </w:p>
    <w:p>
      <w:pPr>
        <w:spacing w:after="0" w:line="237"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181"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During such a transition, we would be required to meet customer demand from our then-existing inventory, as well as any partially finished goods that could be modified to the required product specifications. We do not seek to maintain sufficient inventory to address a lengthy transition period because we believe it is uneconomical. As a result, we may not be able to meet customer needs during such a transition, which could delay shipments, cause production delays, result in a decline in our sales and damage our customer relationships.</w:t>
      </w:r>
    </w:p>
    <w:p>
      <w:pPr>
        <w:spacing w:after="0" w:line="164"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b w:val="1"/>
          <w:bCs w:val="1"/>
          <w:i w:val="1"/>
          <w:iCs w:val="1"/>
          <w:color w:val="auto"/>
        </w:rPr>
        <w:t>We rely on third-party vendors to supply software development tools to us for the development of our new products, and we may be unable to obtain the tools necessary to develop or enhance new or existing products.</w:t>
      </w:r>
    </w:p>
    <w:p>
      <w:pPr>
        <w:spacing w:after="0" w:line="170"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spacing w:after="0" w:line="192"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ind w:right="580" w:firstLine="509"/>
        <w:spacing w:after="0" w:line="277" w:lineRule="auto"/>
        <w:rPr>
          <w:sz w:val="20"/>
          <w:szCs w:val="20"/>
          <w:color w:val="auto"/>
        </w:rPr>
      </w:pPr>
      <w:r>
        <w:rPr>
          <w:rFonts w:ascii="Arial" w:cs="Arial" w:eastAsia="Arial" w:hAnsi="Arial"/>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170"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166"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b w:val="1"/>
          <w:bCs w:val="1"/>
          <w:i w:val="1"/>
          <w:iCs w:val="1"/>
          <w:color w:val="auto"/>
        </w:rPr>
        <w:t>Any disruption to the operations of our third-party contractors and their suppliers could cause significant delays in the production or shipment of our products.</w:t>
      </w:r>
    </w:p>
    <w:p>
      <w:pPr>
        <w:spacing w:after="0" w:line="170"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Our operations could be harmed if manufacturing, logistics or other operations of our third-party contractors or their suppliers are disrupted for any reason, including natural disasters, high heat events or water shortages, severe storms, other negative impacts from climate change, information technology system failures, military actions or environmental, public health or regulatory issues. 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A disruption in the availability of image sensors from Sony Corporation as a result of the 2016 Kumamoto, Japan earthquake impacted our customers’ ability to build or launch cameras and, as a result, negatively impacted the timing and scope of demand for our SoCs in fiscal year 2017. Similarly, a severe cold storm in Texas in February 2021 disrupted the manufacturing of some of our products at Samsung’s Texas facility for several weeks.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29"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b w:val="1"/>
          <w:bCs w:val="1"/>
          <w:i w:val="1"/>
          <w:iCs w:val="1"/>
          <w:color w:val="auto"/>
        </w:rPr>
        <w:t>Global economic and political conditions, including high inflation, recessionary concerns and trade restrictions, may have an impact on our business and financial condition in ways that we currently cannot predict.</w:t>
      </w:r>
    </w:p>
    <w:p>
      <w:pPr>
        <w:spacing w:after="0" w:line="170"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Our operations and performance depend significantly on global, regional and U.S. economic and geopolitical conditions. Customer demand for our solutions may be negatively impacted by weak economic conditions, high inflation or recessionary environments in the US and other nations. Inflation or other deteriorations in global economic conditions may impact our operating expenses and third parties may demand pricing accommodations, which could harm our ability to meet customer demands or collect revenue or otherwise harm our business and financial results. In recent periods, customers have indicated they are reducing their inventory levels as lead times for semiconductor chips and other components used by customers shrink, which has reduced, and may continue to reduce, such customers’ demand for our products in future periods. Weak or uncertain economic conditions may exacerbate these risks.</w:t>
      </w:r>
    </w:p>
    <w:p>
      <w:pPr>
        <w:spacing w:after="0" w:line="195"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General trade tensions between the United States and China have been escalating, which has, in our view, created and will perpetuate an uncertain business environment. Additionally, the U.S. government announced new controls restricting the ability to send certain products and technology related to semiconductors, semiconductor manufacturing, advanced computing, supercomputing, and artificial intelligence to China, including Hong Kong, without an export license. In many cases, these licenses are subject to a policy of denial and will not be issued. While our current products are not restricted by these controls, such controls could impact our ability to export products to China in the future. It also is possible that the Chinese government will retaliate in ways that could impact our business.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ind w:right="140" w:firstLine="509"/>
        <w:spacing w:after="0" w:line="289" w:lineRule="auto"/>
        <w:rPr>
          <w:sz w:val="20"/>
          <w:szCs w:val="20"/>
          <w:color w:val="auto"/>
        </w:rPr>
      </w:pPr>
      <w:r>
        <w:rPr>
          <w:rFonts w:ascii="Arial" w:cs="Arial" w:eastAsia="Arial" w:hAnsi="Arial"/>
          <w:sz w:val="16"/>
          <w:szCs w:val="16"/>
          <w:color w:val="auto"/>
        </w:rPr>
        <w:t>If additional tariffs or trade restrictions are imposed on our SoC solutions or the products of our customers, or trade restrictions are imposed on our ability to conduct business with certain customers, there could be a negative impact on our operations and financial performance.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A large portion of our employee base is in China and impacts to our China offices could significantly harm our operations, make it difficult to support customers and negatively impact product development. The materialization of these risks could have a material adverse effect on our business and financial condition. Further, our business and performance are subject to economic conditions, and our suppliers, distributors, and customers may suffer their own financial and economic challenges.</w:t>
      </w:r>
    </w:p>
    <w:p>
      <w:pPr>
        <w:spacing w:after="0" w:line="166" w:lineRule="exact"/>
        <w:rPr>
          <w:sz w:val="20"/>
          <w:szCs w:val="20"/>
          <w:color w:val="auto"/>
        </w:rPr>
      </w:pPr>
    </w:p>
    <w:p>
      <w:pPr>
        <w:ind w:right="100" w:firstLine="509"/>
        <w:spacing w:after="0" w:line="269" w:lineRule="auto"/>
        <w:rPr>
          <w:sz w:val="20"/>
          <w:szCs w:val="20"/>
          <w:color w:val="auto"/>
        </w:rPr>
      </w:pPr>
      <w:r>
        <w:rPr>
          <w:rFonts w:ascii="Arial" w:cs="Arial" w:eastAsia="Arial" w:hAnsi="Arial"/>
          <w:sz w:val="17"/>
          <w:szCs w:val="17"/>
          <w:color w:val="auto"/>
        </w:rPr>
        <w:t>Russia’s ongoing conflict with Ukraine has triggered significant sanctions from U.S. and European leaders. Changes in U.S. trade policy could trigger retaliatory actions by Russia, its allies and other affected countries, including China, resulting in a trade war. For example, in addition to controls imposed on China discussed above, following Russia’s invasion of Ukraine, the United States and other countries imposed certain economic sanctions and severe export control restrictions against Russia and Belarus, as well as certain Russian nationals, which caused us to terminate certain business relationships in those countries. These sanctions and restrictions have continued to increase as the conflict has further escalated, and the United States and other countries could impose wider sanctions and export restrictions and take other actions in the future that could impact our business. Furthermore, if the conflict between Russia and Ukraine continues for a long period of time, or if other countries, including the U.S., become further involved in the conflict, we could face significant adverse effects to our business and financial condition. In addition, some of our customers and third-party partners have engineering teams located in Russian and/or Ukraine, whose operations have been and may continue to be disrupted by the ongoing conflict between the countries. If such disruption were to continue for an extended period, our customers could face delays in the launch of new products containing our solutions, resulting in delayed or decreased demand for our solutions.</w:t>
      </w:r>
    </w:p>
    <w:p>
      <w:pPr>
        <w:spacing w:after="0" w:line="182" w:lineRule="exact"/>
        <w:rPr>
          <w:sz w:val="20"/>
          <w:szCs w:val="20"/>
          <w:color w:val="auto"/>
        </w:rPr>
      </w:pPr>
    </w:p>
    <w:p>
      <w:pPr>
        <w:ind w:right="160" w:firstLine="509"/>
        <w:spacing w:after="0" w:line="293" w:lineRule="auto"/>
        <w:rPr>
          <w:sz w:val="20"/>
          <w:szCs w:val="20"/>
          <w:color w:val="auto"/>
        </w:rPr>
      </w:pPr>
      <w:r>
        <w:rPr>
          <w:rFonts w:ascii="Arial" w:cs="Arial" w:eastAsia="Arial" w:hAnsi="Arial"/>
          <w:sz w:val="16"/>
          <w:szCs w:val="16"/>
          <w:color w:val="auto"/>
        </w:rPr>
        <w:t>We have significant business operations in Taiwan, including approximately 350 employees, and many of our third-party manufacturing suppliers are located in Taiwan. Accordingly, our business, financial condition and results of operations may be affected by changes in governmental and economic policies in Taiwan, social instability and diplomatic and social developments in or affecting Taiwan due to its international political status. Although significant economic and cultural relations have been established between Taiwan and China, we cannot assure that relations between Taiwan and China will not face political or economic uncertainties in the future. Any deterioration in the relations between Taiwan and China, and other factors affecting military, political or economic conditions in Taiwan, could disrupt our business operations and materially and adversely affect our results of operations.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ability to sell our products to several China customers has been restricted.</w:t>
      </w:r>
    </w:p>
    <w:p>
      <w:pPr>
        <w:spacing w:after="0" w:line="225"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Several of our customers, including Hangzhou Hikvision Digital Technology Co., Ltd, or Hikvision, Zhejiang Dahua Technology Co., Ltd., or Dahua, and affiliates of Shenzhen Dajiang Baiwang Technology Co., Ltd., have been added to the Entity List of the Bureau of Industry and Security, or BIS, of the U.S. Department of Commerce, or Commerce, which imposes limitations on the supply of U.S. controlled items to the listed entities. In October 2022, BIS imposed additional restrictions on transactions with Dahua involving items subject to BIS export regulations. Notwithstanding our ability to continue to supply some SoC products to some affiliates of the listed entities, these customers may seek to obtain similar or substitute products from our competitors that are not subject to these limitations, or to develop similar or substitute products themselves. We also cannot be certain what additional actions the U.S. government may take with respect to any of our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or of any additional governmental actions, any of which could have a long-term adverse effect on our business, operating results and financial condition.</w:t>
      </w:r>
    </w:p>
    <w:p>
      <w:pPr>
        <w:spacing w:after="0" w:line="186"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impair our ability to compete in international markets.</w:t>
      </w:r>
    </w:p>
    <w:p>
      <w:pPr>
        <w:spacing w:after="0" w:line="170"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ind w:right="60" w:firstLine="509"/>
        <w:spacing w:after="0" w:line="296" w:lineRule="auto"/>
        <w:rPr>
          <w:sz w:val="20"/>
          <w:szCs w:val="20"/>
          <w:color w:val="auto"/>
        </w:rPr>
      </w:pPr>
      <w:r>
        <w:rPr>
          <w:rFonts w:ascii="Arial" w:cs="Arial" w:eastAsia="Arial" w:hAnsi="Arial"/>
          <w:sz w:val="16"/>
          <w:szCs w:val="16"/>
          <w:color w:val="auto"/>
        </w:rPr>
        <w:t>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warranty and product liability claims and to product recalls.</w:t>
      </w:r>
    </w:p>
    <w:p>
      <w:pPr>
        <w:spacing w:after="0" w:line="225"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We are subject to governmental laws, regulations and other legal obligations related to privacy, data protection and cybersecurity.</w:t>
      </w:r>
    </w:p>
    <w:p>
      <w:pPr>
        <w:spacing w:after="0" w:line="237" w:lineRule="exact"/>
        <w:rPr>
          <w:sz w:val="20"/>
          <w:szCs w:val="20"/>
          <w:color w:val="auto"/>
        </w:rPr>
      </w:pPr>
    </w:p>
    <w:p>
      <w:pPr>
        <w:jc w:val="both"/>
        <w:ind w:right="80" w:firstLine="509"/>
        <w:spacing w:after="0" w:line="287" w:lineRule="auto"/>
        <w:rPr>
          <w:sz w:val="20"/>
          <w:szCs w:val="20"/>
          <w:color w:val="auto"/>
        </w:rPr>
      </w:pPr>
      <w:r>
        <w:rPr>
          <w:rFonts w:ascii="Arial" w:cs="Arial" w:eastAsia="Arial" w:hAnsi="Arial"/>
          <w:sz w:val="16"/>
          <w:szCs w:val="16"/>
          <w:color w:val="auto"/>
        </w:rPr>
        <w:t>The legislative and regulatory framework for privacy, data protection and cybersecurity issues worldwide is rapidly evolving and is likely to remain uncertain for the foreseeable future. We collect and otherwise process personal information and other data as part of our business processes and activities. This data is subject to a variety of U.S. and international laws and regulations, including oversight by various regulatory or other governmental bodies.</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Many foreign countries and governmental bodies, including China, the European Union and other relevant jurisdictions where we conduct business, have laws and regulations concerning the collection, use and other processing of personal information and other data obtained from their residents or by businesses operating within their jurisdictions that are more restrictive than those in the U.S. For example, the European Union has adopted the General Data Protection Regulation, or GDPR, which imposed stringent data protection requirements and provided for substantial penalties for noncompliance, including the potential for fines of up to €20 million or 4% of the annual global revenues of the noncompliant entity, whichever is greater. The United Kingdom has adopted legislation that substantially implements the GDPR and provides for a similar penalty structure. Similarly, California has adopted the California Consumer Privacy Act of 2018, or CCPA, which took effect in 2020. California has adopted a new law, the California Privacy Rights Act of 2020, or CPRA, that substantially expanded the CCPA as of January 1, 2023. The CCPA, as amended and modified by the CPRA, gives California residents the right to access, delete and opt out of certain sharing of their information, and imposes penalties for failure to comply. Numerous other U.S. states have proposed, and in certain cases enacted, similar general privacy legislation.</w:t>
      </w:r>
    </w:p>
    <w:p>
      <w:pPr>
        <w:spacing w:after="0" w:line="179"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In 2021, the National People’s Congress passed the Data Security Law of the People’s Republic of China (Data Security Law) and China’s Personal Information Protection Law (PIPL). The Data Security Law is the first comprehensive data security legislation in China and aims to regulate a wide range of issues in relation to the collection, storage, processing, use, provision, transaction and publication of any kind of data. The PIPL is the first national-level law comprehensively regulating issues in relation to personal information protection in China. Significant uncertainty remains regarding how regulators will interpret and enforce these laws, but the Data Security Law contains provisions that allow substantial government oversight and include fines for failure to obtain required approval from China’s cyber and data protection regulators for cross-border personal information-related data transfers. PIPL authorizes enforcement by cybersecurity authorities and other regulators, and provides for fines and other remedies for noncompliance.</w:t>
      </w:r>
    </w:p>
    <w:p>
      <w:pPr>
        <w:spacing w:after="0" w:line="166"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Aspects of these laws remain unclear, resulting in further uncertainty and potentially requiring us to modify our data practices and policies and to incur substantial additional costs and expenses in an effort to comply. Because the interpretation and application of many laws and regulations relating to privacy, data protection, and data security, along with industry standards, are uncertain, it is possible that these laws and regulations may be interpreted and applied in a manner that is inconsistent with our data management practices or the features of our products or solutions, and we could face fines, lawsuits, regulatory investigations, and other claims and penalties, and we could be required to fundamentally change our products or our business practices, which could have an adverse effect on our business. Any inability, or perceived inability, to adequately address privacy and data protection concerns, or to comply with applicable laws, regulations, policies, industry standards, contractual obligations or other legal obligations, even if unfounded, could result in additional cost and liability to us, inhibit sales, damage our reputation and adversely affect our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ind w:right="280" w:firstLine="509"/>
        <w:spacing w:after="0" w:line="277"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170"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face significant risks if we fail to comply with the FCPA and other anti-corruption laws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Although we implemented an FCPA compliance program, we cannot assure you that all of our employees and agents, as well as those companies to which we outsource certain of our business operations, will not take actions in violation of our policies and applicable law, for which we may be ultimately held responsible. Any violation of the FCPA or other applicable anti-corruption laws could result in severe criminal or civil sanctions and, in the case of the FCPA, suspension or debarment from U.S. government contracting, which could have a material and adverse effect on our reputation, business, financial condition, operating results and cash flows.</w:t>
      </w:r>
    </w:p>
    <w:p>
      <w:pPr>
        <w:spacing w:after="0" w:line="178"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170"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which became effective in March 2007. Failure to comply with these and similar laws and regulations could subject us to fines, penalties, civil or criminal sanctions, contract damage claims, and take-back of non-compliant products, which could harm our business, reputation and operating results.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65"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Our failure to comply with present and future environmental, health and safety laws could cause us to incur substantial costs, result in civil or criminal fines and penalties and decreased revenue, which could adversely affect our operating results.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18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Pursuant to the Dodd-Frank Wall Street Reform and Consumer Protection Act of 2010, or the Dodd-Frank Act, the Securities and Exchange Commission, or the SEC, has adopted requirements for companies that use certain minerals and metals, known as conflict minerals, in their products, whether or not these products are manufactured by third parties. These requirements require companies to perform due diligence, disclose and report whether or not such minerals originate from the Democratic Republic of the Congo and adjoining countries. These requirements could adversely affect the sourcing, availability and pricing of minerals used in the manufacture of semiconductor devices, including our products. While these requirements continue to be subject to administrative uncertainty, we have incurred, and may continue to incur,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ind w:right="380" w:firstLine="509"/>
        <w:spacing w:after="0" w:line="277" w:lineRule="auto"/>
        <w:rPr>
          <w:sz w:val="20"/>
          <w:szCs w:val="20"/>
          <w:color w:val="auto"/>
        </w:rPr>
      </w:pPr>
      <w:r>
        <w:rPr>
          <w:rFonts w:ascii="Arial" w:cs="Arial" w:eastAsia="Arial" w:hAnsi="Arial"/>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170"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Stock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Changes in effective tax rates or adverse outcomes resulting from examination of our income tax returns could adversely affect our results.</w:t>
      </w:r>
    </w:p>
    <w:p>
      <w:pPr>
        <w:spacing w:after="0" w:line="248"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transfer pricing adjustments, re-organization or restructuring of our businesses, changes in our corporate structure, including the effect of acquisitions on our legal structure, by tax costs related to intercompany realignments, tax effects of share-based compensation, expiration of or lapses in tax incentives, or by changes in tax laws, regulations, accounting principles or interpretations thereof. For example, changes in tax laws, including the U.S. federal tax legislation commonly referred to as the Tax Cuts and Jobs Act of 2017, or Tax Act, as well as other factors, could cause us to experience fluctuations in our tax obligations and effective tax rates and otherwise adversely affect our tax positions and/or our tax liabilities. The Tax Act requires complex computations not previously provided in U.S. tax law. The U.S. Department of Treasury has broad authority to issue regulations and interpretative guidance that may significantly impact how we will apply the law and impact our results of operations in the period issued. In August 2022, the U.S. enacted the Inflation Reduction Act of 2022 (IRA), which includes a new 15% corporate minimum tax as well as a 1% excise tax on the fair value of corporate stock repurchases made by U.S. corporations and certain foreign corporations after December 31, 2022. We do not expect the IRA to have a material impact on our financial statements.</w:t>
      </w:r>
    </w:p>
    <w:p>
      <w:pPr>
        <w:spacing w:after="0" w:line="179" w:lineRule="exact"/>
        <w:rPr>
          <w:sz w:val="20"/>
          <w:szCs w:val="20"/>
          <w:color w:val="auto"/>
        </w:rPr>
      </w:pPr>
    </w:p>
    <w:p>
      <w:pPr>
        <w:ind w:right="240" w:firstLine="509"/>
        <w:spacing w:after="0" w:line="311" w:lineRule="auto"/>
        <w:rPr>
          <w:sz w:val="20"/>
          <w:szCs w:val="20"/>
          <w:color w:val="auto"/>
        </w:rPr>
      </w:pPr>
      <w:r>
        <w:rPr>
          <w:rFonts w:ascii="Arial" w:cs="Arial" w:eastAsia="Arial" w:hAnsi="Arial"/>
          <w:sz w:val="16"/>
          <w:szCs w:val="16"/>
          <w:color w:val="auto"/>
        </w:rPr>
        <w:t>In addition, our income tax returns are subject to continuous examination by the Internal Revenue Service, or IRS, and other tax authorities.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149" w:lineRule="exact"/>
        <w:rPr>
          <w:sz w:val="20"/>
          <w:szCs w:val="20"/>
          <w:color w:val="auto"/>
        </w:rPr>
      </w:pPr>
    </w:p>
    <w:p>
      <w:pPr>
        <w:ind w:right="120" w:firstLine="509"/>
        <w:spacing w:after="0" w:line="308" w:lineRule="auto"/>
        <w:rPr>
          <w:sz w:val="20"/>
          <w:szCs w:val="20"/>
          <w:color w:val="auto"/>
        </w:rPr>
      </w:pPr>
      <w:r>
        <w:rPr>
          <w:rFonts w:ascii="Arial" w:cs="Arial" w:eastAsia="Arial" w:hAnsi="Arial"/>
          <w:sz w:val="17"/>
          <w:szCs w:val="17"/>
          <w:b w:val="1"/>
          <w:bCs w:val="1"/>
          <w:i w:val="1"/>
          <w:iCs w:val="1"/>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146" w:lineRule="exact"/>
        <w:rPr>
          <w:sz w:val="20"/>
          <w:szCs w:val="20"/>
          <w:color w:val="auto"/>
        </w:rPr>
      </w:pPr>
    </w:p>
    <w:p>
      <w:pPr>
        <w:ind w:right="40" w:firstLine="509"/>
        <w:spacing w:after="0" w:line="285" w:lineRule="auto"/>
        <w:rPr>
          <w:sz w:val="20"/>
          <w:szCs w:val="20"/>
          <w:color w:val="auto"/>
        </w:rPr>
      </w:pPr>
      <w:r>
        <w:rPr>
          <w:rFonts w:ascii="Arial" w:cs="Arial" w:eastAsia="Arial" w:hAnsi="Arial"/>
          <w:sz w:val="16"/>
          <w:szCs w:val="16"/>
          <w:color w:val="auto"/>
        </w:rPr>
        <w:t>Our operations are subject to certain taxes, such as income and transaction taxes, in the Cayman Islands, the United States, China, Hong Kong, Japan, Italy, Germany, South Korea, Taiwan and other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In particular, past proposals have been made to change certain U.S. tax laws relating to foreign entities with U.S. connections, which may include us. For example, previously proposed legislation has considered treating certain foreign corporations as U.S. domestic corporations (and therefore taxable on all of their worldwide income) if the management and control of the foreign corporation occurs, directly or indirectly, primarily within the United States. If such legislation were enacted, we could, depending on the precise form, be subject to U.S. taxation notwithstanding our domicile outside the United States. In addition, over the last several years, the Organization for Economic Co-operation and Development (OECD) has been working on a Base Erosion and Profit Shifting Project and has been issuing guidelines and proposals covering a number of issues, including country-by-country reporting, permanent establishment rules, transfer pricing rules and tax treaties. Many of these changes have been or are in the process of being adopted by numerous countries and could materially and adversely affect our provision for income taxes. In 2021, more than 140 countries tentatively signed on to a framework that imposes a global minimum tax of 15%. The Council of the European Union has adopted this initiative for enactment by European Union member states by December 31, 2023, with implementation into the domestic laws of those states by the end of 2023, with the rules to be applicable for fiscal years starting on or after December 31, 2023 for multinationals that meet the annual threshold of at least EUR 750 million of consolidated revenues. Additional changes to global tax laws are likely to occur, and such changes may adversely affect our effective tax rate, operating results, and cash flow.</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ind w:right="20" w:firstLine="509"/>
        <w:spacing w:after="0" w:line="293" w:lineRule="auto"/>
        <w:rPr>
          <w:sz w:val="20"/>
          <w:szCs w:val="20"/>
          <w:color w:val="auto"/>
        </w:rPr>
      </w:pPr>
      <w:r>
        <w:rPr>
          <w:rFonts w:ascii="Arial" w:cs="Arial" w:eastAsia="Arial" w:hAnsi="Arial"/>
          <w:sz w:val="16"/>
          <w:szCs w:val="16"/>
          <w:color w:val="auto"/>
        </w:rPr>
        <w:t>In December 2018, the Cayman Islands passed the International Tax Co-Operation (Economic Substance) Law, 2018, which requires Cayman Islands companies carrying on one or more relevant activities to maintain a substantial economic presence in the Cayman Islands. Effective from December 31, 2019, we have structured our activities to comply with the new law. However, the legislation remains subject to further clarification and interpretation and accordingly, there is no guarantee that we will be deemed to be compliant. Furthermore, this legislation may require us to make additional changes to the activities we carry on in the Cayman Islands, which could increase our cost of operations, and we could be subject to penalties for lack of compliance. As a result, we are not able to determine the impact on our operations and net income as of the current period.</w:t>
      </w:r>
    </w:p>
    <w:p>
      <w:pPr>
        <w:spacing w:after="0" w:line="164" w:lineRule="exact"/>
        <w:rPr>
          <w:sz w:val="20"/>
          <w:szCs w:val="20"/>
          <w:color w:val="auto"/>
        </w:rPr>
      </w:pPr>
    </w:p>
    <w:p>
      <w:pPr>
        <w:ind w:right="360" w:firstLine="509"/>
        <w:spacing w:after="0" w:line="263" w:lineRule="auto"/>
        <w:rPr>
          <w:sz w:val="20"/>
          <w:szCs w:val="20"/>
          <w:color w:val="auto"/>
        </w:rPr>
      </w:pPr>
      <w:r>
        <w:rPr>
          <w:rFonts w:ascii="Arial" w:cs="Arial" w:eastAsia="Arial" w:hAnsi="Arial"/>
          <w:sz w:val="18"/>
          <w:szCs w:val="18"/>
          <w:color w:val="auto"/>
        </w:rPr>
        <w:t>We are subject to periodic audits or other reviews by tax authorities in the jurisdictions in which we conduct our activities. Any such audit, examination or review requires management’s time, diverts internal resources and, in the event of an unfavorable outcome, may result in additional tax liabilities or other adjustments to our historical results.</w:t>
      </w:r>
    </w:p>
    <w:p>
      <w:pPr>
        <w:spacing w:after="0" w:line="184"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Because we conduct operations in multiple jurisdictions, our effective tax rate is influenced by the amounts of income and expense attributed to each such jurisdiction. If such amounts were to change so as to increase the amounts of our net income subject to taxation in higher-tax jurisdictions, or if we were to commence operations in jurisdictions assessing relatively higher tax rates, our effective tax rate could be adversely affected.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may be classified as a passive foreign investment company which could result in adverse U.S. federal income tax consequences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ordinary shares.</w:t>
      </w:r>
    </w:p>
    <w:p>
      <w:pPr>
        <w:spacing w:after="0" w:line="211"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Based on the current and anticipated valuation of our assets and the composition of our income and assets, we do not expect to be considered a passive foreign investment company, or PFIC, for U.S. federal income tax purposes for our 2023 fiscal year or the foreseeable future. However, a separate determination must be made at the close of each taxable year as to whether we are a PFIC for that taxable year, and we cannot assure you that we will not be a PFIC for our 2024 fiscal year or any future taxable year. Under current law, a non-U.S. corporation will be considered a PFIC for any taxable year if either (a) at least 75% of its gross income is passive income or (b) at least 50% of the value of its assets, generally based on an average of the quarterly values of the assets during a taxable year, is attributable to assets that produce or are held for the production of passive income. PFIC status depends on the composition of our assets and income and the value of our assets (which may be based in part on the value of our ordinary shares which may fluctuate), including, among others, a pro rata portion of the income and assets of each subsidiary in which we own, directly or indirectly, at least 25% by value of the subsidiary’s equity interests, from time to time.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 If we were treated as a PFIC for any taxable year during which a U.S. holder held ordinary shares, certain adverse U.S. federal income tax consequences could apply for such U.S. holder.</w:t>
      </w:r>
    </w:p>
    <w:p>
      <w:pPr>
        <w:spacing w:after="0" w:line="186"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b w:val="1"/>
          <w:bCs w:val="1"/>
          <w:i w:val="1"/>
          <w:iCs w:val="1"/>
          <w:color w:val="auto"/>
        </w:rPr>
        <w:t>Changes in our United States federal income tax classification, or that of our subsidiaries, could result in adverse tax consequences to our 10% or greater U.S. shareholders.</w:t>
      </w:r>
    </w:p>
    <w:p>
      <w:pPr>
        <w:spacing w:after="0" w:line="170"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Tax Act may have changed the consequences to U.S. shareholders that own, or are considered to own, as a result of the attribution rules, 10% or more of the voting power or value of the stock of a non-U.S. corporation (a 10% U.S. shareholder) under the U.S. federal income tax law applicable to owners of U.S. controlled foreign corporations, or CFCs.</w:t>
      </w:r>
    </w:p>
    <w:p>
      <w:pPr>
        <w:spacing w:after="0" w:line="184" w:lineRule="exact"/>
        <w:rPr>
          <w:sz w:val="20"/>
          <w:szCs w:val="20"/>
          <w:color w:val="auto"/>
        </w:rPr>
      </w:pPr>
    </w:p>
    <w:p>
      <w:pPr>
        <w:ind w:right="220" w:firstLine="509"/>
        <w:spacing w:after="0" w:line="293" w:lineRule="auto"/>
        <w:rPr>
          <w:sz w:val="20"/>
          <w:szCs w:val="20"/>
          <w:color w:val="auto"/>
        </w:rPr>
      </w:pPr>
      <w:r>
        <w:rPr>
          <w:rFonts w:ascii="Arial" w:cs="Arial" w:eastAsia="Arial" w:hAnsi="Arial"/>
          <w:sz w:val="16"/>
          <w:szCs w:val="16"/>
          <w:color w:val="auto"/>
        </w:rPr>
        <w:t>Prior to the Tax Act, we did not believe that we, or any of our non-U.S. subsidiaries, were considered a CFC, which is a determination made daily based on whether the 10% U.S. shareholders together own, or are considered to own under the attribution rules, more than 50% of the voting power or value of a non-U.S. corporation. Under the Tax Act, however, because our group includes one or more U.S. subsidiaries, certain of our non-U.S. subsidiaries may be classified as CFCs with respect to any single 10% U.S. shareholder, even without regard to whether 10% U.S. shareholders together own, directly or indirectly, more than 50% of the voting power or value of the Company. Our 10% or greater U.S. shareholders should consult their individual tax advisors for advice regarding the Tax Act revision to the U.S. federal income tax law applicable to owners of CFCs.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170"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171"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78"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17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semiconductor industry is characterized by vigorous protection and pursuit of intellectual property rights and positions, which has resulted in protracted and expensive litigation for many companies. We and certain of our customers have received, and in the future may receive, communications from others alleging our infringement of their patents, trade secrets or other intellectual property rights. In addition, we and certain of our end customers have been the subject of lawsuits alleging infringement of intellectual property rights by our solutions or products incorporating our solutions, including the assertion that the alleged infringement may be attributable, at least in part, to our technology. Such lawsuits could subject us to significant liability for damages and invalidate our proprietary rights, though this has not occurred to date. Any potential intellectual property litigation also could force us to do one or more of the following:</w:t>
      </w:r>
    </w:p>
    <w:p>
      <w:pPr>
        <w:spacing w:after="0" w:line="87"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stop selling products or using technology that contain the allegedly infringing intellectual property;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may be found to be infringing;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attempt to obtain a license to the relevant intellectual property from third parties, which may not be available on reasonable terms or at all; or</w:t>
      </w:r>
    </w:p>
    <w:p>
      <w:pPr>
        <w:spacing w:after="0" w:line="140" w:lineRule="exact"/>
        <w:rPr>
          <w:rFonts w:ascii="Arial" w:cs="Arial" w:eastAsia="Arial" w:hAnsi="Arial"/>
          <w:sz w:val="16"/>
          <w:szCs w:val="16"/>
          <w:color w:val="auto"/>
        </w:rPr>
      </w:pPr>
    </w:p>
    <w:p>
      <w:pPr>
        <w:ind w:left="1020" w:right="14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against others.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Any significant impairment of our intellectual property rights from any litigation we face could harm our business and our ability to compete.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4" w:name="page55"/>
    <w:bookmarkEnd w:id="54"/>
    <w:p>
      <w:pPr>
        <w:ind w:right="260" w:firstLine="509"/>
        <w:spacing w:after="0" w:line="277" w:lineRule="auto"/>
        <w:rPr>
          <w:sz w:val="20"/>
          <w:szCs w:val="20"/>
          <w:color w:val="auto"/>
        </w:rPr>
      </w:pPr>
      <w:r>
        <w:rPr>
          <w:rFonts w:ascii="Arial" w:cs="Arial" w:eastAsia="Arial" w:hAnsi="Arial"/>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170" w:lineRule="exact"/>
        <w:rPr>
          <w:sz w:val="20"/>
          <w:szCs w:val="20"/>
          <w:color w:val="auto"/>
        </w:rPr>
      </w:pPr>
    </w:p>
    <w:p>
      <w:pPr>
        <w:ind w:right="80" w:firstLine="509"/>
        <w:spacing w:after="0" w:line="287" w:lineRule="auto"/>
        <w:rPr>
          <w:sz w:val="20"/>
          <w:szCs w:val="20"/>
          <w:color w:val="auto"/>
        </w:rPr>
      </w:pPr>
      <w:r>
        <w:rPr>
          <w:rFonts w:ascii="Arial" w:cs="Arial" w:eastAsia="Arial" w:hAnsi="Arial"/>
          <w:sz w:val="16"/>
          <w:szCs w:val="16"/>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72"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170"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161"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Ordinary Shares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ordinary shares may be volatile, which could cause the value of your investment to decline.</w:t>
      </w:r>
    </w:p>
    <w:p>
      <w:pPr>
        <w:spacing w:after="0" w:line="225"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The market price of our ordinary shares has historically been highly volatile, and has been particularly volatile in recent years. For example, since February 1, 2020, the trading price of our common stock ranged from a low of $36.02 to a high of $227.59 and was $83.42 at the close of trading on July 31, 2023. The trading price of our ordinary shares is likely to remain volatile and could be subject to wide fluctuations in price in response to various factors, some of which are beyond our control. These factors include:</w:t>
      </w:r>
    </w:p>
    <w:p>
      <w:pPr>
        <w:spacing w:after="0" w:line="79"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financial estimates, including our ability to meet our future revenue and operating profit or loss projections;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our operating results or those of other semiconductor or comparable companies;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the economic performance or market valuations of companies perceived by investors to be comparable to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developments in the semiconductor industry as a whole;</w:t>
      </w:r>
    </w:p>
    <w:p>
      <w:pPr>
        <w:spacing w:after="0" w:line="117"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including conditions related to the banking industry or caused by pandemics and high inflation, and slow or negative market growth;</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trade and other geopolitical activities affecting markets we address;</w:t>
      </w:r>
    </w:p>
    <w:p>
      <w:pPr>
        <w:spacing w:after="0" w:line="117"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new products, significant contracts or orders, commercial relationships or capital commitments;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develop and market new and enhanced solutions on a timely basis;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demand for our customers’ products;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5" w:name="page56"/>
    <w:bookmarkEnd w:id="55"/>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 to our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or social conditions in the markets where we sell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governmental regulations;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225"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8"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b w:val="1"/>
          <w:bCs w:val="1"/>
          <w:i w:val="1"/>
          <w:iCs w:val="1"/>
          <w:color w:val="auto"/>
        </w:rPr>
        <w:t>Our actual operating results may not meet or exceed our guidance and investor expectations, which would likely cause our stock price to decline.</w:t>
      </w:r>
    </w:p>
    <w:p>
      <w:pPr>
        <w:spacing w:after="0" w:line="170"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The principal reason that we expect to release guidance is to provide a basis for our management to discuss our business outlook with analysts and investors. With or without our guidance, analysts and other investors may publish expectations regarding our business, financial performance and results of operations. We do not accept any responsibility for any projections or reports published by any such third persons.</w:t>
      </w:r>
    </w:p>
    <w:p>
      <w:pPr>
        <w:spacing w:after="0" w:line="166"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ordinary shares is likely to decline. Similarly, if our guidance does not meet or exceed expectations of investors or securities analysts, the trading price of our ordinary shares is likely to decline.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price of our ordinary shares could decrease as a result of shares being sold in the market.</w:t>
      </w:r>
    </w:p>
    <w:p>
      <w:pPr>
        <w:spacing w:after="0" w:line="225"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Sales of a substantial number of our ordinary shares in the public market, or the perception that these sales might occur, could cause the market price of our ordinary shares to decline. In the past, we have issued stock options to employees and we regularly issue restricted stock units (RSUs) to employees, which settle as ordinary shares upon vesting. These shares can be freely sold in the public market upon issuance and vesting, subject to restrictions provided under the terms of the applicable plan and/or the option agreements entered into with option holders. We may also issue ordinary shares or securities convertible into ordinary shares from time to time in connection with a financing, acquisition or otherwise. Any such issuance could result in substantial dilution to our existing shareholders and cause the trading price of our stock to decline.</w:t>
      </w:r>
    </w:p>
    <w:p>
      <w:pPr>
        <w:spacing w:after="0" w:line="178"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ordinary shares and, consequently, a shareholder’s ability to achieve a return on its investment will depend on appreciation in the price of our ordinary shares.</w:t>
      </w:r>
    </w:p>
    <w:p>
      <w:pPr>
        <w:spacing w:after="0" w:line="170"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have never declared or paid any cash dividends on our ordinary shares and do not currently intend to do so for the foreseeable future. We currently intend to invest our future earnings, if any, to fund our growth. Therefore, shareholders are not likely to receive any dividends on their ordinary shares for the foreseeable future and the success of an investment in our ordinary shares will depend upon any future appreciation in their value. There is no guarantee that our ordinary shares will appreciate in value or even maintain the price at which our shareholders have purchased their shares. Investors seeking cash dividends should not purchase our ordinary shares.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6" w:name="page57"/>
    <w:bookmarkEnd w:id="56"/>
    <w:p>
      <w:pPr>
        <w:ind w:right="220" w:firstLine="509"/>
        <w:spacing w:after="0" w:line="277" w:lineRule="auto"/>
        <w:rPr>
          <w:sz w:val="20"/>
          <w:szCs w:val="20"/>
          <w:color w:val="auto"/>
        </w:rPr>
      </w:pPr>
      <w:r>
        <w:rPr>
          <w:rFonts w:ascii="Arial" w:cs="Arial" w:eastAsia="Arial" w:hAnsi="Arial"/>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170"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62"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w:t>
      </w:r>
    </w:p>
    <w:p>
      <w:pPr>
        <w:spacing w:after="0" w:line="117" w:lineRule="exact"/>
        <w:rPr>
          <w:rFonts w:ascii="Arial" w:cs="Arial" w:eastAsia="Arial" w:hAnsi="Arial"/>
          <w:sz w:val="18"/>
          <w:szCs w:val="18"/>
          <w:color w:val="auto"/>
        </w:rPr>
      </w:pPr>
    </w:p>
    <w:p>
      <w:pPr>
        <w:ind w:left="1020" w:right="72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right of our board of directors to elect a director to fill a vacancy created by the expansion of our board of directors or due to the resignation or departure of an existing board member;</w:t>
      </w:r>
    </w:p>
    <w:p>
      <w:pPr>
        <w:spacing w:after="0" w:line="62" w:lineRule="exact"/>
        <w:rPr>
          <w:rFonts w:ascii="Arial" w:cs="Arial" w:eastAsia="Arial" w:hAnsi="Arial"/>
          <w:sz w:val="18"/>
          <w:szCs w:val="18"/>
          <w:color w:val="auto"/>
        </w:rPr>
      </w:pPr>
    </w:p>
    <w:p>
      <w:pPr>
        <w:ind w:left="1020" w:right="60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prohibition of cumulative voting in the election of directors which would otherwise allow less than a majority of shareholders to elect director candidates;</w:t>
      </w:r>
    </w:p>
    <w:p>
      <w:pPr>
        <w:spacing w:after="0" w:line="62"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for the advance notice of nominations for election to our board of directors or for proposing matters that can be acted upon at a shareholders’ meeting;</w:t>
      </w:r>
    </w:p>
    <w:p>
      <w:pPr>
        <w:spacing w:after="0" w:line="62" w:lineRule="exact"/>
        <w:rPr>
          <w:rFonts w:ascii="Arial" w:cs="Arial" w:eastAsia="Arial" w:hAnsi="Arial"/>
          <w:sz w:val="18"/>
          <w:szCs w:val="18"/>
          <w:color w:val="auto"/>
        </w:rPr>
      </w:pPr>
    </w:p>
    <w:p>
      <w:pPr>
        <w:ind w:left="1020" w:right="40" w:hanging="503"/>
        <w:spacing w:after="0" w:line="308"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38" w:lineRule="exact"/>
        <w:rPr>
          <w:rFonts w:ascii="Arial" w:cs="Arial" w:eastAsia="Arial" w:hAnsi="Arial"/>
          <w:sz w:val="17"/>
          <w:szCs w:val="17"/>
          <w:color w:val="auto"/>
        </w:rPr>
      </w:pPr>
    </w:p>
    <w:p>
      <w:pPr>
        <w:ind w:left="1020" w:right="62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elimination of the rights of shareholders to call a special meeting of shareholders and to take action by written consent in lieu of a meeting; and</w:t>
      </w:r>
    </w:p>
    <w:p>
      <w:pPr>
        <w:spacing w:after="0" w:line="62" w:lineRule="exact"/>
        <w:rPr>
          <w:rFonts w:ascii="Arial" w:cs="Arial" w:eastAsia="Arial" w:hAnsi="Arial"/>
          <w:sz w:val="18"/>
          <w:szCs w:val="18"/>
          <w:color w:val="auto"/>
        </w:rPr>
      </w:pPr>
    </w:p>
    <w:p>
      <w:pPr>
        <w:ind w:left="1020" w:right="100" w:hanging="503"/>
        <w:spacing w:after="0" w:line="308"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Holders of our ordinary shares may face difficulties in protecting their interests because we are incorporated under Cayman Islands law.</w:t>
      </w:r>
    </w:p>
    <w:p>
      <w:pPr>
        <w:spacing w:after="0" w:line="248" w:lineRule="exact"/>
        <w:rPr>
          <w:sz w:val="20"/>
          <w:szCs w:val="20"/>
          <w:color w:val="auto"/>
        </w:rPr>
      </w:pPr>
    </w:p>
    <w:p>
      <w:pPr>
        <w:ind w:right="100" w:firstLine="509"/>
        <w:spacing w:after="0" w:line="269" w:lineRule="auto"/>
        <w:rPr>
          <w:sz w:val="20"/>
          <w:szCs w:val="20"/>
          <w:color w:val="auto"/>
        </w:rPr>
      </w:pPr>
      <w:r>
        <w:rPr>
          <w:rFonts w:ascii="Arial" w:cs="Arial" w:eastAsia="Arial" w:hAnsi="Arial"/>
          <w:sz w:val="17"/>
          <w:szCs w:val="17"/>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185"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Subject to limited exceptions, under Cayman Islands law, a minority shareholder may not bring a derivative action against the board of directors.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ind w:right="40" w:firstLine="509"/>
        <w:spacing w:after="0" w:line="277" w:lineRule="auto"/>
        <w:rPr>
          <w:sz w:val="20"/>
          <w:szCs w:val="20"/>
          <w:color w:val="auto"/>
        </w:rPr>
      </w:pPr>
      <w:r>
        <w:rPr>
          <w:rFonts w:ascii="Arial" w:cs="Arial" w:eastAsia="Arial" w:hAnsi="Arial"/>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170"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our operations are interrupted, our business and reputation could suffer.</w:t>
      </w:r>
    </w:p>
    <w:p>
      <w:pPr>
        <w:spacing w:after="0" w:line="225"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Our operations and those of our manufacturers are vulnerable to interruption caused by technical breakdowns, computer hardware and software malfunctions, software viruses, infrastructure failures, pandemics, including the COVID-19 pandemic and regional health issues, earthquakes, fires, severe storms, floods and other negative impacts from climate change, power losses, telecommunications failures, terrorist attacks, wars, Internet failures and other events beyond our control. Our operations could also be disrupted by geopolitical conditions, particularly in Taiwan or China, where the majority of our employees are located. Any disruption in our services or operations could result in a reduction in revenue, delay product development and R&amp;D, or result in a claim for substantial damages against us, regardless of whether we are responsible for that failure. If remote or work from home conditions were to continue for an extended period of time,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185"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b w:val="1"/>
          <w:bCs w:val="1"/>
          <w:i w:val="1"/>
          <w:iCs w:val="1"/>
          <w:color w:val="auto"/>
        </w:rPr>
        <w:t>If securities analysts or industry analysts downgrade our ordinary shares, publish negative research or reports or fail to publish reports about our business, our stock price and trading volume could decline.</w:t>
      </w:r>
    </w:p>
    <w:p>
      <w:pPr>
        <w:spacing w:after="0" w:line="170"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publish about us, our business and our market. If one or more analysts adversely changes their recommendation regarding our stock or our competitors’ stock, our stock price would likely decline. If one or more analysts cease coverage of us or fail to regularly publish reports on us, we could lose visibility in the financial markets which in turn could cause our stock price or trading volume to decline.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Trading Plans of Directors and Executive Officers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our last fiscal quarter ending July 31, 2023, the following director adopted a “Rule 10b5-1 trading arrangement” as defined in Regulation 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 Item 408, as follows:</w:t>
      </w:r>
    </w:p>
    <w:p>
      <w:pPr>
        <w:spacing w:after="0" w:line="211"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On June 21, 2023, Christopher Paisley, a member of our board of directors, adopted a Rule 10b5-1 trading arrangement providing for the sale from time to time up to of an aggregate of 12,000 of our ordinary shares. The trading arrangement is intended to satisfy the affirmative defense in Rule 10b5-1(c). The duration of the trading arrangement is until June 28, 2024, or earlier if all transactions under the trading arrangement are completed.</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920" w:type="dxa"/>
            <w:vAlign w:val="bottom"/>
            <w:gridSpan w:val="5"/>
          </w:tcPr>
          <w:p>
            <w:pPr>
              <w:ind w:left="6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4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76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2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7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4"/>
        </w:trPr>
        <w:tc>
          <w:tcPr>
            <w:tcW w:w="1160" w:type="dxa"/>
            <w:vAlign w:val="bottom"/>
            <w:gridSpan w:val="2"/>
          </w:tcPr>
          <w:p>
            <w:pPr>
              <w:ind w:left="140"/>
              <w:spacing w:after="0"/>
              <w:rPr>
                <w:sz w:val="20"/>
                <w:szCs w:val="20"/>
                <w:color w:val="auto"/>
              </w:rPr>
            </w:pPr>
            <w:r>
              <w:rPr>
                <w:rFonts w:ascii="Arial" w:cs="Arial" w:eastAsia="Arial" w:hAnsi="Arial"/>
                <w:sz w:val="18"/>
                <w:szCs w:val="18"/>
                <w:color w:val="auto"/>
              </w:rPr>
              <w:t>3.1(1)</w:t>
            </w:r>
          </w:p>
        </w:tc>
        <w:tc>
          <w:tcPr>
            <w:tcW w:w="10040" w:type="dxa"/>
            <w:vAlign w:val="bottom"/>
            <w:gridSpan w:val="7"/>
          </w:tcPr>
          <w:p>
            <w:pPr>
              <w:spacing w:after="0"/>
              <w:rPr>
                <w:rFonts w:ascii="Arial" w:cs="Arial" w:eastAsia="Arial" w:hAnsi="Arial"/>
                <w:sz w:val="18"/>
                <w:szCs w:val="18"/>
                <w:color w:val="0000FF"/>
                <w:w w:val="96"/>
              </w:rPr>
            </w:pPr>
            <w:hyperlink r:id="rId269">
              <w:r>
                <w:rPr>
                  <w:rFonts w:ascii="Arial" w:cs="Arial" w:eastAsia="Arial" w:hAnsi="Arial"/>
                  <w:sz w:val="18"/>
                  <w:szCs w:val="18"/>
                  <w:color w:val="0000FF"/>
                  <w:w w:val="96"/>
                </w:rPr>
                <w:t>Amended and Restated Memorandum of Association and Second Amended and Restated Articles of Association of the Registrant.</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Borders>
              <w:right w:val="single" w:sz="8" w:color="0000FF"/>
            </w:tcBorders>
            <w:shd w:val="clear" w:color="auto" w:fill="0000FF"/>
          </w:tcPr>
          <w:p>
            <w:pPr>
              <w:spacing w:after="0" w:line="20" w:lineRule="exact"/>
              <w:rPr>
                <w:sz w:val="1"/>
                <w:szCs w:val="1"/>
                <w:color w:val="auto"/>
              </w:rPr>
            </w:pPr>
          </w:p>
        </w:tc>
        <w:tc>
          <w:tcPr>
            <w:tcW w:w="6280" w:type="dxa"/>
            <w:vAlign w:val="bottom"/>
            <w:tcBorders>
              <w:right w:val="single" w:sz="8" w:color="0000EE"/>
            </w:tcBorders>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 w:type="dxa"/>
            <w:vAlign w:val="bottom"/>
          </w:tcPr>
          <w:p>
            <w:pPr>
              <w:ind w:left="100"/>
              <w:spacing w:after="0"/>
              <w:rPr>
                <w:sz w:val="20"/>
                <w:szCs w:val="20"/>
                <w:color w:val="auto"/>
              </w:rPr>
            </w:pPr>
            <w:r>
              <w:rPr>
                <w:rFonts w:ascii="Arial" w:cs="Arial" w:eastAsia="Arial" w:hAnsi="Arial"/>
                <w:sz w:val="18"/>
                <w:szCs w:val="18"/>
                <w:color w:val="auto"/>
              </w:rPr>
              <w:t>31.1</w:t>
            </w:r>
          </w:p>
        </w:tc>
        <w:tc>
          <w:tcPr>
            <w:tcW w:w="64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Arial" w:cs="Arial" w:eastAsia="Arial" w:hAnsi="Arial"/>
                <w:sz w:val="18"/>
                <w:szCs w:val="18"/>
                <w:color w:val="0000FF"/>
                <w:w w:val="95"/>
              </w:rPr>
              <w:t>Certification of Principal Executive Officer Required Under Rule 13a-14(a) and 15d-14(a) of the Securities Exchange Act of 1934, as</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Borders>
              <w:right w:val="single" w:sz="8" w:color="0000FF"/>
            </w:tcBorders>
            <w:shd w:val="clear" w:color="auto" w:fill="0000FF"/>
          </w:tcPr>
          <w:p>
            <w:pPr>
              <w:spacing w:after="0" w:line="20" w:lineRule="exact"/>
              <w:rPr>
                <w:sz w:val="1"/>
                <w:szCs w:val="1"/>
                <w:color w:val="auto"/>
              </w:rPr>
            </w:pPr>
          </w:p>
        </w:tc>
        <w:tc>
          <w:tcPr>
            <w:tcW w:w="648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40" w:type="dxa"/>
            <w:vAlign w:val="bottom"/>
            <w:gridSpan w:val="7"/>
          </w:tcPr>
          <w:p>
            <w:pPr>
              <w:spacing w:after="0" w:line="196" w:lineRule="exact"/>
              <w:rPr>
                <w:sz w:val="20"/>
                <w:szCs w:val="20"/>
                <w:color w:val="auto"/>
              </w:rPr>
            </w:pPr>
            <w:r>
              <w:rPr>
                <w:rFonts w:ascii="Arial" w:cs="Arial" w:eastAsia="Arial" w:hAnsi="Arial"/>
                <w:sz w:val="18"/>
                <w:szCs w:val="18"/>
                <w:color w:val="0000FF"/>
              </w:rPr>
              <w:t>amended.</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 w:type="dxa"/>
            <w:vAlign w:val="bottom"/>
          </w:tcPr>
          <w:p>
            <w:pPr>
              <w:ind w:left="100"/>
              <w:spacing w:after="0"/>
              <w:rPr>
                <w:sz w:val="20"/>
                <w:szCs w:val="20"/>
                <w:color w:val="auto"/>
              </w:rPr>
            </w:pPr>
            <w:r>
              <w:rPr>
                <w:rFonts w:ascii="Arial" w:cs="Arial" w:eastAsia="Arial" w:hAnsi="Arial"/>
                <w:sz w:val="18"/>
                <w:szCs w:val="18"/>
                <w:color w:val="auto"/>
              </w:rPr>
              <w:t>31.2</w:t>
            </w:r>
          </w:p>
        </w:tc>
        <w:tc>
          <w:tcPr>
            <w:tcW w:w="64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Arial" w:cs="Arial" w:eastAsia="Arial" w:hAnsi="Arial"/>
                <w:sz w:val="18"/>
                <w:szCs w:val="18"/>
                <w:color w:val="0000FF"/>
                <w:w w:val="96"/>
              </w:rPr>
              <w:t>Certification of Principal Financial Officer Required Under Rule 13a-14(a) and 15d-14(a) of the Securities Exchange Act of 1934, as</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20" w:type="dxa"/>
            <w:vAlign w:val="bottom"/>
            <w:tcBorders>
              <w:right w:val="single" w:sz="8" w:color="0000FF"/>
            </w:tcBorders>
            <w:gridSpan w:val="2"/>
            <w:shd w:val="clear" w:color="auto" w:fill="0000FF"/>
          </w:tcPr>
          <w:p>
            <w:pPr>
              <w:spacing w:after="0" w:line="20" w:lineRule="exact"/>
              <w:rPr>
                <w:sz w:val="1"/>
                <w:szCs w:val="1"/>
                <w:color w:val="auto"/>
              </w:rPr>
            </w:pPr>
          </w:p>
        </w:tc>
        <w:tc>
          <w:tcPr>
            <w:tcW w:w="648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40" w:type="dxa"/>
            <w:vAlign w:val="bottom"/>
            <w:gridSpan w:val="7"/>
          </w:tcPr>
          <w:p>
            <w:pPr>
              <w:spacing w:after="0" w:line="196" w:lineRule="exact"/>
              <w:rPr>
                <w:sz w:val="20"/>
                <w:szCs w:val="20"/>
                <w:color w:val="auto"/>
              </w:rPr>
            </w:pPr>
            <w:r>
              <w:rPr>
                <w:rFonts w:ascii="Arial" w:cs="Arial" w:eastAsia="Arial" w:hAnsi="Arial"/>
                <w:sz w:val="18"/>
                <w:szCs w:val="18"/>
                <w:color w:val="0000FF"/>
              </w:rPr>
              <w:t>amended.</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9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 w:type="dxa"/>
            <w:vAlign w:val="bottom"/>
          </w:tcPr>
          <w:p>
            <w:pPr>
              <w:ind w:left="100"/>
              <w:spacing w:after="0"/>
              <w:rPr>
                <w:sz w:val="20"/>
                <w:szCs w:val="20"/>
                <w:color w:val="auto"/>
              </w:rPr>
            </w:pPr>
            <w:r>
              <w:rPr>
                <w:rFonts w:ascii="Arial" w:cs="Arial" w:eastAsia="Arial" w:hAnsi="Arial"/>
                <w:sz w:val="18"/>
                <w:szCs w:val="18"/>
                <w:color w:val="auto"/>
                <w:w w:val="88"/>
              </w:rPr>
              <w:t>32.1±</w:t>
            </w:r>
          </w:p>
        </w:tc>
        <w:tc>
          <w:tcPr>
            <w:tcW w:w="64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Arial" w:cs="Arial" w:eastAsia="Arial" w:hAnsi="Arial"/>
                <w:sz w:val="18"/>
                <w:szCs w:val="18"/>
                <w:color w:val="0000FF"/>
                <w:w w:val="92"/>
              </w:rPr>
              <w:t>Certification of Principal Executive Officer and Principal Financial Officer Required Under Rule 13a-14(b) of the Securities Exchange Act</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20" w:type="dxa"/>
            <w:vAlign w:val="bottom"/>
            <w:tcBorders>
              <w:right w:val="single" w:sz="8" w:color="0000FF"/>
            </w:tcBorders>
            <w:gridSpan w:val="2"/>
            <w:shd w:val="clear" w:color="auto" w:fill="0000FF"/>
          </w:tcPr>
          <w:p>
            <w:pPr>
              <w:spacing w:after="0" w:line="20" w:lineRule="exact"/>
              <w:rPr>
                <w:sz w:val="1"/>
                <w:szCs w:val="1"/>
                <w:color w:val="auto"/>
              </w:rPr>
            </w:pPr>
          </w:p>
        </w:tc>
        <w:tc>
          <w:tcPr>
            <w:tcW w:w="6920" w:type="dxa"/>
            <w:vAlign w:val="bottom"/>
            <w:gridSpan w:val="5"/>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40" w:type="dxa"/>
            <w:vAlign w:val="bottom"/>
            <w:gridSpan w:val="7"/>
          </w:tcPr>
          <w:p>
            <w:pPr>
              <w:spacing w:after="0" w:line="196" w:lineRule="exact"/>
              <w:rPr>
                <w:sz w:val="20"/>
                <w:szCs w:val="20"/>
                <w:color w:val="auto"/>
              </w:rPr>
            </w:pPr>
            <w:r>
              <w:rPr>
                <w:rFonts w:ascii="Arial" w:cs="Arial" w:eastAsia="Arial" w:hAnsi="Arial"/>
                <w:sz w:val="18"/>
                <w:szCs w:val="18"/>
                <w:color w:val="0000FF"/>
              </w:rPr>
              <w:t>of 1934, as amended, and 18 U.S.C. §1350.</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3120" w:type="dxa"/>
            <w:vAlign w:val="bottom"/>
            <w:tcBorders>
              <w:right w:val="single" w:sz="8" w:color="0000EE"/>
            </w:tcBorders>
            <w:gridSpan w:val="2"/>
            <w:shd w:val="clear" w:color="auto" w:fill="0000FF"/>
          </w:tcPr>
          <w:p>
            <w:pPr>
              <w:spacing w:after="0" w:line="20" w:lineRule="exact"/>
              <w:rPr>
                <w:sz w:val="1"/>
                <w:szCs w:val="1"/>
                <w:color w:val="auto"/>
              </w:rPr>
            </w:pPr>
          </w:p>
        </w:tc>
        <w:tc>
          <w:tcPr>
            <w:tcW w:w="69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7"/>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4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92"/>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7"/>
          </w:tcPr>
          <w:p>
            <w:pPr>
              <w:spacing w:after="0"/>
              <w:rPr>
                <w:sz w:val="20"/>
                <w:szCs w:val="20"/>
                <w:color w:val="auto"/>
              </w:rPr>
            </w:pPr>
            <w:r>
              <w:rPr>
                <w:rFonts w:ascii="Arial" w:cs="Arial" w:eastAsia="Arial" w:hAnsi="Arial"/>
                <w:sz w:val="18"/>
                <w:szCs w:val="18"/>
                <w:color w:val="auto"/>
              </w:rPr>
              <w:t>Inline XBRL Taxonomy Schema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7"/>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7"/>
          </w:tcPr>
          <w:p>
            <w:pPr>
              <w:spacing w:after="0"/>
              <w:rPr>
                <w:sz w:val="20"/>
                <w:szCs w:val="20"/>
                <w:color w:val="auto"/>
              </w:rPr>
            </w:pPr>
            <w:r>
              <w:rPr>
                <w:rFonts w:ascii="Arial" w:cs="Arial" w:eastAsia="Arial" w:hAnsi="Arial"/>
                <w:sz w:val="18"/>
                <w:szCs w:val="18"/>
                <w:color w:val="auto"/>
              </w:rPr>
              <w:t>Inline XBRL Taxonomy Definition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7"/>
          </w:tcPr>
          <w:p>
            <w:pPr>
              <w:spacing w:after="0"/>
              <w:rPr>
                <w:sz w:val="20"/>
                <w:szCs w:val="20"/>
                <w:color w:val="auto"/>
              </w:rPr>
            </w:pPr>
            <w:r>
              <w:rPr>
                <w:rFonts w:ascii="Arial" w:cs="Arial" w:eastAsia="Arial" w:hAnsi="Arial"/>
                <w:sz w:val="18"/>
                <w:szCs w:val="18"/>
                <w:color w:val="auto"/>
              </w:rPr>
              <w:t>Inline XBRL Taxonomy Labels Linkbase Document</w:t>
            </w:r>
          </w:p>
        </w:tc>
        <w:tc>
          <w:tcPr>
            <w:tcW w:w="0" w:type="dxa"/>
            <w:vAlign w:val="bottom"/>
          </w:tcPr>
          <w:p>
            <w:pPr>
              <w:spacing w:after="0"/>
              <w:rPr>
                <w:sz w:val="1"/>
                <w:szCs w:val="1"/>
                <w:color w:val="auto"/>
              </w:rPr>
            </w:pPr>
          </w:p>
        </w:tc>
      </w:tr>
      <w:tr>
        <w:trPr>
          <w:trHeight w:val="391"/>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7"/>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40" w:right="420" w:hanging="1139"/>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July 31, 2023, has been formatted in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8312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31" w:lineRule="exact"/>
        <w:rPr>
          <w:sz w:val="20"/>
          <w:szCs w:val="20"/>
          <w:color w:val="auto"/>
        </w:rPr>
      </w:pPr>
    </w:p>
    <w:p>
      <w:pPr>
        <w:ind w:left="1140" w:right="380" w:hanging="1139"/>
        <w:spacing w:after="0" w:line="266"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the Registrant’s registration statement on Form S-1 (No. 333-174838) Amendment No. 3 as filed with the Securities and Exchange Commission on September 12, 2012.</w:t>
      </w:r>
    </w:p>
    <w:p>
      <w:pPr>
        <w:ind w:left="1140" w:hanging="1139"/>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33-8238 and 34-47986, Final Rule:</w:t>
      </w:r>
    </w:p>
    <w:p>
      <w:pPr>
        <w:spacing w:after="0" w:line="23" w:lineRule="exact"/>
        <w:rPr>
          <w:rFonts w:ascii="Arial" w:cs="Arial" w:eastAsia="Arial" w:hAnsi="Arial"/>
          <w:sz w:val="18"/>
          <w:szCs w:val="18"/>
          <w:color w:val="auto"/>
        </w:rPr>
      </w:pPr>
    </w:p>
    <w:p>
      <w:pPr>
        <w:ind w:left="1140" w:right="20"/>
        <w:spacing w:after="0" w:line="273" w:lineRule="auto"/>
        <w:rPr>
          <w:rFonts w:ascii="Arial" w:cs="Arial" w:eastAsia="Arial" w:hAnsi="Arial"/>
          <w:sz w:val="18"/>
          <w:szCs w:val="18"/>
          <w:color w:val="auto"/>
        </w:rPr>
      </w:pPr>
      <w:r>
        <w:rPr>
          <w:rFonts w:ascii="Arial" w:cs="Arial" w:eastAsia="Arial" w:hAnsi="Arial"/>
          <w:sz w:val="17"/>
          <w:szCs w:val="17"/>
          <w:color w:val="auto"/>
        </w:rPr>
        <w:t>Management’s Reports on Internal Control Over Financial Reporting and Certification of Disclosure in Exchange Act Periodic Reports, the certifications furnished in Exhibits 32.1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59" w:name="page60"/>
    <w:bookmarkEnd w:id="59"/>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AMBARELLA, INC.</w:t>
      </w:r>
    </w:p>
    <w:p>
      <w:pPr>
        <w:spacing w:after="0" w:line="310" w:lineRule="exact"/>
        <w:rPr>
          <w:sz w:val="20"/>
          <w:szCs w:val="20"/>
          <w:color w:val="auto"/>
        </w:rPr>
      </w:pPr>
    </w:p>
    <w:p>
      <w:pPr>
        <w:ind w:left="20"/>
        <w:spacing w:after="0"/>
        <w:tabs>
          <w:tab w:leader="none" w:pos="5760" w:val="left"/>
          <w:tab w:leader="none" w:pos="7980" w:val="left"/>
        </w:tabs>
        <w:rPr>
          <w:sz w:val="20"/>
          <w:szCs w:val="20"/>
          <w:color w:val="auto"/>
        </w:rPr>
      </w:pPr>
      <w:r>
        <w:rPr>
          <w:rFonts w:ascii="Arial" w:cs="Arial" w:eastAsia="Arial" w:hAnsi="Arial"/>
          <w:sz w:val="18"/>
          <w:szCs w:val="18"/>
          <w:color w:val="auto"/>
        </w:rPr>
        <w:t>Date: September 08,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23495</wp:posOffset>
            </wp:positionV>
            <wp:extent cx="31292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29" w:lineRule="exact"/>
        <w:rPr>
          <w:sz w:val="20"/>
          <w:szCs w:val="20"/>
          <w:color w:val="auto"/>
        </w:rPr>
      </w:pPr>
    </w:p>
    <w:p>
      <w:pPr>
        <w:jc w:val="center"/>
        <w:ind w:left="6240"/>
        <w:spacing w:after="0"/>
        <w:rPr>
          <w:sz w:val="20"/>
          <w:szCs w:val="20"/>
          <w:color w:val="auto"/>
        </w:rPr>
      </w:pPr>
      <w:r>
        <w:rPr>
          <w:rFonts w:ascii="Arial" w:cs="Arial" w:eastAsia="Arial" w:hAnsi="Arial"/>
          <w:sz w:val="14"/>
          <w:szCs w:val="14"/>
          <w:b w:val="1"/>
          <w:bCs w:val="1"/>
          <w:color w:val="auto"/>
        </w:rPr>
        <w:t>Feng-Ming Wang</w:t>
      </w:r>
    </w:p>
    <w:p>
      <w:pPr>
        <w:spacing w:after="0" w:line="109" w:lineRule="exact"/>
        <w:rPr>
          <w:sz w:val="20"/>
          <w:szCs w:val="20"/>
          <w:color w:val="auto"/>
        </w:rPr>
      </w:pPr>
    </w:p>
    <w:p>
      <w:pPr>
        <w:jc w:val="center"/>
        <w:ind w:left="62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293" w:lineRule="exact"/>
        <w:rPr>
          <w:sz w:val="20"/>
          <w:szCs w:val="20"/>
          <w:color w:val="auto"/>
        </w:rPr>
      </w:pPr>
    </w:p>
    <w:p>
      <w:pPr>
        <w:ind w:left="20"/>
        <w:spacing w:after="0"/>
        <w:tabs>
          <w:tab w:leader="none" w:pos="5760" w:val="left"/>
          <w:tab w:leader="none" w:pos="8080" w:val="left"/>
        </w:tabs>
        <w:rPr>
          <w:sz w:val="20"/>
          <w:szCs w:val="20"/>
          <w:color w:val="auto"/>
        </w:rPr>
      </w:pPr>
      <w:r>
        <w:rPr>
          <w:rFonts w:ascii="Arial" w:cs="Arial" w:eastAsia="Arial" w:hAnsi="Arial"/>
          <w:sz w:val="18"/>
          <w:szCs w:val="18"/>
          <w:color w:val="auto"/>
        </w:rPr>
        <w:t>Date: September 08,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C.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23495</wp:posOffset>
            </wp:positionV>
            <wp:extent cx="31292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29" w:lineRule="exact"/>
        <w:rPr>
          <w:sz w:val="20"/>
          <w:szCs w:val="20"/>
          <w:color w:val="auto"/>
        </w:rPr>
      </w:pPr>
    </w:p>
    <w:p>
      <w:pPr>
        <w:jc w:val="center"/>
        <w:ind w:left="6240"/>
        <w:spacing w:after="0"/>
        <w:rPr>
          <w:sz w:val="20"/>
          <w:szCs w:val="20"/>
          <w:color w:val="auto"/>
        </w:rPr>
      </w:pPr>
      <w:r>
        <w:rPr>
          <w:rFonts w:ascii="Arial" w:cs="Arial" w:eastAsia="Arial" w:hAnsi="Arial"/>
          <w:sz w:val="14"/>
          <w:szCs w:val="14"/>
          <w:b w:val="1"/>
          <w:bCs w:val="1"/>
          <w:color w:val="auto"/>
        </w:rPr>
        <w:t>Brian C. White</w:t>
      </w:r>
    </w:p>
    <w:p>
      <w:pPr>
        <w:spacing w:after="0" w:line="109" w:lineRule="exact"/>
        <w:rPr>
          <w:sz w:val="20"/>
          <w:szCs w:val="20"/>
          <w:color w:val="auto"/>
        </w:rPr>
      </w:pPr>
    </w:p>
    <w:p>
      <w:pPr>
        <w:jc w:val="center"/>
        <w:ind w:left="6240"/>
        <w:spacing w:after="0"/>
        <w:rPr>
          <w:sz w:val="20"/>
          <w:szCs w:val="20"/>
          <w:color w:val="auto"/>
        </w:rPr>
      </w:pPr>
      <w:r>
        <w:rPr>
          <w:rFonts w:ascii="Arial" w:cs="Arial" w:eastAsia="Arial" w:hAnsi="Arial"/>
          <w:sz w:val="14"/>
          <w:szCs w:val="14"/>
          <w:b w:val="1"/>
          <w:bCs w:val="1"/>
          <w:color w:val="auto"/>
        </w:rPr>
        <w:t>Chief Financial Officer</w:t>
      </w:r>
    </w:p>
    <w:p>
      <w:pPr>
        <w:spacing w:after="0" w:line="200" w:lineRule="exact"/>
        <w:rPr>
          <w:sz w:val="20"/>
          <w:szCs w:val="20"/>
          <w:color w:val="auto"/>
        </w:rPr>
      </w:pPr>
    </w:p>
    <w:p>
      <w:pPr>
        <w:spacing w:after="0" w:line="24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340" w:right="1920"/>
        <w:spacing w:after="0" w:line="266" w:lineRule="auto"/>
        <w:rPr>
          <w:sz w:val="20"/>
          <w:szCs w:val="20"/>
          <w:color w:val="auto"/>
        </w:rPr>
      </w:pPr>
      <w:r>
        <w:rPr>
          <w:rFonts w:ascii="Arial" w:cs="Arial" w:eastAsia="Arial" w:hAnsi="Arial"/>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Ambarella,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517"/>
        <w:spacing w:after="0" w:line="263" w:lineRule="auto"/>
        <w:tabs>
          <w:tab w:leader="none" w:pos="75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517"/>
        <w:spacing w:after="0" w:line="263" w:lineRule="auto"/>
        <w:tabs>
          <w:tab w:leader="none" w:pos="76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780" w:firstLine="517"/>
        <w:spacing w:after="0" w:line="342" w:lineRule="auto"/>
        <w:tabs>
          <w:tab w:leader="none" w:pos="754"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240" w:firstLine="517"/>
        <w:spacing w:after="0" w:line="263" w:lineRule="auto"/>
        <w:tabs>
          <w:tab w:leader="none" w:pos="76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180" w:firstLine="517"/>
        <w:spacing w:after="0" w:line="277" w:lineRule="auto"/>
        <w:tabs>
          <w:tab w:leader="none" w:pos="75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517"/>
        <w:spacing w:after="0" w:line="277" w:lineRule="auto"/>
        <w:tabs>
          <w:tab w:leader="none" w:pos="76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08, 2023</w:t>
      </w:r>
    </w:p>
    <w:p>
      <w:pPr>
        <w:spacing w:after="0" w:line="23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23495</wp:posOffset>
            </wp:positionV>
            <wp:extent cx="306006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Feng-Ming Wang</w:t>
      </w:r>
    </w:p>
    <w:p>
      <w:pPr>
        <w:spacing w:after="0" w:line="3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340" w:right="1940"/>
        <w:spacing w:after="0" w:line="266" w:lineRule="auto"/>
        <w:rPr>
          <w:sz w:val="20"/>
          <w:szCs w:val="20"/>
          <w:color w:val="auto"/>
        </w:rPr>
      </w:pPr>
      <w:r>
        <w:rPr>
          <w:rFonts w:ascii="Arial" w:cs="Arial" w:eastAsia="Arial" w:hAnsi="Arial"/>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Brian C. White,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Ambarella,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517"/>
        <w:spacing w:after="0" w:line="263" w:lineRule="auto"/>
        <w:tabs>
          <w:tab w:leader="none" w:pos="75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517"/>
        <w:spacing w:after="0" w:line="263" w:lineRule="auto"/>
        <w:tabs>
          <w:tab w:leader="none" w:pos="76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780" w:firstLine="517"/>
        <w:spacing w:after="0" w:line="342" w:lineRule="auto"/>
        <w:tabs>
          <w:tab w:leader="none" w:pos="754"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240" w:firstLine="517"/>
        <w:spacing w:after="0" w:line="263" w:lineRule="auto"/>
        <w:tabs>
          <w:tab w:leader="none" w:pos="76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180" w:firstLine="517"/>
        <w:spacing w:after="0" w:line="277" w:lineRule="auto"/>
        <w:tabs>
          <w:tab w:leader="none" w:pos="75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517"/>
        <w:spacing w:after="0" w:line="277" w:lineRule="auto"/>
        <w:tabs>
          <w:tab w:leader="none" w:pos="76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08, 2023</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Brian C.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22860</wp:posOffset>
            </wp:positionV>
            <wp:extent cx="327469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Brian C. White</w:t>
      </w:r>
    </w:p>
    <w:p>
      <w:pPr>
        <w:spacing w:after="0" w:line="3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 Feng-Ming Wang, certify, pursuant to 18 U.S.C. Section 1350, as adopted pursuant to Section 906 of the Sarbanes-Oxley Act of 2002, that the Quarterly Report of Ambarella, Inc. on Form 10-Q for the fiscal quarter ended July 31, 2023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08, 2023</w:t>
      </w:r>
    </w:p>
    <w:p>
      <w:pPr>
        <w:spacing w:after="0" w:line="293" w:lineRule="exact"/>
        <w:rPr>
          <w:sz w:val="20"/>
          <w:szCs w:val="20"/>
          <w:color w:val="auto"/>
        </w:rPr>
      </w:pPr>
    </w:p>
    <w:tbl>
      <w:tblPr>
        <w:tblLayout w:type="fixed"/>
        <w:tblInd w:w="6440" w:type="dxa"/>
        <w:tblCellMar>
          <w:top w:w="0" w:type="dxa"/>
          <w:left w:w="0" w:type="dxa"/>
          <w:bottom w:w="0" w:type="dxa"/>
          <w:right w:w="0" w:type="dxa"/>
        </w:tblCellMar>
      </w:tblP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Feng-Ming Wang</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3960" w:type="dxa"/>
            <w:vAlign w:val="bottom"/>
          </w:tcPr>
          <w:p>
            <w:pPr>
              <w:spacing w:after="0"/>
              <w:rPr>
                <w:sz w:val="20"/>
                <w:szCs w:val="20"/>
                <w:color w:val="auto"/>
              </w:rPr>
            </w:pPr>
            <w:r>
              <w:rPr>
                <w:rFonts w:ascii="Arial" w:cs="Arial" w:eastAsia="Arial" w:hAnsi="Arial"/>
                <w:sz w:val="18"/>
                <w:szCs w:val="18"/>
                <w:color w:val="auto"/>
              </w:rPr>
              <w:t>Feng-Ming Wang</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15"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 Brian C. White, certify, pursuant to 18 U.S.C. Section 1350, as adopted pursuant to Section 906 of the Sarbanes-Oxley Act of 2002, that the Quarterly Report of Ambarella, Inc. on Form 10-Q for the fiscal quarter ended July 31, 2023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08, 2023</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80" w:type="dxa"/>
            <w:vAlign w:val="bottom"/>
          </w:tcPr>
          <w:p>
            <w:pPr>
              <w:ind w:left="6440"/>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C. White</w:t>
            </w:r>
          </w:p>
        </w:tc>
      </w:tr>
      <w:tr>
        <w:trPr>
          <w:trHeight w:val="230"/>
        </w:trPr>
        <w:tc>
          <w:tcPr>
            <w:tcW w:w="7280" w:type="dxa"/>
            <w:vAlign w:val="bottom"/>
          </w:tcPr>
          <w:p>
            <w:pPr>
              <w:ind w:left="6440"/>
              <w:spacing w:after="0"/>
              <w:rPr>
                <w:sz w:val="20"/>
                <w:szCs w:val="20"/>
                <w:color w:val="auto"/>
              </w:rPr>
            </w:pPr>
            <w:r>
              <w:rPr>
                <w:rFonts w:ascii="Arial" w:cs="Arial" w:eastAsia="Arial" w:hAnsi="Arial"/>
                <w:sz w:val="18"/>
                <w:szCs w:val="18"/>
                <w:color w:val="auto"/>
              </w:rPr>
              <w:t>Name:</w:t>
            </w:r>
          </w:p>
        </w:tc>
        <w:tc>
          <w:tcPr>
            <w:tcW w:w="3960" w:type="dxa"/>
            <w:vAlign w:val="bottom"/>
          </w:tcPr>
          <w:p>
            <w:pPr>
              <w:spacing w:after="0"/>
              <w:rPr>
                <w:sz w:val="20"/>
                <w:szCs w:val="20"/>
                <w:color w:val="auto"/>
              </w:rPr>
            </w:pPr>
            <w:r>
              <w:rPr>
                <w:rFonts w:ascii="Arial" w:cs="Arial" w:eastAsia="Arial" w:hAnsi="Arial"/>
                <w:sz w:val="18"/>
                <w:szCs w:val="18"/>
                <w:color w:val="auto"/>
              </w:rPr>
              <w:t>Brian C. White</w:t>
            </w:r>
          </w:p>
        </w:tc>
      </w:tr>
      <w:tr>
        <w:trPr>
          <w:trHeight w:val="242"/>
        </w:trPr>
        <w:tc>
          <w:tcPr>
            <w:tcW w:w="7280" w:type="dxa"/>
            <w:vAlign w:val="bottom"/>
          </w:tcPr>
          <w:p>
            <w:pPr>
              <w:ind w:left="6440"/>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60"/>
        </w:trPr>
        <w:tc>
          <w:tcPr>
            <w:tcW w:w="72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3"/>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04"/>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69" Type="http://schemas.openxmlformats.org/officeDocument/2006/relationships/hyperlink" Target="https://www.sec.gov/Archives/edgar/data/0001280263/000119312512389774/d19354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2023-09-08T12:55:10Z</dcterms:created>
  <dcterms:modified xsi:type="dcterms:W3CDTF">2023-09-08T12:55:10Z</dcterms:modified>
</cp:coreProperties>
</file>