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Chan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4"/>
        <w:gridCol w:w="773"/>
        <w:gridCol w:w="600"/>
        <w:gridCol w:w="349"/>
        <w:gridCol w:w="889"/>
        <w:gridCol w:w="455"/>
        <w:gridCol w:w="755"/>
        <w:gridCol w:w="1196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64.83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tax obligations resulting from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238 shares acquired under the Company's employee stock purchase plan on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/s/Michael Morehead, Attorney-in-Fact, For: Chan W.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825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3253</Characters>
  <CharactersWithSpaces>3782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