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3152775</wp:posOffset>
            </wp:positionH>
            <wp:positionV relativeFrom="page">
              <wp:posOffset>2419985</wp:posOffset>
            </wp:positionV>
            <wp:extent cx="1409700" cy="610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610235"/>
                    </a:xfrm>
                    <a:prstGeom prst="rect">
                      <a:avLst/>
                    </a:prstGeom>
                    <a:noFill/>
                  </pic:spPr>
                </pic:pic>
              </a:graphicData>
            </a:graphic>
          </wp:anchor>
        </w:drawing>
        <w:drawing>
          <wp:anchor simplePos="0" relativeHeight="251657728" behindDoc="1" locked="0" layoutInCell="0" allowOverlap="1">
            <wp:simplePos x="0" y="0"/>
            <wp:positionH relativeFrom="page">
              <wp:posOffset>2833370</wp:posOffset>
            </wp:positionH>
            <wp:positionV relativeFrom="page">
              <wp:posOffset>3139440</wp:posOffset>
            </wp:positionV>
            <wp:extent cx="2105660" cy="332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5660" cy="332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5380"/>
        <w:spacing w:after="0"/>
        <w:rPr>
          <w:sz w:val="20"/>
          <w:szCs w:val="20"/>
          <w:color w:val="auto"/>
        </w:rPr>
      </w:pPr>
      <w:r>
        <w:rPr>
          <w:sz w:val="1"/>
          <w:szCs w:val="1"/>
          <w:color w:val="auto"/>
        </w:rPr>
        <w:drawing>
          <wp:inline distT="0" distB="0" distL="0" distR="0">
            <wp:extent cx="127000" cy="167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67640"/>
                    </a:xfrm>
                    <a:prstGeom prst="rect">
                      <a:avLst/>
                    </a:prstGeom>
                    <a:noFill/>
                    <a:ln>
                      <a:noFill/>
                    </a:ln>
                  </pic:spPr>
                </pic:pic>
              </a:graphicData>
            </a:graphic>
          </wp:inline>
        </w:drawing>
      </w:r>
      <w:r>
        <w:rPr>
          <w:rFonts w:ascii="Arial" w:cs="Arial" w:eastAsia="Arial" w:hAnsi="Arial"/>
          <w:sz w:val="17"/>
          <w:szCs w:val="17"/>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2256155</wp:posOffset>
            </wp:positionH>
            <wp:positionV relativeFrom="paragraph">
              <wp:posOffset>-155575</wp:posOffset>
            </wp:positionV>
            <wp:extent cx="1165225" cy="16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225" cy="160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2D4B9B"/>
        </w:rPr>
        <w:t>2024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May 2024</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Dear Shareholders:</w:t>
      </w:r>
    </w:p>
    <w:p>
      <w:pPr>
        <w:spacing w:after="0" w:line="239" w:lineRule="exact"/>
        <w:rPr>
          <w:sz w:val="20"/>
          <w:szCs w:val="20"/>
          <w:color w:val="auto"/>
        </w:rPr>
      </w:pPr>
    </w:p>
    <w:p>
      <w:pPr>
        <w:ind w:left="120" w:right="220"/>
        <w:spacing w:after="0" w:line="249" w:lineRule="auto"/>
        <w:rPr>
          <w:sz w:val="20"/>
          <w:szCs w:val="20"/>
          <w:color w:val="auto"/>
        </w:rPr>
      </w:pPr>
      <w:r>
        <w:rPr>
          <w:rFonts w:ascii="Times New Roman" w:cs="Times New Roman" w:eastAsia="Times New Roman" w:hAnsi="Times New Roman"/>
          <w:sz w:val="20"/>
          <w:szCs w:val="20"/>
          <w:color w:val="231F20"/>
        </w:rPr>
        <w:t>This past year was challenging for much of the semiconductor industry. Ambarella was not immune to the difficult conditions, with fiscal 2024 revenue down sharply from the record revenue we achieved in fiscal 2023. The industry-wide cyclical inventory correction persisted throughout the year, pressuring revenue below end-market consumption rates. Geopolitical factors continued to impact markets and created risk and stock price volatility. The automotive industry moved from a shortage of capacity to an excess of capacity, with increased competition between our customers. On a positive note, one of the most important developments in fiscal 2024 was the market’s continued adoption of increasingly sophisticated artificial intelligence (“AI”) applications requiring higher levels of AI inference processing at the network edge. Our investment strategy and product portfolio are well aligned with this development, and we should benefit from this trend.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Our vision remains intact</w:t>
      </w:r>
    </w:p>
    <w:p>
      <w:pPr>
        <w:spacing w:after="0" w:line="239" w:lineRule="exact"/>
        <w:rPr>
          <w:sz w:val="20"/>
          <w:szCs w:val="20"/>
          <w:color w:val="auto"/>
        </w:rPr>
      </w:pPr>
    </w:p>
    <w:p>
      <w:pPr>
        <w:ind w:left="120" w:right="320"/>
        <w:spacing w:after="0" w:line="248" w:lineRule="auto"/>
        <w:rPr>
          <w:sz w:val="20"/>
          <w:szCs w:val="20"/>
          <w:color w:val="auto"/>
        </w:rPr>
      </w:pPr>
      <w:r>
        <w:rPr>
          <w:rFonts w:ascii="Times New Roman" w:cs="Times New Roman" w:eastAsia="Times New Roman" w:hAnsi="Times New Roman"/>
          <w:sz w:val="20"/>
          <w:szCs w:val="20"/>
          <w:color w:val="231F20"/>
        </w:rPr>
        <w:t>In times like this, I find it beneficial to focus on the long-term vision for the company. Twenty years ago, Ambarella was founded on the “algorithm-first” principle with optimized chip architectures developed for demanding end-point applications where low-power consumption is critical. Our initial focus was on video processors, where information is collected through the lens of a camera and images and/or videos are displayed for human viewing applications. Ambarella established itself as a leading provider of video processing system-on-chips (“SoCs”) in a variety of markets.</w:t>
      </w:r>
    </w:p>
    <w:p>
      <w:pPr>
        <w:spacing w:after="0" w:line="233" w:lineRule="exact"/>
        <w:rPr>
          <w:sz w:val="20"/>
          <w:szCs w:val="20"/>
          <w:color w:val="auto"/>
        </w:rPr>
      </w:pPr>
    </w:p>
    <w:p>
      <w:pPr>
        <w:ind w:left="120" w:right="220"/>
        <w:spacing w:after="0" w:line="246" w:lineRule="auto"/>
        <w:rPr>
          <w:sz w:val="20"/>
          <w:szCs w:val="20"/>
          <w:color w:val="auto"/>
        </w:rPr>
      </w:pPr>
      <w:r>
        <w:rPr>
          <w:rFonts w:ascii="Times New Roman" w:cs="Times New Roman" w:eastAsia="Times New Roman" w:hAnsi="Times New Roman"/>
          <w:sz w:val="20"/>
          <w:szCs w:val="20"/>
          <w:color w:val="231F20"/>
        </w:rPr>
        <w:t>Using the same algorithm-first principle, we integrated a proprietary AI inference processor with our video processor, which became the CV2 family of AI computer vision SoCs, which often process convolutional neural network (“CNN”) applications like object detection and classification. The CV2 family has been a significant success, representing 60% of our fiscal 2024 revenue with strong growth expected in fiscal 2025.</w:t>
      </w:r>
    </w:p>
    <w:p>
      <w:pPr>
        <w:spacing w:after="0" w:line="236" w:lineRule="exact"/>
        <w:rPr>
          <w:sz w:val="20"/>
          <w:szCs w:val="20"/>
          <w:color w:val="auto"/>
        </w:rPr>
      </w:pPr>
    </w:p>
    <w:p>
      <w:pPr>
        <w:ind w:left="120" w:right="240"/>
        <w:spacing w:after="0" w:line="227" w:lineRule="auto"/>
        <w:rPr>
          <w:sz w:val="20"/>
          <w:szCs w:val="20"/>
          <w:color w:val="auto"/>
        </w:rPr>
      </w:pPr>
      <w:r>
        <w:rPr>
          <w:rFonts w:ascii="Times New Roman" w:cs="Times New Roman" w:eastAsia="Times New Roman" w:hAnsi="Times New Roman"/>
          <w:sz w:val="20"/>
          <w:szCs w:val="20"/>
          <w:color w:val="231F20"/>
        </w:rPr>
        <w:t>We have now introduced our 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generation of AI inference processors, leveraging the same underlying algorithm-first methodology. In addition to CNN-based applications, this generation of processors efficiently serves transformer network applications, which is a foundation for generative AI (“GenAI”) and large language model (“LLM”) applications. We continue to make a significant R&amp;D investment in this generation of products, with our first production revenue expected in our fiscal 2026. This 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generation of AI inference technology is creating opportunities for us to address a broader range of markets and applications while also allowing us to capture more content per electronic system.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Our edge AI products continue to gain traction in multiple markets</w:t>
      </w:r>
    </w:p>
    <w:p>
      <w:pPr>
        <w:spacing w:after="0" w:line="239" w:lineRule="exact"/>
        <w:rPr>
          <w:sz w:val="20"/>
          <w:szCs w:val="20"/>
          <w:color w:val="auto"/>
        </w:rPr>
      </w:pPr>
    </w:p>
    <w:p>
      <w:pPr>
        <w:ind w:left="120" w:right="140"/>
        <w:spacing w:after="0" w:line="228" w:lineRule="auto"/>
        <w:rPr>
          <w:sz w:val="20"/>
          <w:szCs w:val="20"/>
          <w:color w:val="auto"/>
        </w:rPr>
      </w:pPr>
      <w:r>
        <w:rPr>
          <w:rFonts w:ascii="Times New Roman" w:cs="Times New Roman" w:eastAsia="Times New Roman" w:hAnsi="Times New Roman"/>
          <w:sz w:val="20"/>
          <w:szCs w:val="20"/>
          <w:color w:val="231F20"/>
        </w:rPr>
        <w:t>AI inference processors now represent a majority of both our automotive and IoT revenue and have led to a higher blended average selling price (“ASP”). Virtually all our customers’ new design activity now involves our AI inference SoCs. As our 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generation of AI inference processors begins to contribute incremental revenue, we expect to realize additional increases in our blended ASP, as well as positive operating leverage.</w:t>
      </w:r>
    </w:p>
    <w:p>
      <w:pPr>
        <w:spacing w:after="0" w:line="240" w:lineRule="exact"/>
        <w:rPr>
          <w:sz w:val="20"/>
          <w:szCs w:val="20"/>
          <w:color w:val="auto"/>
        </w:rPr>
      </w:pPr>
    </w:p>
    <w:p>
      <w:pPr>
        <w:ind w:left="120" w:right="260"/>
        <w:spacing w:after="0" w:line="232" w:lineRule="auto"/>
        <w:rPr>
          <w:sz w:val="20"/>
          <w:szCs w:val="20"/>
          <w:color w:val="auto"/>
        </w:rPr>
      </w:pPr>
      <w:r>
        <w:rPr>
          <w:rFonts w:ascii="Times New Roman" w:cs="Times New Roman" w:eastAsia="Times New Roman" w:hAnsi="Times New Roman"/>
          <w:sz w:val="20"/>
          <w:szCs w:val="20"/>
          <w:color w:val="231F20"/>
        </w:rPr>
        <w:t>In the automotive market, we see new customer activity for both the 2</w:t>
      </w:r>
      <w:r>
        <w:rPr>
          <w:rFonts w:ascii="Times New Roman" w:cs="Times New Roman" w:eastAsia="Times New Roman" w:hAnsi="Times New Roman"/>
          <w:sz w:val="26"/>
          <w:szCs w:val="26"/>
          <w:color w:val="231F20"/>
          <w:vertAlign w:val="superscript"/>
        </w:rPr>
        <w:t>nd</w:t>
      </w:r>
      <w:r>
        <w:rPr>
          <w:rFonts w:ascii="Times New Roman" w:cs="Times New Roman" w:eastAsia="Times New Roman" w:hAnsi="Times New Roman"/>
          <w:sz w:val="20"/>
          <w:szCs w:val="20"/>
          <w:color w:val="231F20"/>
        </w:rPr>
        <w:t xml:space="preserve"> generation CV2 and the 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generation CV3 product families. With CV3, we have realized initial customer traction in the commercial vehicle market, with customers such as Continental AG, SANY Group and Kodiak Robotics. We are sampling CV72AQ for the basic Level 2 ADAS (“L2”) market in China, and during the 2024 Consumer Electronics Show we announced CV3-AD635 and CV3-AD655 for L2+ passenger vehicle applications.</w:t>
      </w:r>
    </w:p>
    <w:p>
      <w:pPr>
        <w:spacing w:after="0" w:line="241" w:lineRule="exact"/>
        <w:rPr>
          <w:sz w:val="20"/>
          <w:szCs w:val="20"/>
          <w:color w:val="auto"/>
        </w:rPr>
      </w:pPr>
    </w:p>
    <w:p>
      <w:pPr>
        <w:ind w:left="120" w:right="160"/>
        <w:spacing w:after="0" w:line="246" w:lineRule="auto"/>
        <w:rPr>
          <w:sz w:val="20"/>
          <w:szCs w:val="20"/>
          <w:color w:val="auto"/>
        </w:rPr>
      </w:pPr>
      <w:r>
        <w:rPr>
          <w:rFonts w:ascii="Times New Roman" w:cs="Times New Roman" w:eastAsia="Times New Roman" w:hAnsi="Times New Roman"/>
          <w:sz w:val="20"/>
          <w:szCs w:val="20"/>
          <w:color w:val="231F20"/>
        </w:rPr>
        <w:t>In the automotive market, we have built a reference platform around our CV3-AD family of AI inference SoCs by including options for a complete autonomous driving software stack and our centrally processed HD radar algorithms. By providing a platform solution, we can potentially enable a faster time-to-market for our customers and increase our content per design win.</w:t>
      </w:r>
    </w:p>
    <w:p>
      <w:pPr>
        <w:sectPr>
          <w:pgSz w:w="12240" w:h="15840" w:orient="portrait"/>
          <w:cols w:equalWidth="0" w:num="1">
            <w:col w:w="9360"/>
          </w:cols>
          <w:pgMar w:left="1440" w:top="1440" w:right="1440" w:bottom="840" w:gutter="0" w:footer="0" w:header="0"/>
        </w:sectPr>
      </w:pPr>
    </w:p>
    <w:bookmarkStart w:id="3" w:name="page4"/>
    <w:bookmarkEnd w:id="3"/>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Generative AI presents exciting new opportunities</w:t>
      </w:r>
    </w:p>
    <w:p>
      <w:pPr>
        <w:spacing w:after="0" w:line="260" w:lineRule="exact"/>
        <w:rPr>
          <w:sz w:val="20"/>
          <w:szCs w:val="20"/>
          <w:color w:val="auto"/>
        </w:rPr>
      </w:pPr>
    </w:p>
    <w:p>
      <w:pPr>
        <w:ind w:left="120" w:right="140"/>
        <w:spacing w:after="0" w:line="237" w:lineRule="auto"/>
        <w:rPr>
          <w:sz w:val="20"/>
          <w:szCs w:val="20"/>
          <w:color w:val="auto"/>
        </w:rPr>
      </w:pPr>
      <w:r>
        <w:rPr>
          <w:rFonts w:ascii="Times New Roman" w:cs="Times New Roman" w:eastAsia="Times New Roman" w:hAnsi="Times New Roman"/>
          <w:sz w:val="20"/>
          <w:szCs w:val="20"/>
          <w:color w:val="231F20"/>
        </w:rPr>
        <w:t>GenAI is an exciting new opportunity that leverages our 3</w:t>
      </w:r>
      <w:r>
        <w:rPr>
          <w:rFonts w:ascii="Times New Roman" w:cs="Times New Roman" w:eastAsia="Times New Roman" w:hAnsi="Times New Roman"/>
          <w:sz w:val="26"/>
          <w:szCs w:val="26"/>
          <w:color w:val="231F20"/>
          <w:vertAlign w:val="superscript"/>
        </w:rPr>
        <w:t>rd</w:t>
      </w:r>
      <w:r>
        <w:rPr>
          <w:rFonts w:ascii="Times New Roman" w:cs="Times New Roman" w:eastAsia="Times New Roman" w:hAnsi="Times New Roman"/>
          <w:sz w:val="20"/>
          <w:szCs w:val="20"/>
          <w:color w:val="231F20"/>
        </w:rPr>
        <w:t xml:space="preserve"> generation AI inference processor technology. In our IoT businesses, we are focused on GenAI applications on the edge of the network ranging from end point devices to edge servers. We offer a range of GenAI processors, ranging from the recently introduced 5nm CV75S for end points to the powerful 5nm N1 processor for edge infrastructure hardware. The N1 SoC supports multi-modal large language models (“LLMs”) up to 34 billion-parameters at a fraction of the power-per-inference of the leading GPU solutions. With our expanding GenAI portfolio, we intend to address a wide range of edge applications, including mobility, physical security, robotics, and medical instruments.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Looking forward to the future</w:t>
      </w:r>
    </w:p>
    <w:p>
      <w:pPr>
        <w:spacing w:after="0" w:line="260" w:lineRule="exact"/>
        <w:rPr>
          <w:sz w:val="20"/>
          <w:szCs w:val="20"/>
          <w:color w:val="auto"/>
        </w:rPr>
      </w:pPr>
    </w:p>
    <w:p>
      <w:pPr>
        <w:ind w:left="120" w:right="200"/>
        <w:spacing w:after="0" w:line="248" w:lineRule="auto"/>
        <w:rPr>
          <w:sz w:val="20"/>
          <w:szCs w:val="20"/>
          <w:color w:val="auto"/>
        </w:rPr>
      </w:pPr>
      <w:r>
        <w:rPr>
          <w:rFonts w:ascii="Times New Roman" w:cs="Times New Roman" w:eastAsia="Times New Roman" w:hAnsi="Times New Roman"/>
          <w:sz w:val="20"/>
          <w:szCs w:val="20"/>
          <w:color w:val="231F20"/>
        </w:rPr>
        <w:t>Despite the recent challenges, we remain resolute in our vision. The megatrends of security, safety, automation, and eventually complete autonomy, or robotics, continue to be key drivers in our markets. The early actions we took to help our customers address their cyclical excess inventory challenges have positioned us for a return to revenue growth in fiscal 2025 in both our automotive and IoT markets. Moreover, the increased market attention on AI inference processing, in particular at the edge, is aligned with where we have been investing. Looking forward, our key objectives are to restore revenue growth and profitability through our existing product portfolio while continuing to drive R&amp;D investment in strategic areas where we have technological advantages. Despite the turbulence of the past year, I remain excited for our future.</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Thank you for your support.</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125730</wp:posOffset>
            </wp:positionV>
            <wp:extent cx="1194435" cy="533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443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Fermi Wang, President &amp; CEO</w:t>
      </w:r>
    </w:p>
    <w:p>
      <w:pPr>
        <w:sectPr>
          <w:pgSz w:w="12240" w:h="15840" w:orient="portrait"/>
          <w:cols w:equalWidth="0" w:num="1">
            <w:col w:w="936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8"/>
          <w:szCs w:val="28"/>
          <w:b w:val="1"/>
          <w:bCs w:val="1"/>
          <w:color w:val="454546"/>
        </w:rPr>
        <mc:AlternateContent>
          <mc:Choice Requires="wps">
            <w:drawing>
              <wp:anchor simplePos="0" relativeHeight="251657728" behindDoc="1" locked="0" layoutInCell="0" allowOverlap="1">
                <wp:simplePos x="0" y="0"/>
                <wp:positionH relativeFrom="page">
                  <wp:posOffset>438785</wp:posOffset>
                </wp:positionH>
                <wp:positionV relativeFrom="page">
                  <wp:posOffset>633095</wp:posOffset>
                </wp:positionV>
                <wp:extent cx="68948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49.85pt" to="577.45pt,49.85pt" o:allowincell="f" strokecolor="#454546"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652145</wp:posOffset>
                </wp:positionV>
                <wp:extent cx="68948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51.35pt" to="577.45pt,51.35pt" o:allowincell="f" strokecolor="#454546" strokeweight="0.7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454546"/>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454546"/>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57150</wp:posOffset>
                </wp:positionV>
                <wp:extent cx="14084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5pt" to="325.45pt,4.5pt" o:allowincell="f" strokecolor="#454546" strokeweight="1pt"/>
            </w:pict>
          </mc:Fallback>
        </mc:AlternateConten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454546"/>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84455</wp:posOffset>
                </wp:positionV>
                <wp:extent cx="140843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65pt" to="325.45pt,6.65pt" o:allowincell="f" strokecolor="#454546" strokeweight="1pt"/>
            </w:pict>
          </mc:Fallback>
        </mc:AlternateConten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54546"/>
        </w:rPr>
        <w:t>(Mark One)</w:t>
      </w:r>
    </w:p>
    <w:p>
      <w:pPr>
        <w:spacing w:after="0" w:line="26" w:lineRule="exact"/>
        <w:rPr>
          <w:sz w:val="20"/>
          <w:szCs w:val="20"/>
          <w:color w:val="auto"/>
        </w:rPr>
      </w:pPr>
    </w:p>
    <w:p>
      <w:pPr>
        <w:ind w:left="500" w:hanging="500"/>
        <w:spacing w:after="0"/>
        <w:tabs>
          <w:tab w:leader="none" w:pos="500" w:val="left"/>
        </w:tabs>
        <w:numPr>
          <w:ilvl w:val="0"/>
          <w:numId w:val="1"/>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color w:val="454546"/>
        </w:rPr>
        <w:t>ANNUAL REPORT PURSUANT TO SECTION 13 OR 15(d) OF THE SECURITIES EXCHANGE ACT OF 1934</w:t>
      </w:r>
    </w:p>
    <w:p>
      <w:pPr>
        <w:spacing w:after="0" w:line="54" w:lineRule="exact"/>
        <w:rPr>
          <w:rFonts w:ascii="PMingLiU" w:cs="PMingLiU" w:eastAsia="PMingLiU" w:hAnsi="PMingLiU"/>
          <w:sz w:val="20"/>
          <w:szCs w:val="20"/>
          <w:color w:val="454546"/>
        </w:rPr>
      </w:pPr>
    </w:p>
    <w:p>
      <w:pPr>
        <w:ind w:left="3780"/>
        <w:spacing w:after="0"/>
        <w:rPr>
          <w:rFonts w:ascii="PMingLiU" w:cs="PMingLiU" w:eastAsia="PMingLiU" w:hAnsi="PMingLiU"/>
          <w:sz w:val="20"/>
          <w:szCs w:val="20"/>
          <w:color w:val="454546"/>
        </w:rPr>
      </w:pPr>
      <w:r>
        <w:rPr>
          <w:rFonts w:ascii="Times New Roman" w:cs="Times New Roman" w:eastAsia="Times New Roman" w:hAnsi="Times New Roman"/>
          <w:sz w:val="18"/>
          <w:szCs w:val="18"/>
          <w:b w:val="1"/>
          <w:bCs w:val="1"/>
          <w:color w:val="454546"/>
        </w:rPr>
        <w:t>For the fiscal year ended January 31, 2024</w:t>
      </w:r>
    </w:p>
    <w:p>
      <w:pPr>
        <w:spacing w:after="0" w:line="21" w:lineRule="exact"/>
        <w:rPr>
          <w:rFonts w:ascii="PMingLiU" w:cs="PMingLiU" w:eastAsia="PMingLiU" w:hAnsi="PMingLiU"/>
          <w:sz w:val="20"/>
          <w:szCs w:val="20"/>
          <w:color w:val="454546"/>
        </w:rPr>
      </w:pPr>
    </w:p>
    <w:p>
      <w:pPr>
        <w:ind w:left="5260"/>
        <w:spacing w:after="0"/>
        <w:rPr>
          <w:rFonts w:ascii="PMingLiU" w:cs="PMingLiU" w:eastAsia="PMingLiU" w:hAnsi="PMingLiU"/>
          <w:sz w:val="20"/>
          <w:szCs w:val="20"/>
          <w:color w:val="454546"/>
        </w:rPr>
      </w:pPr>
      <w:r>
        <w:rPr>
          <w:rFonts w:ascii="Times New Roman" w:cs="Times New Roman" w:eastAsia="Times New Roman" w:hAnsi="Times New Roman"/>
          <w:sz w:val="18"/>
          <w:szCs w:val="18"/>
          <w:b w:val="1"/>
          <w:bCs w:val="1"/>
          <w:color w:val="454546"/>
        </w:rPr>
        <w:t>OR</w:t>
      </w:r>
    </w:p>
    <w:p>
      <w:pPr>
        <w:spacing w:after="0" w:line="66" w:lineRule="exact"/>
        <w:rPr>
          <w:sz w:val="20"/>
          <w:szCs w:val="20"/>
          <w:color w:val="auto"/>
        </w:rPr>
      </w:pPr>
    </w:p>
    <w:p>
      <w:pPr>
        <w:ind w:left="500" w:hanging="500"/>
        <w:spacing w:after="0"/>
        <w:tabs>
          <w:tab w:leader="none" w:pos="500" w:val="left"/>
        </w:tabs>
        <w:numPr>
          <w:ilvl w:val="0"/>
          <w:numId w:val="2"/>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color w:val="454546"/>
        </w:rPr>
        <w:t>TRANSITION REPORT PURSUANT TO SECTION 13 OR 15(d) OF THE SECURITIES EXCHANGE ACT OF 1934</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54546"/>
                <w:w w:val="99"/>
              </w:rPr>
              <w:t>For the transition period from</w:t>
            </w:r>
          </w:p>
        </w:tc>
        <w:tc>
          <w:tcPr>
            <w:tcW w:w="900" w:type="dxa"/>
            <w:vAlign w:val="bottom"/>
            <w:tcBorders>
              <w:bottom w:val="single" w:sz="8" w:color="454546"/>
            </w:tcBorders>
            <w:gridSpan w:val="2"/>
          </w:tcPr>
          <w:p>
            <w:pPr>
              <w:spacing w:after="0"/>
              <w:rPr>
                <w:sz w:val="17"/>
                <w:szCs w:val="17"/>
                <w:color w:val="auto"/>
              </w:rPr>
            </w:pPr>
          </w:p>
        </w:tc>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454546"/>
              </w:rPr>
              <w:t>to</w:t>
            </w:r>
          </w:p>
        </w:tc>
        <w:tc>
          <w:tcPr>
            <w:tcW w:w="0" w:type="dxa"/>
            <w:vAlign w:val="bottom"/>
          </w:tcPr>
          <w:p>
            <w:pPr>
              <w:spacing w:after="0"/>
              <w:rPr>
                <w:sz w:val="1"/>
                <w:szCs w:val="1"/>
                <w:color w:val="auto"/>
              </w:rPr>
            </w:pPr>
          </w:p>
        </w:tc>
      </w:tr>
      <w:tr>
        <w:trPr>
          <w:trHeight w:val="265"/>
        </w:trPr>
        <w:tc>
          <w:tcPr>
            <w:tcW w:w="3680" w:type="dxa"/>
            <w:vAlign w:val="bottom"/>
          </w:tcPr>
          <w:p>
            <w:pPr>
              <w:spacing w:after="0"/>
              <w:rPr>
                <w:sz w:val="23"/>
                <w:szCs w:val="23"/>
                <w:color w:val="auto"/>
              </w:rPr>
            </w:pPr>
          </w:p>
        </w:tc>
        <w:tc>
          <w:tcPr>
            <w:tcW w:w="32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454546"/>
                <w:w w:val="99"/>
              </w:rPr>
              <w:t>Commission File Number: 001-35667</w:t>
            </w:r>
          </w:p>
        </w:tc>
        <w:tc>
          <w:tcPr>
            <w:tcW w:w="3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0" w:type="dxa"/>
            <w:vAlign w:val="bottom"/>
            <w:tcBorders>
              <w:bottom w:val="single" w:sz="8" w:color="454546"/>
            </w:tcBorders>
            <w:gridSpan w:val="2"/>
          </w:tcPr>
          <w:p>
            <w:pPr>
              <w:spacing w:after="0"/>
              <w:rPr>
                <w:sz w:val="4"/>
                <w:szCs w:val="4"/>
                <w:color w:val="auto"/>
              </w:rPr>
            </w:pPr>
          </w:p>
        </w:tc>
        <w:tc>
          <w:tcPr>
            <w:tcW w:w="740" w:type="dxa"/>
            <w:vAlign w:val="bottom"/>
            <w:gridSpan w:val="2"/>
          </w:tcPr>
          <w:p>
            <w:pPr>
              <w:spacing w:after="0"/>
              <w:rPr>
                <w:sz w:val="4"/>
                <w:szCs w:val="4"/>
                <w:color w:val="auto"/>
              </w:rPr>
            </w:pPr>
          </w:p>
        </w:tc>
        <w:tc>
          <w:tcPr>
            <w:tcW w:w="3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0"/>
        </w:trPr>
        <w:tc>
          <w:tcPr>
            <w:tcW w:w="10820" w:type="dxa"/>
            <w:vAlign w:val="bottom"/>
            <w:gridSpan w:val="7"/>
          </w:tcPr>
          <w:p>
            <w:pPr>
              <w:jc w:val="center"/>
              <w:spacing w:after="0"/>
              <w:rPr>
                <w:sz w:val="20"/>
                <w:szCs w:val="20"/>
                <w:color w:val="auto"/>
              </w:rPr>
            </w:pPr>
            <w:r>
              <w:rPr>
                <w:rFonts w:ascii="Times New Roman" w:cs="Times New Roman" w:eastAsia="Times New Roman" w:hAnsi="Times New Roman"/>
                <w:sz w:val="40"/>
                <w:szCs w:val="40"/>
                <w:b w:val="1"/>
                <w:bCs w:val="1"/>
                <w:color w:val="454546"/>
              </w:rPr>
              <w:t>AMBARELLA, INC.</w:t>
            </w:r>
          </w:p>
        </w:tc>
        <w:tc>
          <w:tcPr>
            <w:tcW w:w="0" w:type="dxa"/>
            <w:vAlign w:val="bottom"/>
          </w:tcPr>
          <w:p>
            <w:pPr>
              <w:spacing w:after="0"/>
              <w:rPr>
                <w:sz w:val="1"/>
                <w:szCs w:val="1"/>
                <w:color w:val="auto"/>
              </w:rPr>
            </w:pP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54546"/>
              </w:rPr>
              <w:t>(Exact name of registrant as specified in its charter)</w:t>
            </w:r>
          </w:p>
        </w:tc>
        <w:tc>
          <w:tcPr>
            <w:tcW w:w="1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300" w:type="dxa"/>
            <w:vAlign w:val="bottom"/>
            <w:gridSpan w:val="2"/>
            <w:vMerge w:val="restart"/>
          </w:tcPr>
          <w:p>
            <w:pPr>
              <w:jc w:val="center"/>
              <w:ind w:left="1005"/>
              <w:spacing w:after="0"/>
              <w:rPr>
                <w:sz w:val="20"/>
                <w:szCs w:val="20"/>
                <w:color w:val="auto"/>
              </w:rPr>
            </w:pPr>
            <w:r>
              <w:rPr>
                <w:rFonts w:ascii="Times New Roman" w:cs="Times New Roman" w:eastAsia="Times New Roman" w:hAnsi="Times New Roman"/>
                <w:sz w:val="18"/>
                <w:szCs w:val="18"/>
                <w:b w:val="1"/>
                <w:bCs w:val="1"/>
                <w:color w:val="454546"/>
                <w:w w:val="99"/>
              </w:rPr>
              <w:t>Cayman Islands</w:t>
            </w:r>
          </w:p>
        </w:tc>
        <w:tc>
          <w:tcPr>
            <w:tcW w:w="1720" w:type="dxa"/>
            <w:vAlign w:val="bottom"/>
            <w:tcBorders>
              <w:bottom w:val="single" w:sz="8" w:color="454546"/>
            </w:tcBorders>
          </w:tcPr>
          <w:p>
            <w:pPr>
              <w:spacing w:after="0"/>
              <w:rPr>
                <w:sz w:val="4"/>
                <w:szCs w:val="4"/>
                <w:color w:val="auto"/>
              </w:rPr>
            </w:pPr>
          </w:p>
        </w:tc>
        <w:tc>
          <w:tcPr>
            <w:tcW w:w="480" w:type="dxa"/>
            <w:vAlign w:val="bottom"/>
            <w:tcBorders>
              <w:bottom w:val="single" w:sz="8" w:color="454546"/>
            </w:tcBorders>
          </w:tcPr>
          <w:p>
            <w:pPr>
              <w:spacing w:after="0"/>
              <w:rPr>
                <w:sz w:val="4"/>
                <w:szCs w:val="4"/>
                <w:color w:val="auto"/>
              </w:rPr>
            </w:pPr>
          </w:p>
        </w:tc>
        <w:tc>
          <w:tcPr>
            <w:tcW w:w="420" w:type="dxa"/>
            <w:vAlign w:val="bottom"/>
          </w:tcPr>
          <w:p>
            <w:pPr>
              <w:spacing w:after="0"/>
              <w:rPr>
                <w:sz w:val="4"/>
                <w:szCs w:val="4"/>
                <w:color w:val="auto"/>
              </w:rPr>
            </w:pPr>
          </w:p>
        </w:tc>
        <w:tc>
          <w:tcPr>
            <w:tcW w:w="3900" w:type="dxa"/>
            <w:vAlign w:val="bottom"/>
            <w:gridSpan w:val="2"/>
            <w:vMerge w:val="restart"/>
          </w:tcPr>
          <w:p>
            <w:pPr>
              <w:jc w:val="right"/>
              <w:ind w:right="2160"/>
              <w:spacing w:after="0"/>
              <w:rPr>
                <w:sz w:val="20"/>
                <w:szCs w:val="20"/>
                <w:color w:val="auto"/>
              </w:rPr>
            </w:pPr>
            <w:r>
              <w:rPr>
                <w:rFonts w:ascii="Times New Roman" w:cs="Times New Roman" w:eastAsia="Times New Roman" w:hAnsi="Times New Roman"/>
                <w:sz w:val="18"/>
                <w:szCs w:val="18"/>
                <w:b w:val="1"/>
                <w:bCs w:val="1"/>
                <w:color w:val="454546"/>
              </w:rPr>
              <w:t>98-0459628</w:t>
            </w:r>
          </w:p>
        </w:tc>
        <w:tc>
          <w:tcPr>
            <w:tcW w:w="0" w:type="dxa"/>
            <w:vAlign w:val="bottom"/>
          </w:tcPr>
          <w:p>
            <w:pPr>
              <w:spacing w:after="0"/>
              <w:rPr>
                <w:sz w:val="1"/>
                <w:szCs w:val="1"/>
                <w:color w:val="auto"/>
              </w:rPr>
            </w:pPr>
          </w:p>
        </w:tc>
      </w:tr>
      <w:tr>
        <w:trPr>
          <w:trHeight w:val="257"/>
        </w:trPr>
        <w:tc>
          <w:tcPr>
            <w:tcW w:w="4300" w:type="dxa"/>
            <w:vAlign w:val="bottom"/>
            <w:gridSpan w:val="2"/>
            <w:vMerge w:val="continue"/>
          </w:tcPr>
          <w:p>
            <w:pPr>
              <w:spacing w:after="0"/>
              <w:rPr>
                <w:sz w:val="22"/>
                <w:szCs w:val="22"/>
                <w:color w:val="auto"/>
              </w:rPr>
            </w:pPr>
          </w:p>
        </w:tc>
        <w:tc>
          <w:tcPr>
            <w:tcW w:w="1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300" w:type="dxa"/>
            <w:vAlign w:val="bottom"/>
            <w:gridSpan w:val="2"/>
          </w:tcPr>
          <w:p>
            <w:pPr>
              <w:jc w:val="center"/>
              <w:ind w:left="1005"/>
              <w:spacing w:after="0"/>
              <w:rPr>
                <w:sz w:val="20"/>
                <w:szCs w:val="20"/>
                <w:color w:val="auto"/>
              </w:rPr>
            </w:pPr>
            <w:r>
              <w:rPr>
                <w:rFonts w:ascii="Times New Roman" w:cs="Times New Roman" w:eastAsia="Times New Roman" w:hAnsi="Times New Roman"/>
                <w:sz w:val="16"/>
                <w:szCs w:val="16"/>
                <w:b w:val="1"/>
                <w:bCs w:val="1"/>
                <w:color w:val="454546"/>
                <w:w w:val="99"/>
              </w:rPr>
              <w:t>(State or other jurisdiction of</w:t>
            </w: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80" w:type="dxa"/>
            <w:vAlign w:val="bottom"/>
          </w:tcPr>
          <w:p>
            <w:pPr>
              <w:jc w:val="center"/>
              <w:ind w:right="1660"/>
              <w:spacing w:after="0"/>
              <w:rPr>
                <w:sz w:val="20"/>
                <w:szCs w:val="20"/>
                <w:color w:val="auto"/>
              </w:rPr>
            </w:pPr>
            <w:r>
              <w:rPr>
                <w:rFonts w:ascii="Times New Roman" w:cs="Times New Roman" w:eastAsia="Times New Roman" w:hAnsi="Times New Roman"/>
                <w:sz w:val="16"/>
                <w:szCs w:val="16"/>
                <w:b w:val="1"/>
                <w:bCs w:val="1"/>
                <w:color w:val="454546"/>
              </w:rPr>
              <w:t>(I.R.S. Employer</w:t>
            </w:r>
          </w:p>
        </w:tc>
        <w:tc>
          <w:tcPr>
            <w:tcW w:w="0" w:type="dxa"/>
            <w:vAlign w:val="bottom"/>
          </w:tcPr>
          <w:p>
            <w:pPr>
              <w:spacing w:after="0"/>
              <w:rPr>
                <w:sz w:val="1"/>
                <w:szCs w:val="1"/>
                <w:color w:val="auto"/>
              </w:rPr>
            </w:pPr>
          </w:p>
        </w:tc>
      </w:tr>
      <w:tr>
        <w:trPr>
          <w:trHeight w:val="221"/>
        </w:trPr>
        <w:tc>
          <w:tcPr>
            <w:tcW w:w="4300" w:type="dxa"/>
            <w:vAlign w:val="bottom"/>
            <w:gridSpan w:val="2"/>
          </w:tcPr>
          <w:p>
            <w:pPr>
              <w:jc w:val="center"/>
              <w:ind w:left="1005"/>
              <w:spacing w:after="0"/>
              <w:rPr>
                <w:sz w:val="20"/>
                <w:szCs w:val="20"/>
                <w:color w:val="auto"/>
              </w:rPr>
            </w:pPr>
            <w:r>
              <w:rPr>
                <w:rFonts w:ascii="Times New Roman" w:cs="Times New Roman" w:eastAsia="Times New Roman" w:hAnsi="Times New Roman"/>
                <w:sz w:val="16"/>
                <w:szCs w:val="16"/>
                <w:b w:val="1"/>
                <w:bCs w:val="1"/>
                <w:color w:val="454546"/>
                <w:w w:val="99"/>
              </w:rPr>
              <w:t>incorporation or organization)</w:t>
            </w: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jc w:val="center"/>
              <w:ind w:right="1680"/>
              <w:spacing w:after="0"/>
              <w:rPr>
                <w:sz w:val="20"/>
                <w:szCs w:val="20"/>
                <w:color w:val="auto"/>
              </w:rPr>
            </w:pPr>
            <w:r>
              <w:rPr>
                <w:rFonts w:ascii="Times New Roman" w:cs="Times New Roman" w:eastAsia="Times New Roman" w:hAnsi="Times New Roman"/>
                <w:sz w:val="16"/>
                <w:szCs w:val="16"/>
                <w:b w:val="1"/>
                <w:bCs w:val="1"/>
                <w:color w:val="454546"/>
              </w:rPr>
              <w:t>Identification No.)</w:t>
            </w:r>
          </w:p>
        </w:tc>
        <w:tc>
          <w:tcPr>
            <w:tcW w:w="0" w:type="dxa"/>
            <w:vAlign w:val="bottom"/>
          </w:tcPr>
          <w:p>
            <w:pPr>
              <w:spacing w:after="0"/>
              <w:rPr>
                <w:sz w:val="1"/>
                <w:szCs w:val="1"/>
                <w:color w:val="auto"/>
              </w:rPr>
            </w:pPr>
          </w:p>
        </w:tc>
      </w:tr>
      <w:tr>
        <w:trPr>
          <w:trHeight w:val="235"/>
        </w:trPr>
        <w:tc>
          <w:tcPr>
            <w:tcW w:w="4300" w:type="dxa"/>
            <w:vAlign w:val="bottom"/>
            <w:gridSpan w:val="2"/>
          </w:tcPr>
          <w:p>
            <w:pPr>
              <w:jc w:val="center"/>
              <w:ind w:left="1005"/>
              <w:spacing w:after="0"/>
              <w:rPr>
                <w:sz w:val="20"/>
                <w:szCs w:val="20"/>
                <w:color w:val="auto"/>
              </w:rPr>
            </w:pPr>
            <w:r>
              <w:rPr>
                <w:rFonts w:ascii="Times New Roman" w:cs="Times New Roman" w:eastAsia="Times New Roman" w:hAnsi="Times New Roman"/>
                <w:sz w:val="18"/>
                <w:szCs w:val="18"/>
                <w:b w:val="1"/>
                <w:bCs w:val="1"/>
                <w:color w:val="454546"/>
                <w:w w:val="98"/>
              </w:rPr>
              <w:t>3101 Jay Street</w:t>
            </w: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00" w:type="dxa"/>
            <w:vAlign w:val="bottom"/>
            <w:gridSpan w:val="2"/>
          </w:tcPr>
          <w:p>
            <w:pPr>
              <w:jc w:val="center"/>
              <w:ind w:left="1005"/>
              <w:spacing w:after="0"/>
              <w:rPr>
                <w:sz w:val="20"/>
                <w:szCs w:val="20"/>
                <w:color w:val="auto"/>
              </w:rPr>
            </w:pPr>
            <w:r>
              <w:rPr>
                <w:rFonts w:ascii="Times New Roman" w:cs="Times New Roman" w:eastAsia="Times New Roman" w:hAnsi="Times New Roman"/>
                <w:sz w:val="18"/>
                <w:szCs w:val="18"/>
                <w:b w:val="1"/>
                <w:bCs w:val="1"/>
                <w:color w:val="454546"/>
                <w:w w:val="99"/>
              </w:rPr>
              <w:t>Santa Clara, California</w:t>
            </w: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00" w:type="dxa"/>
            <w:vAlign w:val="bottom"/>
            <w:gridSpan w:val="2"/>
          </w:tcPr>
          <w:p>
            <w:pPr>
              <w:jc w:val="right"/>
              <w:ind w:right="2360"/>
              <w:spacing w:after="0"/>
              <w:rPr>
                <w:sz w:val="20"/>
                <w:szCs w:val="20"/>
                <w:color w:val="auto"/>
              </w:rPr>
            </w:pPr>
            <w:r>
              <w:rPr>
                <w:rFonts w:ascii="Times New Roman" w:cs="Times New Roman" w:eastAsia="Times New Roman" w:hAnsi="Times New Roman"/>
                <w:sz w:val="18"/>
                <w:szCs w:val="18"/>
                <w:b w:val="1"/>
                <w:bCs w:val="1"/>
                <w:color w:val="454546"/>
              </w:rPr>
              <w:t>95054</w:t>
            </w:r>
          </w:p>
        </w:tc>
        <w:tc>
          <w:tcPr>
            <w:tcW w:w="0" w:type="dxa"/>
            <w:vAlign w:val="bottom"/>
          </w:tcPr>
          <w:p>
            <w:pPr>
              <w:spacing w:after="0"/>
              <w:rPr>
                <w:sz w:val="1"/>
                <w:szCs w:val="1"/>
                <w:color w:val="auto"/>
              </w:rPr>
            </w:pPr>
          </w:p>
        </w:tc>
      </w:tr>
      <w:tr>
        <w:trPr>
          <w:trHeight w:val="221"/>
        </w:trPr>
        <w:tc>
          <w:tcPr>
            <w:tcW w:w="4300" w:type="dxa"/>
            <w:vAlign w:val="bottom"/>
            <w:gridSpan w:val="2"/>
          </w:tcPr>
          <w:p>
            <w:pPr>
              <w:jc w:val="center"/>
              <w:ind w:left="1005"/>
              <w:spacing w:after="0"/>
              <w:rPr>
                <w:sz w:val="20"/>
                <w:szCs w:val="20"/>
                <w:color w:val="auto"/>
              </w:rPr>
            </w:pPr>
            <w:r>
              <w:rPr>
                <w:rFonts w:ascii="Times New Roman" w:cs="Times New Roman" w:eastAsia="Times New Roman" w:hAnsi="Times New Roman"/>
                <w:sz w:val="16"/>
                <w:szCs w:val="16"/>
                <w:b w:val="1"/>
                <w:bCs w:val="1"/>
                <w:color w:val="454546"/>
                <w:w w:val="99"/>
              </w:rPr>
              <w:t>(Address of principal executive offices)</w:t>
            </w:r>
          </w:p>
        </w:tc>
        <w:tc>
          <w:tcPr>
            <w:tcW w:w="1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jc w:val="center"/>
              <w:ind w:right="1680"/>
              <w:spacing w:after="0"/>
              <w:rPr>
                <w:sz w:val="20"/>
                <w:szCs w:val="20"/>
                <w:color w:val="auto"/>
              </w:rPr>
            </w:pPr>
            <w:r>
              <w:rPr>
                <w:rFonts w:ascii="Times New Roman" w:cs="Times New Roman" w:eastAsia="Times New Roman" w:hAnsi="Times New Roman"/>
                <w:sz w:val="16"/>
                <w:szCs w:val="16"/>
                <w:b w:val="1"/>
                <w:bCs w:val="1"/>
                <w:color w:val="454546"/>
                <w:w w:val="99"/>
              </w:rPr>
              <w:t>(Zip Code)</w:t>
            </w:r>
          </w:p>
        </w:tc>
        <w:tc>
          <w:tcPr>
            <w:tcW w:w="0" w:type="dxa"/>
            <w:vAlign w:val="bottom"/>
          </w:tcPr>
          <w:p>
            <w:pPr>
              <w:spacing w:after="0"/>
              <w:rPr>
                <w:sz w:val="1"/>
                <w:szCs w:val="1"/>
                <w:color w:val="auto"/>
              </w:rPr>
            </w:pPr>
          </w:p>
        </w:tc>
      </w:tr>
      <w:tr>
        <w:trPr>
          <w:trHeight w:val="249"/>
        </w:trPr>
        <w:tc>
          <w:tcPr>
            <w:tcW w:w="108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Registrant’s telephone number, including area code: (408) 734-8888</w:t>
            </w:r>
          </w:p>
        </w:tc>
        <w:tc>
          <w:tcPr>
            <w:tcW w:w="0" w:type="dxa"/>
            <w:vAlign w:val="bottom"/>
          </w:tcPr>
          <w:p>
            <w:pPr>
              <w:spacing w:after="0"/>
              <w:rPr>
                <w:sz w:val="1"/>
                <w:szCs w:val="1"/>
                <w:color w:val="auto"/>
              </w:rPr>
            </w:pPr>
          </w:p>
        </w:tc>
      </w:tr>
      <w:tr>
        <w:trPr>
          <w:trHeight w:val="228"/>
        </w:trPr>
        <w:tc>
          <w:tcPr>
            <w:tcW w:w="10820" w:type="dxa"/>
            <w:vAlign w:val="bottom"/>
            <w:tcBorders>
              <w:bottom w:val="single" w:sz="8" w:color="454546"/>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454546"/>
                <w:w w:val="99"/>
              </w:rPr>
              <w:t>Securities registered pursuant to Section 12(b) of the Act:</w:t>
            </w:r>
          </w:p>
        </w:tc>
        <w:tc>
          <w:tcPr>
            <w:tcW w:w="0" w:type="dxa"/>
            <w:vAlign w:val="bottom"/>
          </w:tcPr>
          <w:p>
            <w:pPr>
              <w:spacing w:after="0"/>
              <w:rPr>
                <w:sz w:val="1"/>
                <w:szCs w:val="1"/>
                <w:color w:val="auto"/>
              </w:rPr>
            </w:pPr>
          </w:p>
        </w:tc>
      </w:tr>
      <w:tr>
        <w:trPr>
          <w:trHeight w:val="206"/>
        </w:trPr>
        <w:tc>
          <w:tcPr>
            <w:tcW w:w="3680" w:type="dxa"/>
            <w:vAlign w:val="bottom"/>
            <w:tcBorders>
              <w:left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16"/>
                <w:szCs w:val="16"/>
                <w:color w:val="454546"/>
                <w:w w:val="99"/>
              </w:rPr>
              <w:t>Title of each class</w:t>
            </w:r>
          </w:p>
        </w:tc>
        <w:tc>
          <w:tcPr>
            <w:tcW w:w="620" w:type="dxa"/>
            <w:vAlign w:val="bottom"/>
            <w:tcBorders>
              <w:bottom w:val="single" w:sz="8" w:color="454546"/>
            </w:tcBorders>
          </w:tcPr>
          <w:p>
            <w:pPr>
              <w:spacing w:after="0"/>
              <w:rPr>
                <w:sz w:val="17"/>
                <w:szCs w:val="17"/>
                <w:color w:val="auto"/>
              </w:rPr>
            </w:pPr>
          </w:p>
        </w:tc>
        <w:tc>
          <w:tcPr>
            <w:tcW w:w="2620" w:type="dxa"/>
            <w:vAlign w:val="bottom"/>
            <w:tcBorders>
              <w:bottom w:val="single" w:sz="8" w:color="454546"/>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454546"/>
                <w:w w:val="99"/>
              </w:rPr>
              <w:t>Trading Symbol</w:t>
            </w:r>
          </w:p>
        </w:tc>
        <w:tc>
          <w:tcPr>
            <w:tcW w:w="320" w:type="dxa"/>
            <w:vAlign w:val="bottom"/>
            <w:tcBorders>
              <w:bottom w:val="single" w:sz="8" w:color="454546"/>
              <w:right w:val="single" w:sz="8" w:color="454546"/>
            </w:tcBorders>
          </w:tcPr>
          <w:p>
            <w:pPr>
              <w:spacing w:after="0"/>
              <w:rPr>
                <w:sz w:val="17"/>
                <w:szCs w:val="17"/>
                <w:color w:val="auto"/>
              </w:rPr>
            </w:pPr>
          </w:p>
        </w:tc>
        <w:tc>
          <w:tcPr>
            <w:tcW w:w="3580" w:type="dxa"/>
            <w:vAlign w:val="bottom"/>
            <w:tcBorders>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16"/>
                <w:szCs w:val="16"/>
                <w:color w:val="454546"/>
              </w:rPr>
              <w:t>Name of each exchange on which registered</w:t>
            </w:r>
          </w:p>
        </w:tc>
        <w:tc>
          <w:tcPr>
            <w:tcW w:w="0" w:type="dxa"/>
            <w:vAlign w:val="bottom"/>
          </w:tcPr>
          <w:p>
            <w:pPr>
              <w:spacing w:after="0"/>
              <w:rPr>
                <w:sz w:val="1"/>
                <w:szCs w:val="1"/>
                <w:color w:val="auto"/>
              </w:rPr>
            </w:pPr>
          </w:p>
        </w:tc>
      </w:tr>
      <w:tr>
        <w:trPr>
          <w:trHeight w:val="206"/>
        </w:trPr>
        <w:tc>
          <w:tcPr>
            <w:tcW w:w="3680" w:type="dxa"/>
            <w:vAlign w:val="bottom"/>
            <w:tcBorders>
              <w:left w:val="single" w:sz="8" w:color="454546"/>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16"/>
                <w:szCs w:val="16"/>
                <w:color w:val="454546"/>
                <w:w w:val="99"/>
              </w:rPr>
              <w:t>Ordinary Shares, $0.00045 Par Value Per Share</w:t>
            </w:r>
          </w:p>
        </w:tc>
        <w:tc>
          <w:tcPr>
            <w:tcW w:w="620" w:type="dxa"/>
            <w:vAlign w:val="bottom"/>
            <w:tcBorders>
              <w:bottom w:val="single" w:sz="8" w:color="454546"/>
            </w:tcBorders>
          </w:tcPr>
          <w:p>
            <w:pPr>
              <w:spacing w:after="0"/>
              <w:rPr>
                <w:sz w:val="17"/>
                <w:szCs w:val="17"/>
                <w:color w:val="auto"/>
              </w:rPr>
            </w:pPr>
          </w:p>
        </w:tc>
        <w:tc>
          <w:tcPr>
            <w:tcW w:w="2620" w:type="dxa"/>
            <w:vAlign w:val="bottom"/>
            <w:tcBorders>
              <w:bottom w:val="single" w:sz="8" w:color="454546"/>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454546"/>
                <w:w w:val="99"/>
              </w:rPr>
              <w:t>AMBA</w:t>
            </w:r>
          </w:p>
        </w:tc>
        <w:tc>
          <w:tcPr>
            <w:tcW w:w="320" w:type="dxa"/>
            <w:vAlign w:val="bottom"/>
            <w:tcBorders>
              <w:bottom w:val="single" w:sz="8" w:color="454546"/>
              <w:right w:val="single" w:sz="8" w:color="454546"/>
            </w:tcBorders>
          </w:tcPr>
          <w:p>
            <w:pPr>
              <w:spacing w:after="0"/>
              <w:rPr>
                <w:sz w:val="17"/>
                <w:szCs w:val="17"/>
                <w:color w:val="auto"/>
              </w:rPr>
            </w:pPr>
          </w:p>
        </w:tc>
        <w:tc>
          <w:tcPr>
            <w:tcW w:w="3580" w:type="dxa"/>
            <w:vAlign w:val="bottom"/>
            <w:tcBorders>
              <w:bottom w:val="single" w:sz="8" w:color="454546"/>
              <w:right w:val="single" w:sz="8" w:color="454546"/>
            </w:tcBorders>
          </w:tcPr>
          <w:p>
            <w:pPr>
              <w:jc w:val="center"/>
              <w:spacing w:after="0"/>
              <w:rPr>
                <w:sz w:val="20"/>
                <w:szCs w:val="20"/>
                <w:color w:val="auto"/>
              </w:rPr>
            </w:pPr>
            <w:r>
              <w:rPr>
                <w:rFonts w:ascii="Times New Roman" w:cs="Times New Roman" w:eastAsia="Times New Roman" w:hAnsi="Times New Roman"/>
                <w:sz w:val="16"/>
                <w:szCs w:val="16"/>
                <w:color w:val="454546"/>
              </w:rPr>
              <w:t>The Nasdaq Global Select Market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Securities registered pursuant to Section 12(g) of the Act: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54546"/>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60960</wp:posOffset>
                </wp:positionV>
                <wp:extent cx="14084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454546"/>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8pt" to="325.45pt,4.8pt" o:allowincell="f" strokecolor="#454546" strokeweight="1pt"/>
            </w:pict>
          </mc:Fallback>
        </mc:AlternateContent>
      </w:r>
    </w:p>
    <w:p>
      <w:pPr>
        <w:spacing w:after="0" w:line="108" w:lineRule="exact"/>
        <w:rPr>
          <w:sz w:val="20"/>
          <w:szCs w:val="20"/>
          <w:color w:val="auto"/>
        </w:rPr>
      </w:pPr>
    </w:p>
    <w:p>
      <w:pPr>
        <w:ind w:left="500" w:right="1440"/>
        <w:spacing w:after="0" w:line="316" w:lineRule="auto"/>
        <w:rPr>
          <w:sz w:val="20"/>
          <w:szCs w:val="20"/>
          <w:color w:val="auto"/>
        </w:rPr>
      </w:pPr>
      <w:r>
        <w:rPr>
          <w:rFonts w:ascii="Times New Roman" w:cs="Times New Roman" w:eastAsia="Times New Roman" w:hAnsi="Times New Roman"/>
          <w:sz w:val="16"/>
          <w:szCs w:val="16"/>
          <w:color w:val="454546"/>
        </w:rPr>
        <w:t xml:space="preserve">Indicate by check mark if the registrant is a well-known seasoned issuer, as defined in Rule 405 of the Securities Act. YES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NO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Indicate by check mark if the registrant is not required to file reports pursuant to Section 13 or Section 15(d) of the Act. YES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NO </w:t>
      </w:r>
      <w:r>
        <w:rPr>
          <w:rFonts w:ascii="PMingLiU" w:cs="PMingLiU" w:eastAsia="PMingLiU" w:hAnsi="PMingLiU"/>
          <w:sz w:val="16"/>
          <w:szCs w:val="16"/>
          <w:color w:val="454546"/>
        </w:rPr>
        <w:t/>
      </w:r>
    </w:p>
    <w:p>
      <w:pPr>
        <w:spacing w:after="0" w:line="1" w:lineRule="exact"/>
        <w:rPr>
          <w:sz w:val="20"/>
          <w:szCs w:val="20"/>
          <w:color w:val="auto"/>
        </w:rPr>
      </w:pPr>
    </w:p>
    <w:p>
      <w:pPr>
        <w:ind w:right="580" w:firstLine="490"/>
        <w:spacing w:after="0" w:line="276" w:lineRule="auto"/>
        <w:rPr>
          <w:sz w:val="20"/>
          <w:szCs w:val="20"/>
          <w:color w:val="auto"/>
        </w:rPr>
      </w:pPr>
      <w:r>
        <w:rPr>
          <w:rFonts w:ascii="Times New Roman" w:cs="Times New Roman" w:eastAsia="Times New Roman" w:hAnsi="Times New Roman"/>
          <w:sz w:val="16"/>
          <w:szCs w:val="16"/>
          <w:color w:val="454546"/>
        </w:rPr>
        <w:t xml:space="preserve">Indicate by check mark whether the registrant (1) has filed all reports required to be filed by Section 13 or 15(d) of the Securities Exchange Act of 1934 (Exchange Act) during the preceding 12 months and (2) has been subject to such filing requirements for the past 90 days. YES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NO </w:t>
      </w:r>
      <w:r>
        <w:rPr>
          <w:rFonts w:ascii="PMingLiU" w:cs="PMingLiU" w:eastAsia="PMingLiU" w:hAnsi="PMingLiU"/>
          <w:sz w:val="16"/>
          <w:szCs w:val="16"/>
          <w:color w:val="454546"/>
        </w:rPr>
        <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454546"/>
        </w:rPr>
        <w:t>Indicate by check mark whether the registrant has submitted electronically every Interactive Data File required to be submitted pursuant to Rule 405 of</w:t>
      </w:r>
    </w:p>
    <w:p>
      <w:pPr>
        <w:spacing w:after="0" w:line="1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454546"/>
        </w:rPr>
        <w:t xml:space="preserve">Regulation S-T (§232.405 of this chapter) during the preceding 12 months (or for such shorter period that the registrant was required to submit such files). YES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NO </w:t>
      </w:r>
      <w:r>
        <w:rPr>
          <w:rFonts w:ascii="PMingLiU" w:cs="PMingLiU" w:eastAsia="PMingLiU" w:hAnsi="PMingLiU"/>
          <w:sz w:val="16"/>
          <w:szCs w:val="16"/>
          <w:color w:val="454546"/>
        </w:rPr>
        <w:t/>
      </w:r>
    </w:p>
    <w:p>
      <w:pPr>
        <w:spacing w:after="0" w:line="1" w:lineRule="exact"/>
        <w:rPr>
          <w:sz w:val="20"/>
          <w:szCs w:val="20"/>
          <w:color w:val="auto"/>
        </w:rPr>
      </w:pPr>
    </w:p>
    <w:p>
      <w:pPr>
        <w:ind w:right="140" w:firstLine="490"/>
        <w:spacing w:after="0" w:line="255" w:lineRule="auto"/>
        <w:rPr>
          <w:sz w:val="20"/>
          <w:szCs w:val="20"/>
          <w:color w:val="auto"/>
        </w:rPr>
      </w:pPr>
      <w:r>
        <w:rPr>
          <w:rFonts w:ascii="Times New Roman" w:cs="Times New Roman" w:eastAsia="Times New Roman" w:hAnsi="Times New Roman"/>
          <w:sz w:val="16"/>
          <w:szCs w:val="16"/>
          <w:color w:val="45454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454546"/>
              </w:rPr>
              <w:t>Large accelerated filer</w:t>
            </w:r>
          </w:p>
        </w:tc>
        <w:tc>
          <w:tcPr>
            <w:tcW w:w="3240" w:type="dxa"/>
            <w:vAlign w:val="bottom"/>
          </w:tcPr>
          <w:p>
            <w:pPr>
              <w:jc w:val="right"/>
              <w:ind w:right="2720"/>
              <w:spacing w:after="0"/>
              <w:rPr>
                <w:sz w:val="20"/>
                <w:szCs w:val="20"/>
                <w:color w:val="auto"/>
              </w:rPr>
            </w:pPr>
            <w:r>
              <w:rPr>
                <w:rFonts w:ascii="PMingLiU" w:cs="PMingLiU" w:eastAsia="PMingLiU" w:hAnsi="PMingLiU"/>
                <w:sz w:val="16"/>
                <w:szCs w:val="16"/>
                <w:color w:val="454546"/>
              </w:rPr>
              <w:t/>
            </w:r>
          </w:p>
        </w:tc>
        <w:tc>
          <w:tcPr>
            <w:tcW w:w="4860" w:type="dxa"/>
            <w:vAlign w:val="bottom"/>
          </w:tcPr>
          <w:p>
            <w:pPr>
              <w:ind w:left="2800"/>
              <w:spacing w:after="0"/>
              <w:rPr>
                <w:sz w:val="20"/>
                <w:szCs w:val="20"/>
                <w:color w:val="auto"/>
              </w:rPr>
            </w:pPr>
            <w:r>
              <w:rPr>
                <w:rFonts w:ascii="Times New Roman" w:cs="Times New Roman" w:eastAsia="Times New Roman" w:hAnsi="Times New Roman"/>
                <w:sz w:val="16"/>
                <w:szCs w:val="16"/>
                <w:color w:val="454546"/>
              </w:rPr>
              <w:t>Accelerated filer</w:t>
            </w:r>
          </w:p>
        </w:tc>
        <w:tc>
          <w:tcPr>
            <w:tcW w:w="460" w:type="dxa"/>
            <w:vAlign w:val="bottom"/>
          </w:tcPr>
          <w:p>
            <w:pPr>
              <w:jc w:val="right"/>
              <w:spacing w:after="0"/>
              <w:rPr>
                <w:sz w:val="20"/>
                <w:szCs w:val="20"/>
                <w:color w:val="auto"/>
              </w:rPr>
            </w:pPr>
            <w:r>
              <w:rPr>
                <w:rFonts w:ascii="PMingLiU" w:cs="PMingLiU" w:eastAsia="PMingLiU" w:hAnsi="PMingLiU"/>
                <w:sz w:val="16"/>
                <w:szCs w:val="16"/>
                <w:color w:val="454546"/>
              </w:rPr>
              <w:t/>
            </w:r>
          </w:p>
        </w:tc>
      </w:t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454546"/>
              </w:rPr>
              <w:t>Non-accelerated filer</w:t>
            </w:r>
          </w:p>
        </w:tc>
        <w:tc>
          <w:tcPr>
            <w:tcW w:w="3240" w:type="dxa"/>
            <w:vAlign w:val="bottom"/>
          </w:tcPr>
          <w:p>
            <w:pPr>
              <w:jc w:val="right"/>
              <w:ind w:right="2740"/>
              <w:spacing w:after="0"/>
              <w:rPr>
                <w:sz w:val="20"/>
                <w:szCs w:val="20"/>
                <w:color w:val="auto"/>
              </w:rPr>
            </w:pPr>
            <w:r>
              <w:rPr>
                <w:rFonts w:ascii="PMingLiU" w:cs="PMingLiU" w:eastAsia="PMingLiU" w:hAnsi="PMingLiU"/>
                <w:sz w:val="16"/>
                <w:szCs w:val="16"/>
                <w:color w:val="454546"/>
              </w:rPr>
              <w:t/>
            </w:r>
          </w:p>
        </w:tc>
        <w:tc>
          <w:tcPr>
            <w:tcW w:w="4860" w:type="dxa"/>
            <w:vAlign w:val="bottom"/>
          </w:tcPr>
          <w:p>
            <w:pPr>
              <w:ind w:left="2800"/>
              <w:spacing w:after="0"/>
              <w:rPr>
                <w:sz w:val="20"/>
                <w:szCs w:val="20"/>
                <w:color w:val="auto"/>
              </w:rPr>
            </w:pPr>
            <w:r>
              <w:rPr>
                <w:rFonts w:ascii="Times New Roman" w:cs="Times New Roman" w:eastAsia="Times New Roman" w:hAnsi="Times New Roman"/>
                <w:sz w:val="16"/>
                <w:szCs w:val="16"/>
                <w:color w:val="454546"/>
              </w:rPr>
              <w:t>Smaller reporting company</w:t>
            </w:r>
          </w:p>
        </w:tc>
        <w:tc>
          <w:tcPr>
            <w:tcW w:w="460" w:type="dxa"/>
            <w:vAlign w:val="bottom"/>
          </w:tcPr>
          <w:p>
            <w:pPr>
              <w:jc w:val="right"/>
              <w:spacing w:after="0"/>
              <w:rPr>
                <w:sz w:val="20"/>
                <w:szCs w:val="20"/>
                <w:color w:val="auto"/>
              </w:rPr>
            </w:pPr>
            <w:r>
              <w:rPr>
                <w:rFonts w:ascii="PMingLiU" w:cs="PMingLiU" w:eastAsia="PMingLiU" w:hAnsi="PMingLiU"/>
                <w:sz w:val="16"/>
                <w:szCs w:val="16"/>
                <w:color w:val="454546"/>
              </w:rPr>
              <w:t/>
            </w:r>
          </w:p>
        </w:tc>
      </w:tr>
      <w:tr>
        <w:trPr>
          <w:trHeight w:val="261"/>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454546"/>
              </w:rPr>
              <w:t>Emerging growth company</w:t>
            </w:r>
          </w:p>
        </w:tc>
        <w:tc>
          <w:tcPr>
            <w:tcW w:w="3240" w:type="dxa"/>
            <w:vAlign w:val="bottom"/>
          </w:tcPr>
          <w:p>
            <w:pPr>
              <w:jc w:val="right"/>
              <w:ind w:right="2740"/>
              <w:spacing w:after="0"/>
              <w:rPr>
                <w:sz w:val="20"/>
                <w:szCs w:val="20"/>
                <w:color w:val="auto"/>
              </w:rPr>
            </w:pPr>
            <w:r>
              <w:rPr>
                <w:rFonts w:ascii="PMingLiU" w:cs="PMingLiU" w:eastAsia="PMingLiU" w:hAnsi="PMingLiU"/>
                <w:sz w:val="16"/>
                <w:szCs w:val="16"/>
                <w:color w:val="454546"/>
              </w:rPr>
              <w:t/>
            </w:r>
          </w:p>
        </w:tc>
        <w:tc>
          <w:tcPr>
            <w:tcW w:w="48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ind w:right="280" w:firstLine="490"/>
        <w:spacing w:after="0" w:line="276" w:lineRule="auto"/>
        <w:rPr>
          <w:sz w:val="20"/>
          <w:szCs w:val="20"/>
          <w:color w:val="auto"/>
        </w:rPr>
      </w:pPr>
      <w:r>
        <w:rPr>
          <w:rFonts w:ascii="Times New Roman" w:cs="Times New Roman" w:eastAsia="Times New Roman" w:hAnsi="Times New Roman"/>
          <w:sz w:val="16"/>
          <w:szCs w:val="16"/>
          <w:color w:val="45454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454546"/>
        </w:rPr>
        <w:t/>
      </w:r>
    </w:p>
    <w:p>
      <w:pPr>
        <w:spacing w:after="0" w:line="1" w:lineRule="exact"/>
        <w:rPr>
          <w:sz w:val="20"/>
          <w:szCs w:val="20"/>
          <w:color w:val="auto"/>
        </w:rPr>
      </w:pPr>
    </w:p>
    <w:p>
      <w:pPr>
        <w:jc w:val="both"/>
        <w:ind w:right="20" w:firstLine="490"/>
        <w:spacing w:after="0" w:line="263" w:lineRule="auto"/>
        <w:rPr>
          <w:sz w:val="20"/>
          <w:szCs w:val="20"/>
          <w:color w:val="auto"/>
        </w:rPr>
      </w:pPr>
      <w:r>
        <w:rPr>
          <w:rFonts w:ascii="Times New Roman" w:cs="Times New Roman" w:eastAsia="Times New Roman" w:hAnsi="Times New Roman"/>
          <w:sz w:val="15"/>
          <w:szCs w:val="15"/>
          <w:color w:val="45454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rPr>
          <w:sz w:val="20"/>
          <w:szCs w:val="20"/>
          <w:color w:val="auto"/>
        </w:rPr>
      </w:pPr>
      <w:r>
        <w:rPr>
          <w:rFonts w:ascii="PMingLiU" w:cs="PMingLiU" w:eastAsia="PMingLiU" w:hAnsi="PMingLiU"/>
          <w:sz w:val="16"/>
          <w:szCs w:val="16"/>
          <w:color w:val="454546"/>
        </w:rPr>
        <w:t/>
      </w:r>
    </w:p>
    <w:p>
      <w:pPr>
        <w:spacing w:after="0" w:line="51" w:lineRule="exact"/>
        <w:rPr>
          <w:sz w:val="20"/>
          <w:szCs w:val="20"/>
          <w:color w:val="auto"/>
        </w:rPr>
      </w:pPr>
    </w:p>
    <w:p>
      <w:pPr>
        <w:ind w:right="200" w:firstLine="490"/>
        <w:spacing w:after="0" w:line="276" w:lineRule="auto"/>
        <w:rPr>
          <w:sz w:val="20"/>
          <w:szCs w:val="20"/>
          <w:color w:val="auto"/>
        </w:rPr>
      </w:pPr>
      <w:r>
        <w:rPr>
          <w:rFonts w:ascii="Times New Roman" w:cs="Times New Roman" w:eastAsia="Times New Roman" w:hAnsi="Times New Roman"/>
          <w:sz w:val="16"/>
          <w:szCs w:val="16"/>
          <w:color w:val="45454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454546"/>
        </w:rPr>
        <w:t/>
      </w:r>
    </w:p>
    <w:p>
      <w:pPr>
        <w:spacing w:after="0" w:line="1" w:lineRule="exact"/>
        <w:rPr>
          <w:sz w:val="20"/>
          <w:szCs w:val="20"/>
          <w:color w:val="auto"/>
        </w:rPr>
      </w:pPr>
    </w:p>
    <w:p>
      <w:pPr>
        <w:ind w:right="220" w:firstLine="490"/>
        <w:spacing w:after="0" w:line="276" w:lineRule="auto"/>
        <w:rPr>
          <w:sz w:val="20"/>
          <w:szCs w:val="20"/>
          <w:color w:val="auto"/>
        </w:rPr>
      </w:pPr>
      <w:r>
        <w:rPr>
          <w:rFonts w:ascii="Times New Roman" w:cs="Times New Roman" w:eastAsia="Times New Roman" w:hAnsi="Times New Roman"/>
          <w:sz w:val="16"/>
          <w:szCs w:val="16"/>
          <w:color w:val="45454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454546"/>
        </w:rPr>
        <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454546"/>
        </w:rPr>
        <w:t xml:space="preserve">Indicate by check mark whether the registrant is a shell company (as defined in Rule 12b-2 of the Act).  YES </w:t>
      </w:r>
      <w:r>
        <w:rPr>
          <w:rFonts w:ascii="PMingLiU" w:cs="PMingLiU" w:eastAsia="PMingLiU" w:hAnsi="PMingLiU"/>
          <w:sz w:val="16"/>
          <w:szCs w:val="16"/>
          <w:color w:val="454546"/>
        </w:rPr>
        <w:t/>
      </w:r>
      <w:r>
        <w:rPr>
          <w:rFonts w:ascii="Times New Roman" w:cs="Times New Roman" w:eastAsia="Times New Roman" w:hAnsi="Times New Roman"/>
          <w:sz w:val="16"/>
          <w:szCs w:val="16"/>
          <w:color w:val="454546"/>
        </w:rPr>
        <w:t xml:space="preserve"> NO </w:t>
      </w:r>
      <w:r>
        <w:rPr>
          <w:rFonts w:ascii="PMingLiU" w:cs="PMingLiU" w:eastAsia="PMingLiU" w:hAnsi="PMingLiU"/>
          <w:sz w:val="16"/>
          <w:szCs w:val="16"/>
          <w:color w:val="454546"/>
        </w:rPr>
        <w:t/>
      </w:r>
    </w:p>
    <w:p>
      <w:pPr>
        <w:spacing w:after="0" w:line="5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16"/>
          <w:szCs w:val="16"/>
          <w:color w:val="454546"/>
        </w:rPr>
        <w:t>The aggregate market value of the voting and non-voting ordinary shares held by non-affiliates of the Registrant as of July 31, 2023, was approximately $2.6 billion based upon the closing price reported for such date on the NASDAQ Global Select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454546"/>
        </w:rPr>
        <w:t>Number of ordinary shares, $0.00045 par value, outstanding as of March 22, 2024: 40,962,191 shares.</w:t>
      </w:r>
    </w:p>
    <w:p>
      <w:pPr>
        <w:sectPr>
          <w:pgSz w:w="12240" w:h="15840" w:orient="portrait"/>
          <w:cols w:equalWidth="0" w:num="1">
            <w:col w:w="10800"/>
          </w:cols>
          <w:pgMar w:left="720" w:top="1020" w:right="720" w:bottom="863"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454546"/>
        </w:rPr>
        <w:t>DOCUMENTS INCORPORATED BY REFERENCE</w:t>
      </w:r>
    </w:p>
    <w:p>
      <w:pPr>
        <w:spacing w:after="0" w:line="4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16"/>
          <w:szCs w:val="16"/>
          <w:color w:val="454546"/>
        </w:rPr>
        <w:t>Certain information is incorporated into Part III of this report by reference to the Proxy Statement for the Registrant’s 2024 annual meeting of shareholders to be filed with the Securities and Exchange Commission not later than 120 days after the end of the fiscal year covered by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9525</wp:posOffset>
                </wp:positionV>
                <wp:extent cx="68948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0.75pt" to="541.45pt,0.75pt" o:allowincell="f" strokecolor="#454546"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-8890</wp:posOffset>
                </wp:positionV>
                <wp:extent cx="68948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454546"/>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0.6999pt" to="541.45pt,-0.6999pt" o:allowincell="f" strokecolor="#454546" strokeweight="0.75pt"/>
            </w:pict>
          </mc:Fallback>
        </mc:AlternateContent>
      </w:r>
    </w:p>
    <w:p>
      <w:pPr>
        <w:sectPr>
          <w:pgSz w:w="12240" w:h="15840" w:orient="portrait"/>
          <w:cols w:equalWidth="0" w:num="1">
            <w:col w:w="10780"/>
          </w:cols>
          <w:pgMar w:left="720" w:top="1114" w:right="740" w:bottom="1440" w:gutter="0" w:footer="0" w:header="0"/>
        </w:sectPr>
      </w:pPr>
    </w:p>
    <w:bookmarkStart w:id="6" w:name="page7"/>
    <w:bookmarkEnd w:id="6"/>
    <w:p>
      <w:pPr>
        <w:ind w:left="4300"/>
        <w:spacing w:after="0"/>
        <w:rPr>
          <w:sz w:val="20"/>
          <w:szCs w:val="20"/>
          <w:color w:val="auto"/>
        </w:rPr>
      </w:pPr>
      <w:r>
        <w:rPr>
          <w:rFonts w:ascii="Times New Roman" w:cs="Times New Roman" w:eastAsia="Times New Roman" w:hAnsi="Times New Roman"/>
          <w:sz w:val="20"/>
          <w:szCs w:val="20"/>
          <w:b w:val="1"/>
          <w:bCs w:val="1"/>
          <w:color w:val="454546"/>
        </w:rPr>
        <w:t>TABLE OF CONTENTS</w:t>
      </w:r>
    </w:p>
    <w:p>
      <w:pPr>
        <w:spacing w:after="0" w:line="234"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6"/>
          <w:szCs w:val="16"/>
          <w:b w:val="1"/>
          <w:bCs w:val="1"/>
          <w:color w:val="454546"/>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6500495</wp:posOffset>
                </wp:positionH>
                <wp:positionV relativeFrom="paragraph">
                  <wp:posOffset>15240</wp:posOffset>
                </wp:positionV>
                <wp:extent cx="33845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455"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85pt,1.2pt" to="538.5pt,1.2pt" o:allowincell="f" strokecolor="#454546" strokeweight="0.5pt"/>
            </w:pict>
          </mc:Fallback>
        </mc:AlternateConten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656769"/>
        </w:rPr>
        <w:t>PART I</w:t>
      </w:r>
    </w:p>
    <w:p>
      <w:pPr>
        <w:spacing w:after="0" w:line="1" w:lineRule="exact"/>
        <w:rPr>
          <w:sz w:val="20"/>
          <w:szCs w:val="20"/>
          <w:color w:val="auto"/>
        </w:rPr>
      </w:pPr>
    </w:p>
    <w:p>
      <w:pPr>
        <w:spacing w:after="0"/>
        <w:tabs>
          <w:tab w:leader="none" w:pos="920" w:val="left"/>
          <w:tab w:leader="dot" w:pos="10660" w:val="left"/>
        </w:tabs>
        <w:rPr>
          <w:sz w:val="20"/>
          <w:szCs w:val="20"/>
          <w:color w:val="auto"/>
        </w:rPr>
      </w:pPr>
      <w:r>
        <w:rPr>
          <w:rFonts w:ascii="Times New Roman" w:cs="Times New Roman" w:eastAsia="Times New Roman" w:hAnsi="Times New Roman"/>
          <w:sz w:val="20"/>
          <w:szCs w:val="20"/>
          <w:color w:val="454546"/>
        </w:rPr>
        <w:t>Item 1.</w:t>
      </w:r>
      <w:r>
        <w:rPr>
          <w:sz w:val="20"/>
          <w:szCs w:val="20"/>
          <w:color w:val="auto"/>
        </w:rPr>
        <w:tab/>
      </w:r>
      <w:r>
        <w:rPr>
          <w:rFonts w:ascii="Times New Roman" w:cs="Times New Roman" w:eastAsia="Times New Roman" w:hAnsi="Times New Roman"/>
          <w:sz w:val="20"/>
          <w:szCs w:val="20"/>
          <w:u w:val="single" w:color="auto"/>
          <w:color w:val="656769"/>
        </w:rPr>
        <w:t>Business</w:t>
      </w:r>
      <w:r>
        <w:rPr>
          <w:sz w:val="20"/>
          <w:szCs w:val="20"/>
          <w:color w:val="auto"/>
        </w:rPr>
        <w:tab/>
      </w:r>
      <w:r>
        <w:rPr>
          <w:rFonts w:ascii="Times New Roman" w:cs="Times New Roman" w:eastAsia="Times New Roman" w:hAnsi="Times New Roman"/>
          <w:sz w:val="20"/>
          <w:szCs w:val="20"/>
          <w:color w:val="454546"/>
        </w:rPr>
        <w:t>4</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1A.</w:t>
      </w:r>
      <w:r>
        <w:rPr>
          <w:sz w:val="20"/>
          <w:szCs w:val="20"/>
          <w:color w:val="auto"/>
        </w:rPr>
        <w:tab/>
      </w:r>
      <w:r>
        <w:rPr>
          <w:rFonts w:ascii="Times New Roman" w:cs="Times New Roman" w:eastAsia="Times New Roman" w:hAnsi="Times New Roman"/>
          <w:sz w:val="20"/>
          <w:szCs w:val="20"/>
          <w:u w:val="single" w:color="auto"/>
          <w:color w:val="656769"/>
        </w:rPr>
        <w:t>Risk Factors</w:t>
      </w:r>
      <w:r>
        <w:rPr>
          <w:sz w:val="20"/>
          <w:szCs w:val="20"/>
          <w:color w:val="auto"/>
        </w:rPr>
        <w:tab/>
      </w:r>
      <w:r>
        <w:rPr>
          <w:rFonts w:ascii="Times New Roman" w:cs="Times New Roman" w:eastAsia="Times New Roman" w:hAnsi="Times New Roman"/>
          <w:sz w:val="20"/>
          <w:szCs w:val="20"/>
          <w:color w:val="454546"/>
        </w:rPr>
        <w:t>18</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1B.</w:t>
      </w:r>
      <w:r>
        <w:rPr>
          <w:sz w:val="20"/>
          <w:szCs w:val="20"/>
          <w:color w:val="auto"/>
        </w:rPr>
        <w:tab/>
      </w:r>
      <w:r>
        <w:rPr>
          <w:rFonts w:ascii="Times New Roman" w:cs="Times New Roman" w:eastAsia="Times New Roman" w:hAnsi="Times New Roman"/>
          <w:sz w:val="20"/>
          <w:szCs w:val="20"/>
          <w:u w:val="single" w:color="auto"/>
          <w:color w:val="656769"/>
        </w:rPr>
        <w:t>Unresolved Staff Comments</w:t>
      </w:r>
      <w:r>
        <w:rPr>
          <w:sz w:val="20"/>
          <w:szCs w:val="20"/>
          <w:color w:val="auto"/>
        </w:rPr>
        <w:tab/>
      </w:r>
      <w:r>
        <w:rPr>
          <w:rFonts w:ascii="Times New Roman" w:cs="Times New Roman" w:eastAsia="Times New Roman" w:hAnsi="Times New Roman"/>
          <w:sz w:val="20"/>
          <w:szCs w:val="20"/>
          <w:color w:val="454546"/>
        </w:rPr>
        <w:t>48</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1C.</w:t>
      </w:r>
      <w:r>
        <w:rPr>
          <w:sz w:val="20"/>
          <w:szCs w:val="20"/>
          <w:color w:val="auto"/>
        </w:rPr>
        <w:tab/>
      </w:r>
      <w:r>
        <w:rPr>
          <w:rFonts w:ascii="Times New Roman" w:cs="Times New Roman" w:eastAsia="Times New Roman" w:hAnsi="Times New Roman"/>
          <w:sz w:val="20"/>
          <w:szCs w:val="20"/>
          <w:u w:val="single" w:color="auto"/>
          <w:color w:val="656769"/>
        </w:rPr>
        <w:t>Cybersecurity</w:t>
      </w:r>
      <w:r>
        <w:rPr>
          <w:sz w:val="20"/>
          <w:szCs w:val="20"/>
          <w:color w:val="auto"/>
        </w:rPr>
        <w:tab/>
      </w:r>
      <w:r>
        <w:rPr>
          <w:rFonts w:ascii="Times New Roman" w:cs="Times New Roman" w:eastAsia="Times New Roman" w:hAnsi="Times New Roman"/>
          <w:sz w:val="20"/>
          <w:szCs w:val="20"/>
          <w:color w:val="454546"/>
        </w:rPr>
        <w:t>48</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2.</w:t>
      </w:r>
      <w:r>
        <w:rPr>
          <w:sz w:val="20"/>
          <w:szCs w:val="20"/>
          <w:color w:val="auto"/>
        </w:rPr>
        <w:tab/>
      </w:r>
      <w:r>
        <w:rPr>
          <w:rFonts w:ascii="Times New Roman" w:cs="Times New Roman" w:eastAsia="Times New Roman" w:hAnsi="Times New Roman"/>
          <w:sz w:val="20"/>
          <w:szCs w:val="20"/>
          <w:u w:val="single" w:color="auto"/>
          <w:color w:val="656769"/>
        </w:rPr>
        <w:t>Properties</w:t>
      </w:r>
      <w:r>
        <w:rPr>
          <w:sz w:val="20"/>
          <w:szCs w:val="20"/>
          <w:color w:val="auto"/>
        </w:rPr>
        <w:tab/>
      </w:r>
      <w:r>
        <w:rPr>
          <w:rFonts w:ascii="Times New Roman" w:cs="Times New Roman" w:eastAsia="Times New Roman" w:hAnsi="Times New Roman"/>
          <w:sz w:val="20"/>
          <w:szCs w:val="20"/>
          <w:color w:val="454546"/>
        </w:rPr>
        <w:t>50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3.</w:t>
      </w:r>
      <w:r>
        <w:rPr>
          <w:sz w:val="20"/>
          <w:szCs w:val="20"/>
          <w:color w:val="auto"/>
        </w:rPr>
        <w:tab/>
      </w:r>
      <w:r>
        <w:rPr>
          <w:rFonts w:ascii="Times New Roman" w:cs="Times New Roman" w:eastAsia="Times New Roman" w:hAnsi="Times New Roman"/>
          <w:sz w:val="20"/>
          <w:szCs w:val="20"/>
          <w:u w:val="single" w:color="auto"/>
          <w:color w:val="656769"/>
        </w:rPr>
        <w:t>Legal Proceedings</w:t>
      </w:r>
      <w:r>
        <w:rPr>
          <w:sz w:val="20"/>
          <w:szCs w:val="20"/>
          <w:color w:val="auto"/>
        </w:rPr>
        <w:tab/>
      </w:r>
      <w:r>
        <w:rPr>
          <w:rFonts w:ascii="Times New Roman" w:cs="Times New Roman" w:eastAsia="Times New Roman" w:hAnsi="Times New Roman"/>
          <w:sz w:val="20"/>
          <w:szCs w:val="20"/>
          <w:color w:val="454546"/>
        </w:rPr>
        <w:t>50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4.</w:t>
      </w:r>
      <w:r>
        <w:rPr>
          <w:sz w:val="20"/>
          <w:szCs w:val="20"/>
          <w:color w:val="auto"/>
        </w:rPr>
        <w:tab/>
      </w:r>
      <w:r>
        <w:rPr>
          <w:rFonts w:ascii="Times New Roman" w:cs="Times New Roman" w:eastAsia="Times New Roman" w:hAnsi="Times New Roman"/>
          <w:sz w:val="20"/>
          <w:szCs w:val="20"/>
          <w:u w:val="single" w:color="auto"/>
          <w:color w:val="656769"/>
        </w:rPr>
        <w:t>Mine Safety Disclosures</w:t>
      </w:r>
      <w:r>
        <w:rPr>
          <w:sz w:val="20"/>
          <w:szCs w:val="20"/>
          <w:color w:val="auto"/>
        </w:rPr>
        <w:tab/>
      </w:r>
      <w:r>
        <w:rPr>
          <w:rFonts w:ascii="Times New Roman" w:cs="Times New Roman" w:eastAsia="Times New Roman" w:hAnsi="Times New Roman"/>
          <w:sz w:val="20"/>
          <w:szCs w:val="20"/>
          <w:color w:val="454546"/>
        </w:rPr>
        <w:t>50</w:t>
      </w:r>
    </w:p>
    <w:p>
      <w:pPr>
        <w:spacing w:after="0" w:line="1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u w:val="single" w:color="auto"/>
          <w:color w:val="656769"/>
        </w:rPr>
        <w:t>PART II</w:t>
      </w:r>
    </w:p>
    <w:p>
      <w:pPr>
        <w:spacing w:after="0" w:line="32" w:lineRule="exact"/>
        <w:rPr>
          <w:sz w:val="20"/>
          <w:szCs w:val="20"/>
          <w:color w:val="auto"/>
        </w:rPr>
      </w:pP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5.</w:t>
      </w:r>
      <w:r>
        <w:rPr>
          <w:sz w:val="20"/>
          <w:szCs w:val="20"/>
          <w:color w:val="auto"/>
        </w:rPr>
        <w:tab/>
      </w:r>
      <w:r>
        <w:rPr>
          <w:rFonts w:ascii="Times New Roman" w:cs="Times New Roman" w:eastAsia="Times New Roman" w:hAnsi="Times New Roman"/>
          <w:sz w:val="20"/>
          <w:szCs w:val="20"/>
          <w:u w:val="single" w:color="auto"/>
          <w:color w:val="656769"/>
        </w:rPr>
        <w:t>Market for Registrant’s Common Equity, Related Stockholder Matters and Issuer Purchases of Equity Securities</w:t>
      </w:r>
      <w:r>
        <w:rPr>
          <w:sz w:val="20"/>
          <w:szCs w:val="20"/>
          <w:color w:val="auto"/>
        </w:rPr>
        <w:tab/>
      </w:r>
      <w:r>
        <w:rPr>
          <w:rFonts w:ascii="Times New Roman" w:cs="Times New Roman" w:eastAsia="Times New Roman" w:hAnsi="Times New Roman"/>
          <w:sz w:val="20"/>
          <w:szCs w:val="20"/>
          <w:color w:val="454546"/>
        </w:rPr>
        <w:t>51</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6.</w:t>
      </w:r>
      <w:r>
        <w:rPr>
          <w:sz w:val="20"/>
          <w:szCs w:val="20"/>
          <w:color w:val="auto"/>
        </w:rPr>
        <w:tab/>
      </w:r>
      <w:r>
        <w:rPr>
          <w:rFonts w:ascii="Times New Roman" w:cs="Times New Roman" w:eastAsia="Times New Roman" w:hAnsi="Times New Roman"/>
          <w:sz w:val="20"/>
          <w:szCs w:val="20"/>
          <w:u w:val="single" w:color="auto"/>
          <w:color w:val="656769"/>
        </w:rPr>
        <w:t>[Reserved]</w:t>
      </w:r>
      <w:r>
        <w:rPr>
          <w:sz w:val="20"/>
          <w:szCs w:val="20"/>
          <w:color w:val="auto"/>
        </w:rPr>
        <w:tab/>
      </w:r>
      <w:r>
        <w:rPr>
          <w:rFonts w:ascii="Times New Roman" w:cs="Times New Roman" w:eastAsia="Times New Roman" w:hAnsi="Times New Roman"/>
          <w:sz w:val="20"/>
          <w:szCs w:val="20"/>
          <w:color w:val="454546"/>
        </w:rPr>
        <w:t>53</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7.</w:t>
      </w:r>
      <w:r>
        <w:rPr>
          <w:sz w:val="20"/>
          <w:szCs w:val="20"/>
          <w:color w:val="auto"/>
        </w:rPr>
        <w:tab/>
      </w:r>
      <w:r>
        <w:rPr>
          <w:rFonts w:ascii="Times New Roman" w:cs="Times New Roman" w:eastAsia="Times New Roman" w:hAnsi="Times New Roman"/>
          <w:sz w:val="20"/>
          <w:szCs w:val="20"/>
          <w:u w:val="single" w:color="auto"/>
          <w:color w:val="656769"/>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454546"/>
        </w:rPr>
        <w:t>54</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7A.</w:t>
      </w:r>
      <w:r>
        <w:rPr>
          <w:sz w:val="20"/>
          <w:szCs w:val="20"/>
          <w:color w:val="auto"/>
        </w:rPr>
        <w:tab/>
      </w:r>
      <w:r>
        <w:rPr>
          <w:rFonts w:ascii="Times New Roman" w:cs="Times New Roman" w:eastAsia="Times New Roman" w:hAnsi="Times New Roman"/>
          <w:sz w:val="20"/>
          <w:szCs w:val="20"/>
          <w:u w:val="single" w:color="auto"/>
          <w:color w:val="656769"/>
        </w:rPr>
        <w:t>Quantitative and Qualitative Disclosures About Market Risk</w:t>
      </w:r>
      <w:r>
        <w:rPr>
          <w:sz w:val="20"/>
          <w:szCs w:val="20"/>
          <w:color w:val="auto"/>
        </w:rPr>
        <w:tab/>
      </w:r>
      <w:r>
        <w:rPr>
          <w:rFonts w:ascii="Times New Roman" w:cs="Times New Roman" w:eastAsia="Times New Roman" w:hAnsi="Times New Roman"/>
          <w:sz w:val="20"/>
          <w:szCs w:val="20"/>
          <w:color w:val="454546"/>
        </w:rPr>
        <w:t>66</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8.</w:t>
      </w:r>
      <w:r>
        <w:rPr>
          <w:sz w:val="20"/>
          <w:szCs w:val="20"/>
          <w:color w:val="auto"/>
        </w:rPr>
        <w:tab/>
      </w:r>
      <w:r>
        <w:rPr>
          <w:rFonts w:ascii="Times New Roman" w:cs="Times New Roman" w:eastAsia="Times New Roman" w:hAnsi="Times New Roman"/>
          <w:sz w:val="20"/>
          <w:szCs w:val="20"/>
          <w:u w:val="single" w:color="auto"/>
          <w:color w:val="656769"/>
        </w:rPr>
        <w:t>Financial Statements and Supplementary Data</w:t>
      </w:r>
      <w:r>
        <w:rPr>
          <w:sz w:val="20"/>
          <w:szCs w:val="20"/>
          <w:color w:val="auto"/>
        </w:rPr>
        <w:tab/>
      </w:r>
      <w:r>
        <w:rPr>
          <w:rFonts w:ascii="Times New Roman" w:cs="Times New Roman" w:eastAsia="Times New Roman" w:hAnsi="Times New Roman"/>
          <w:sz w:val="20"/>
          <w:szCs w:val="20"/>
          <w:color w:val="454546"/>
        </w:rPr>
        <w:t>67</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9.</w:t>
      </w:r>
      <w:r>
        <w:rPr>
          <w:sz w:val="20"/>
          <w:szCs w:val="20"/>
          <w:color w:val="auto"/>
        </w:rPr>
        <w:tab/>
      </w:r>
      <w:r>
        <w:rPr>
          <w:rFonts w:ascii="Times New Roman" w:cs="Times New Roman" w:eastAsia="Times New Roman" w:hAnsi="Times New Roman"/>
          <w:sz w:val="20"/>
          <w:szCs w:val="20"/>
          <w:u w:val="single" w:color="auto"/>
          <w:color w:val="656769"/>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454546"/>
        </w:rPr>
        <w:t>68</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9A.</w:t>
      </w:r>
      <w:r>
        <w:rPr>
          <w:sz w:val="20"/>
          <w:szCs w:val="20"/>
          <w:color w:val="auto"/>
        </w:rPr>
        <w:tab/>
      </w:r>
      <w:r>
        <w:rPr>
          <w:rFonts w:ascii="Times New Roman" w:cs="Times New Roman" w:eastAsia="Times New Roman" w:hAnsi="Times New Roman"/>
          <w:sz w:val="20"/>
          <w:szCs w:val="20"/>
          <w:u w:val="single" w:color="auto"/>
          <w:color w:val="656769"/>
        </w:rPr>
        <w:t>Controls and Procedures</w:t>
      </w:r>
      <w:r>
        <w:rPr>
          <w:sz w:val="20"/>
          <w:szCs w:val="20"/>
          <w:color w:val="auto"/>
        </w:rPr>
        <w:tab/>
      </w:r>
      <w:r>
        <w:rPr>
          <w:rFonts w:ascii="Times New Roman" w:cs="Times New Roman" w:eastAsia="Times New Roman" w:hAnsi="Times New Roman"/>
          <w:sz w:val="20"/>
          <w:szCs w:val="20"/>
          <w:color w:val="454546"/>
        </w:rPr>
        <w:t>68</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9B.</w:t>
      </w:r>
      <w:r>
        <w:rPr>
          <w:sz w:val="20"/>
          <w:szCs w:val="20"/>
          <w:color w:val="auto"/>
        </w:rPr>
        <w:tab/>
      </w:r>
      <w:r>
        <w:rPr>
          <w:rFonts w:ascii="Times New Roman" w:cs="Times New Roman" w:eastAsia="Times New Roman" w:hAnsi="Times New Roman"/>
          <w:sz w:val="20"/>
          <w:szCs w:val="20"/>
          <w:u w:val="single" w:color="auto"/>
          <w:color w:val="656769"/>
        </w:rPr>
        <w:t>Other Information</w:t>
      </w:r>
      <w:r>
        <w:rPr>
          <w:sz w:val="20"/>
          <w:szCs w:val="20"/>
          <w:color w:val="auto"/>
        </w:rPr>
        <w:tab/>
      </w:r>
      <w:r>
        <w:rPr>
          <w:rFonts w:ascii="Times New Roman" w:cs="Times New Roman" w:eastAsia="Times New Roman" w:hAnsi="Times New Roman"/>
          <w:sz w:val="20"/>
          <w:szCs w:val="20"/>
          <w:color w:val="454546"/>
        </w:rPr>
        <w:t>69</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9C.</w:t>
      </w:r>
      <w:r>
        <w:rPr>
          <w:sz w:val="20"/>
          <w:szCs w:val="20"/>
          <w:color w:val="auto"/>
        </w:rPr>
        <w:tab/>
      </w:r>
      <w:r>
        <w:rPr>
          <w:rFonts w:ascii="Times New Roman" w:cs="Times New Roman" w:eastAsia="Times New Roman" w:hAnsi="Times New Roman"/>
          <w:sz w:val="20"/>
          <w:szCs w:val="20"/>
          <w:u w:val="single" w:color="auto"/>
          <w:color w:val="656769"/>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454546"/>
        </w:rPr>
        <w:t>69</w:t>
      </w:r>
    </w:p>
    <w:p>
      <w:pPr>
        <w:spacing w:after="0" w:line="1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656769"/>
        </w:rPr>
        <w:t>PART III</w:t>
      </w:r>
    </w:p>
    <w:p>
      <w:pPr>
        <w:spacing w:after="0" w:line="32" w:lineRule="exact"/>
        <w:rPr>
          <w:sz w:val="20"/>
          <w:szCs w:val="20"/>
          <w:color w:val="auto"/>
        </w:rPr>
      </w:pP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10.</w:t>
      </w:r>
      <w:r>
        <w:rPr>
          <w:sz w:val="20"/>
          <w:szCs w:val="20"/>
          <w:color w:val="auto"/>
        </w:rPr>
        <w:tab/>
      </w:r>
      <w:r>
        <w:rPr>
          <w:rFonts w:ascii="Times New Roman" w:cs="Times New Roman" w:eastAsia="Times New Roman" w:hAnsi="Times New Roman"/>
          <w:sz w:val="20"/>
          <w:szCs w:val="20"/>
          <w:u w:val="single" w:color="auto"/>
          <w:color w:val="656769"/>
        </w:rPr>
        <w:t>Directors, Executive Officers and Corporate Governance</w:t>
      </w:r>
      <w:r>
        <w:rPr>
          <w:sz w:val="20"/>
          <w:szCs w:val="20"/>
          <w:color w:val="auto"/>
        </w:rPr>
        <w:tab/>
      </w:r>
      <w:r>
        <w:rPr>
          <w:rFonts w:ascii="Times New Roman" w:cs="Times New Roman" w:eastAsia="Times New Roman" w:hAnsi="Times New Roman"/>
          <w:sz w:val="20"/>
          <w:szCs w:val="20"/>
          <w:color w:val="454546"/>
        </w:rPr>
        <w:t>70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11.</w:t>
      </w:r>
      <w:r>
        <w:rPr>
          <w:sz w:val="20"/>
          <w:szCs w:val="20"/>
          <w:color w:val="auto"/>
        </w:rPr>
        <w:tab/>
      </w:r>
      <w:r>
        <w:rPr>
          <w:rFonts w:ascii="Times New Roman" w:cs="Times New Roman" w:eastAsia="Times New Roman" w:hAnsi="Times New Roman"/>
          <w:sz w:val="20"/>
          <w:szCs w:val="20"/>
          <w:u w:val="single" w:color="auto"/>
          <w:color w:val="656769"/>
        </w:rPr>
        <w:t>Executive Compensation</w:t>
      </w:r>
      <w:r>
        <w:rPr>
          <w:sz w:val="20"/>
          <w:szCs w:val="20"/>
          <w:color w:val="auto"/>
        </w:rPr>
        <w:tab/>
      </w:r>
      <w:r>
        <w:rPr>
          <w:rFonts w:ascii="Times New Roman" w:cs="Times New Roman" w:eastAsia="Times New Roman" w:hAnsi="Times New Roman"/>
          <w:sz w:val="20"/>
          <w:szCs w:val="20"/>
          <w:color w:val="454546"/>
        </w:rPr>
        <w:t>70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12.</w:t>
      </w:r>
      <w:r>
        <w:rPr>
          <w:sz w:val="20"/>
          <w:szCs w:val="20"/>
          <w:color w:val="auto"/>
        </w:rPr>
        <w:tab/>
      </w:r>
      <w:r>
        <w:rPr>
          <w:rFonts w:ascii="Times New Roman" w:cs="Times New Roman" w:eastAsia="Times New Roman" w:hAnsi="Times New Roman"/>
          <w:sz w:val="20"/>
          <w:szCs w:val="20"/>
          <w:u w:val="single" w:color="auto"/>
          <w:color w:val="656769"/>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454546"/>
        </w:rPr>
        <w:t>70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13.</w:t>
      </w:r>
      <w:r>
        <w:rPr>
          <w:sz w:val="20"/>
          <w:szCs w:val="20"/>
          <w:color w:val="auto"/>
        </w:rPr>
        <w:tab/>
      </w:r>
      <w:r>
        <w:rPr>
          <w:rFonts w:ascii="Times New Roman" w:cs="Times New Roman" w:eastAsia="Times New Roman" w:hAnsi="Times New Roman"/>
          <w:sz w:val="20"/>
          <w:szCs w:val="20"/>
          <w:u w:val="single" w:color="auto"/>
          <w:color w:val="656769"/>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454546"/>
        </w:rPr>
        <w:t>70</w:t>
      </w: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14.</w:t>
      </w:r>
      <w:r>
        <w:rPr>
          <w:sz w:val="20"/>
          <w:szCs w:val="20"/>
          <w:color w:val="auto"/>
        </w:rPr>
        <w:tab/>
      </w:r>
      <w:r>
        <w:rPr>
          <w:rFonts w:ascii="Times New Roman" w:cs="Times New Roman" w:eastAsia="Times New Roman" w:hAnsi="Times New Roman"/>
          <w:sz w:val="20"/>
          <w:szCs w:val="20"/>
          <w:u w:val="single" w:color="auto"/>
          <w:color w:val="656769"/>
        </w:rPr>
        <w:t>Principal Accountant Fees and Services</w:t>
      </w:r>
      <w:r>
        <w:rPr>
          <w:sz w:val="20"/>
          <w:szCs w:val="20"/>
          <w:color w:val="auto"/>
        </w:rPr>
        <w:tab/>
      </w:r>
      <w:r>
        <w:rPr>
          <w:rFonts w:ascii="Times New Roman" w:cs="Times New Roman" w:eastAsia="Times New Roman" w:hAnsi="Times New Roman"/>
          <w:sz w:val="20"/>
          <w:szCs w:val="20"/>
          <w:color w:val="454546"/>
        </w:rPr>
        <w:t>70</w:t>
      </w:r>
    </w:p>
    <w:p>
      <w:pPr>
        <w:spacing w:after="0" w:line="10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656769"/>
        </w:rPr>
        <w:t>PART IV</w:t>
      </w:r>
    </w:p>
    <w:p>
      <w:pPr>
        <w:spacing w:after="0" w:line="32" w:lineRule="exact"/>
        <w:rPr>
          <w:sz w:val="20"/>
          <w:szCs w:val="20"/>
          <w:color w:val="auto"/>
        </w:rPr>
      </w:pPr>
    </w:p>
    <w:p>
      <w:pPr>
        <w:spacing w:after="0"/>
        <w:tabs>
          <w:tab w:leader="none" w:pos="920" w:val="left"/>
          <w:tab w:leader="dot" w:pos="10560" w:val="left"/>
        </w:tabs>
        <w:rPr>
          <w:sz w:val="20"/>
          <w:szCs w:val="20"/>
          <w:color w:val="auto"/>
        </w:rPr>
      </w:pPr>
      <w:r>
        <w:rPr>
          <w:rFonts w:ascii="Times New Roman" w:cs="Times New Roman" w:eastAsia="Times New Roman" w:hAnsi="Times New Roman"/>
          <w:sz w:val="20"/>
          <w:szCs w:val="20"/>
          <w:color w:val="454546"/>
        </w:rPr>
        <w:t>Item 15.</w:t>
      </w:r>
      <w:r>
        <w:rPr>
          <w:sz w:val="20"/>
          <w:szCs w:val="20"/>
          <w:color w:val="auto"/>
        </w:rPr>
        <w:tab/>
      </w:r>
      <w:r>
        <w:rPr>
          <w:rFonts w:ascii="Times New Roman" w:cs="Times New Roman" w:eastAsia="Times New Roman" w:hAnsi="Times New Roman"/>
          <w:sz w:val="20"/>
          <w:szCs w:val="20"/>
          <w:u w:val="single" w:color="auto"/>
          <w:color w:val="656769"/>
        </w:rPr>
        <w:t>Exhibits and Financial Statement Schedules</w:t>
      </w:r>
      <w:r>
        <w:rPr>
          <w:sz w:val="20"/>
          <w:szCs w:val="20"/>
          <w:color w:val="auto"/>
        </w:rPr>
        <w:tab/>
      </w:r>
      <w:r>
        <w:rPr>
          <w:rFonts w:ascii="Times New Roman" w:cs="Times New Roman" w:eastAsia="Times New Roman" w:hAnsi="Times New Roman"/>
          <w:sz w:val="20"/>
          <w:szCs w:val="20"/>
          <w:color w:val="454546"/>
        </w:rPr>
        <w:t>71</w:t>
      </w:r>
    </w:p>
    <w:p>
      <w:pPr>
        <w:spacing w:after="0"/>
        <w:tabs>
          <w:tab w:leader="none" w:pos="920" w:val="left"/>
          <w:tab w:leader="dot" w:pos="10460" w:val="left"/>
        </w:tabs>
        <w:rPr>
          <w:sz w:val="20"/>
          <w:szCs w:val="20"/>
          <w:color w:val="auto"/>
        </w:rPr>
      </w:pPr>
      <w:r>
        <w:rPr>
          <w:rFonts w:ascii="Times New Roman" w:cs="Times New Roman" w:eastAsia="Times New Roman" w:hAnsi="Times New Roman"/>
          <w:sz w:val="20"/>
          <w:szCs w:val="20"/>
          <w:color w:val="454546"/>
        </w:rPr>
        <w:t>Item 16.</w:t>
      </w:r>
      <w:r>
        <w:rPr>
          <w:sz w:val="20"/>
          <w:szCs w:val="20"/>
          <w:color w:val="auto"/>
        </w:rPr>
        <w:tab/>
      </w:r>
      <w:r>
        <w:rPr>
          <w:rFonts w:ascii="Times New Roman" w:cs="Times New Roman" w:eastAsia="Times New Roman" w:hAnsi="Times New Roman"/>
          <w:sz w:val="20"/>
          <w:szCs w:val="20"/>
          <w:u w:val="single" w:color="auto"/>
          <w:color w:val="656769"/>
        </w:rPr>
        <w:t>Form 10-K Summary</w:t>
      </w:r>
      <w:r>
        <w:rPr>
          <w:sz w:val="20"/>
          <w:szCs w:val="20"/>
          <w:color w:val="auto"/>
        </w:rPr>
        <w:tab/>
      </w:r>
      <w:r>
        <w:rPr>
          <w:rFonts w:ascii="Times New Roman" w:cs="Times New Roman" w:eastAsia="Times New Roman" w:hAnsi="Times New Roman"/>
          <w:sz w:val="20"/>
          <w:szCs w:val="20"/>
          <w:color w:val="454546"/>
        </w:rPr>
        <w:t>102</w:t>
      </w:r>
    </w:p>
    <w:p>
      <w:pPr>
        <w:spacing w:after="0"/>
        <w:tabs>
          <w:tab w:leader="dot" w:pos="10460" w:val="left"/>
        </w:tabs>
        <w:rPr>
          <w:sz w:val="20"/>
          <w:szCs w:val="20"/>
          <w:color w:val="auto"/>
        </w:rPr>
      </w:pPr>
      <w:r>
        <w:rPr>
          <w:rFonts w:ascii="Times New Roman" w:cs="Times New Roman" w:eastAsia="Times New Roman" w:hAnsi="Times New Roman"/>
          <w:sz w:val="20"/>
          <w:szCs w:val="20"/>
          <w:u w:val="single" w:color="auto"/>
          <w:color w:val="656769"/>
        </w:rPr>
        <w:t>Exhibits</w:t>
      </w:r>
      <w:r>
        <w:rPr>
          <w:sz w:val="20"/>
          <w:szCs w:val="20"/>
          <w:color w:val="auto"/>
        </w:rPr>
        <w:tab/>
      </w:r>
      <w:r>
        <w:rPr>
          <w:rFonts w:ascii="Times New Roman" w:cs="Times New Roman" w:eastAsia="Times New Roman" w:hAnsi="Times New Roman"/>
          <w:sz w:val="20"/>
          <w:szCs w:val="20"/>
          <w:color w:val="454546"/>
        </w:rPr>
        <w:t>102</w:t>
      </w:r>
    </w:p>
    <w:p>
      <w:pPr>
        <w:spacing w:after="0"/>
        <w:tabs>
          <w:tab w:leader="dot" w:pos="10460" w:val="left"/>
        </w:tabs>
        <w:rPr>
          <w:sz w:val="20"/>
          <w:szCs w:val="20"/>
          <w:color w:val="auto"/>
        </w:rPr>
      </w:pPr>
      <w:r>
        <w:rPr>
          <w:rFonts w:ascii="Times New Roman" w:cs="Times New Roman" w:eastAsia="Times New Roman" w:hAnsi="Times New Roman"/>
          <w:sz w:val="20"/>
          <w:szCs w:val="20"/>
          <w:u w:val="single" w:color="auto"/>
          <w:color w:val="656769"/>
        </w:rPr>
        <w:t>Signatures</w:t>
      </w:r>
      <w:r>
        <w:rPr>
          <w:sz w:val="20"/>
          <w:szCs w:val="20"/>
          <w:color w:val="auto"/>
        </w:rPr>
        <w:tab/>
      </w:r>
      <w:r>
        <w:rPr>
          <w:rFonts w:ascii="Times New Roman" w:cs="Times New Roman" w:eastAsia="Times New Roman" w:hAnsi="Times New Roman"/>
          <w:sz w:val="20"/>
          <w:szCs w:val="20"/>
          <w:color w:val="454546"/>
        </w:rPr>
        <w:t>105</w:t>
      </w:r>
    </w:p>
    <w:p>
      <w:pPr>
        <w:spacing w:after="0"/>
        <w:tabs>
          <w:tab w:leader="dot" w:pos="10460" w:val="left"/>
        </w:tabs>
        <w:rPr>
          <w:sz w:val="20"/>
          <w:szCs w:val="20"/>
          <w:color w:val="auto"/>
        </w:rPr>
      </w:pPr>
      <w:r>
        <w:rPr>
          <w:rFonts w:ascii="Times New Roman" w:cs="Times New Roman" w:eastAsia="Times New Roman" w:hAnsi="Times New Roman"/>
          <w:sz w:val="20"/>
          <w:szCs w:val="20"/>
          <w:u w:val="single" w:color="auto"/>
          <w:color w:val="656769"/>
        </w:rPr>
        <w:t>Power of Attorney</w:t>
      </w:r>
      <w:r>
        <w:rPr>
          <w:sz w:val="20"/>
          <w:szCs w:val="20"/>
          <w:color w:val="auto"/>
        </w:rPr>
        <w:tab/>
      </w:r>
      <w:r>
        <w:rPr>
          <w:rFonts w:ascii="Times New Roman" w:cs="Times New Roman" w:eastAsia="Times New Roman" w:hAnsi="Times New Roman"/>
          <w:sz w:val="20"/>
          <w:szCs w:val="20"/>
          <w:color w:val="454546"/>
        </w:rPr>
        <w:t>105</w:t>
      </w:r>
    </w:p>
    <w:p>
      <w:pPr>
        <w:sectPr>
          <w:pgSz w:w="12240" w:h="15840" w:orient="portrait"/>
          <w:cols w:equalWidth="0" w:num="1">
            <w:col w:w="10780"/>
          </w:cols>
          <w:pgMar w:left="74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w:t>
      </w:r>
    </w:p>
    <w:p>
      <w:pPr>
        <w:sectPr>
          <w:pgSz w:w="12240" w:h="15840" w:orient="portrait"/>
          <w:cols w:equalWidth="0" w:num="1">
            <w:col w:w="10780"/>
          </w:cols>
          <w:pgMar w:left="740" w:top="926" w:right="720" w:bottom="175"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454546"/>
        </w:rPr>
        <w:t>FORWARD-LOOKING STATEMENTS</w:t>
      </w:r>
    </w:p>
    <w:p>
      <w:pPr>
        <w:spacing w:after="0" w:line="2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454546"/>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20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i w:val="1"/>
          <w:iCs w:val="1"/>
          <w:color w:val="454546"/>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economic factors beyond our control, including risks associated with high inflation and recessionary concerns; geopolitical factors beyond our control, including tensions between the United States and China and the ongoing hostility between Russia and Ukraine; the potential impact of pandemics and endemics, such as the COVID-19 pandemic,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For purposes of this Annual Report, the terms “Ambarella”, “the Company”, “we”, “us” and “our” refer to Ambarella,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and its consolidated subsidiaries.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w:t>
      </w:r>
    </w:p>
    <w:p>
      <w:pPr>
        <w:sectPr>
          <w:pgSz w:w="12240" w:h="15840" w:orient="portrait"/>
          <w:cols w:equalWidth="0" w:num="1">
            <w:col w:w="10800"/>
          </w:cols>
          <w:pgMar w:left="720" w:top="926" w:right="720" w:bottom="17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454546"/>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24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Ambarella is a leading developer of low-power system-on-a-chip, or SoC, semiconductors and software for edge artificial intelligence, or AI, applications. Our technologies make electronic systems smarter, enabling features such as person detection, object classification, and analytics, in addition to performing complex data analysis in real time, delivering high quality imagery, and preserving vital system resources such as power and network bandwidth. We specialize in the development of deployable, scalable designs for intelligent electronic systems that utilize high-bandwidth sensors offering a proven path to mass production.</w:t>
      </w:r>
    </w:p>
    <w:p>
      <w:pPr>
        <w:spacing w:after="0" w:line="19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Incorporated in 2004, we have primarily served human-viewing applications with video and image processors for enterprise, public infrastructure and home applications, such as internet protocol, or IP, security cameras, sports cameras, wearables, aerial drones, and aftermarket automotive video recorders. We are now leveraging our human-viewing heritage to pursue the machine sensing market. Our recent development efforts have focused on creating advanced AI inference technology that enables edge devices to visually perceive the environment and make decisions based on the data collected from cameras and other types of sensors, such as 4D radar. This category of AI technology is known as computer vision (CV), or edge inference AI, and our AI inference SoCs integrate our state-of-the-art video processor technology together with our recently developed deep learning neural network processing technology, which we refer to as CVflow®. The CVflow-architecture supports a variety of AI inference algorithms, including object detection, classification and tracking, semantic and instance segmentation, image processing, stereo object detection, and terrain mapping. Our latest third generation CVflow technology enables us to address incremental and computationally intense AI applications for deep fusion, deep planning, and large language models (LLMs), as well as to efficiently process transformer AI networks. In addition, CVflow can process other sensor modalities, including lidar, radar, time of flight, thermal and near infrared (NIR), and allows customers to differentiate their products by porting their own or third party neural networks and/or classical computer vision algorithms to our CVflow-based SoCs. Our AI technology is creating opportunities for us to address a broader range of markets and applications while also allowing us to capture more content per electronic system.</w:t>
      </w:r>
    </w:p>
    <w:p>
      <w:pPr>
        <w:spacing w:after="0" w:line="211"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Our new CV3 AI central domain controller family of SoCs is specifically architected for automated driving applications. In addition to offering our existing advanced camera perception processing, CV3 adds sensor fusion and planning layers that enable a broader set of fully -automated devices. Our recently announced N1 SoC is capable of running LLM inferencing with models up to 34 billion parameters, enabling a range of AI applications in IoT devices, including industrial robotics, intelligent healthcare imaging and diagnostics, edge AI servers running multi-modal LLMs, and autonomous fleet telematics.</w:t>
      </w:r>
    </w:p>
    <w:p>
      <w:pPr>
        <w:spacing w:after="0" w:line="197"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In November 2021, we acquired Oculii Corp., a developer of high definition radar technology. Oculii’s adaptive AI software algorithms are designed to enable radar perception using current production radar chips to achieve significantly higher resolution, longer range and greater accuracy. Oculii’s software can be deployed on our existing CVflow SoCs, operating in conjunction with leading radar RF solutions to significantly increase safety and reliability. We recently introduced a centralized radar architecture that synergistically leverages Oculii’s adaptive AI software algorithms together with our CV3 domain controller family, resulting in improved perception, lower power consumption and reduced bills-of-material for mobility applications compared to the current generation of radar systems utilized in the market today.</w:t>
      </w:r>
    </w:p>
    <w:p>
      <w:pPr>
        <w:spacing w:after="0" w:line="20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Ambarella’s products are now used in a wide variety of human viewing and computer vision applications, including a variety of automotive camera systems, video security cameras, mobile and fixed robots, industrial applications, and consumer devices, such as action, drone and 360° cameras.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Industry Background and Target Markets</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Computer vision functionality has historically been executed with graphics processing units (GPU), field programmable gate-arrays (FPGA) or general purpose microprocessors (CPU) in servers or data 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w:t>
      </w:r>
    </w:p>
    <w:p>
      <w:pPr>
        <w:sectPr>
          <w:pgSz w:w="12240" w:h="15840" w:orient="portrait"/>
          <w:cols w:equalWidth="0" w:num="1">
            <w:col w:w="10800"/>
          </w:cols>
          <w:pgMar w:left="720" w:top="972" w:right="720" w:bottom="175"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768350</wp:posOffset>
            </wp:positionH>
            <wp:positionV relativeFrom="page">
              <wp:posOffset>632460</wp:posOffset>
            </wp:positionV>
            <wp:extent cx="6858000" cy="320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We believe the AI inference end-point market, sometimes referred to as the system’s edge, requires a fundamentally different SoC architecture versus the GPU, FPGA and CPU approach commonly used in the data center. Our CV SoCs are optimized for the requirements of the edge inference market to provide highly accurate results, significant processing power, small form factor and minimal latency while consuming very low amounts of power and simultaneously delivering both human viewing and computer vision functionality, often while supporting multiple cameras and multiple AI inference applications with a single SoC incorporated in an end-point device. In addition, privacy and security can be enhanced, as critical personal information may not need to enter the network infrastructure.</w:t>
      </w:r>
    </w:p>
    <w:p>
      <w:pPr>
        <w:spacing w:after="0" w:line="80"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454546"/>
        </w:rPr>
        <w:t>Our first AI SoC was introduced in 2018 and the CV3 SoC integrates our third generation CVflow technology. Our development efforts are now focused on SoCs that provide both human viewing and computer vision functionality. With the acquisition of Oculii, we complement our advanced camera perception capabilities with advanced radar perception to enable higher levels of autonomy.</w:t>
      </w:r>
    </w:p>
    <w:p>
      <w:pPr>
        <w:spacing w:after="0" w:line="51"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We are focusing on the automotive and Internet-of-Things (IoT) end markets that require increasingly sophisticated AI inference workloads and processing performance:</w:t>
      </w:r>
    </w:p>
    <w:p>
      <w:pPr>
        <w:spacing w:after="0" w:line="63" w:lineRule="exact"/>
        <w:rPr>
          <w:sz w:val="20"/>
          <w:szCs w:val="20"/>
          <w:color w:val="auto"/>
        </w:rPr>
      </w:pPr>
    </w:p>
    <w:p>
      <w:pPr>
        <w:ind w:left="900" w:right="80" w:hanging="360"/>
        <w:spacing w:after="0" w:line="258" w:lineRule="auto"/>
        <w:tabs>
          <w:tab w:leader="none" w:pos="900" w:val="left"/>
        </w:tabs>
        <w:numPr>
          <w:ilvl w:val="0"/>
          <w:numId w:val="3"/>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Automotive Applications</w:t>
      </w:r>
      <w:r>
        <w:rPr>
          <w:rFonts w:ascii="Times New Roman" w:cs="Times New Roman" w:eastAsia="Times New Roman" w:hAnsi="Times New Roman"/>
          <w:sz w:val="20"/>
          <w:szCs w:val="20"/>
          <w:color w:val="454546"/>
        </w:rPr>
        <w:t>. Cameras and other sensors, as well as high performance computing processors, are utilized for a</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variety of applications in the automotive market and our products are designed into both original equipment manufacturer (OEM) and aftermarket applications. We address the following automotive market applications:</w:t>
      </w:r>
    </w:p>
    <w:p>
      <w:pPr>
        <w:spacing w:after="0" w:line="67" w:lineRule="exact"/>
        <w:rPr>
          <w:rFonts w:ascii="Arial" w:cs="Arial" w:eastAsia="Arial" w:hAnsi="Arial"/>
          <w:sz w:val="20"/>
          <w:szCs w:val="20"/>
          <w:color w:val="454546"/>
        </w:rPr>
      </w:pPr>
    </w:p>
    <w:p>
      <w:pPr>
        <w:ind w:left="1800" w:right="60" w:hanging="360"/>
        <w:spacing w:after="0" w:line="242" w:lineRule="auto"/>
        <w:tabs>
          <w:tab w:leader="none" w:pos="1800" w:val="left"/>
        </w:tabs>
        <w:numPr>
          <w:ilvl w:val="1"/>
          <w:numId w:val="3"/>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Central domain controllers for L2+ to L4 Autonomous Vehicles. </w:t>
      </w:r>
      <w:r>
        <w:rPr>
          <w:rFonts w:ascii="Times New Roman" w:cs="Times New Roman" w:eastAsia="Times New Roman" w:hAnsi="Times New Roman"/>
          <w:sz w:val="20"/>
          <w:szCs w:val="20"/>
          <w:color w:val="454546"/>
        </w:rPr>
        <w:t>We continue to advance our research in</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critical areas of autonomous vehicle development, such as vehicle detection, obstacle detection, pedestrian detection, lane detection, traffic sign recognition, stereovision processing, and sensor fusion and planning, enabling us to design strong platforms for applications ranging from Level2+ autopilot to full autonomy. The CV3 family enables centralized, single-chip processing for multi-sensor perception, including high-resolution vision, radar, ultrasonic and lidar, as well as deep fusion for multiple sensor modalities and autonomous vehicle path planning. The central domain controller in autonomous vehicles is connected to the camera, radar and other sensor suites. Using neural network and traditional computer vision processing, the domain controller fuses the sensor data and perceives the vehicle’s surroundings. Based on this multi-sensor surround perception, the domain controller estimates a safe driving path for the vehicle. In addition, the domain controller can simultaneously process in-cabin sensing applications, including driver and occupant monitoring.</w:t>
      </w:r>
    </w:p>
    <w:p>
      <w:pPr>
        <w:spacing w:after="0" w:line="85" w:lineRule="exact"/>
        <w:rPr>
          <w:rFonts w:ascii="PMingLiU" w:cs="PMingLiU" w:eastAsia="PMingLiU" w:hAnsi="PMingLiU"/>
          <w:sz w:val="20"/>
          <w:szCs w:val="20"/>
          <w:color w:val="454546"/>
        </w:rPr>
      </w:pPr>
    </w:p>
    <w:p>
      <w:pPr>
        <w:ind w:left="1800" w:right="40" w:hanging="360"/>
        <w:spacing w:after="0" w:line="243" w:lineRule="auto"/>
        <w:tabs>
          <w:tab w:leader="none" w:pos="1800" w:val="left"/>
        </w:tabs>
        <w:numPr>
          <w:ilvl w:val="1"/>
          <w:numId w:val="3"/>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Front Advanced Driver Assistance System (ADAS) Cameras. </w:t>
      </w:r>
      <w:r>
        <w:rPr>
          <w:rFonts w:ascii="Times New Roman" w:cs="Times New Roman" w:eastAsia="Times New Roman" w:hAnsi="Times New Roman"/>
          <w:sz w:val="20"/>
          <w:szCs w:val="20"/>
          <w:color w:val="454546"/>
        </w:rPr>
        <w:t>These front-facing cameras are often positioned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behind the rearview mirror, enabling functions such as automatic emergency braking, lane departure warning, forward collision warning, intelligent headlight control, and speed assistance functions, many of which are required by an increasing number of regional New Car Assessment Programs, or NCAP. The most advanced front ADAS cameras generally require ultra high-definition (UHD) resolution and advanced CV processing, which can be critical for long-distance object detection with a wide field-of-view, and extremely low power due to their inherently small form factor.</w:t>
      </w:r>
    </w:p>
    <w:p>
      <w:pPr>
        <w:sectPr>
          <w:pgSz w:w="12240" w:h="15840" w:orient="portrait"/>
          <w:cols w:equalWidth="0" w:num="1">
            <w:col w:w="10800"/>
          </w:cols>
          <w:pgMar w:left="720" w:top="1440" w:right="720" w:bottom="175"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w:t>
      </w:r>
    </w:p>
    <w:p>
      <w:pPr>
        <w:sectPr>
          <w:pgSz w:w="12240" w:h="15840" w:orient="portrait"/>
          <w:cols w:equalWidth="0" w:num="1">
            <w:col w:w="10800"/>
          </w:cols>
          <w:pgMar w:left="720" w:top="1440" w:right="720" w:bottom="175" w:gutter="0" w:footer="0" w:header="0"/>
          <w:type w:val="continuous"/>
        </w:sectPr>
      </w:pPr>
    </w:p>
    <w:bookmarkStart w:id="10" w:name="page11"/>
    <w:bookmarkEnd w:id="10"/>
    <w:p>
      <w:pPr>
        <w:ind w:left="1310" w:right="20" w:hanging="360"/>
        <w:spacing w:after="0" w:line="243"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Cabin Monitoring System (CMS) and Driver Monitoring System (DMS) Cameras. </w:t>
      </w:r>
      <w:r>
        <w:rPr>
          <w:rFonts w:ascii="Times New Roman" w:cs="Times New Roman" w:eastAsia="Times New Roman" w:hAnsi="Times New Roman"/>
          <w:sz w:val="20"/>
          <w:szCs w:val="20"/>
          <w:color w:val="454546"/>
        </w:rPr>
        <w:t>These interior mounted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cameras track drivers and passengers to help prevent accidents by alerting a drowsy or distracted driver and assisting with the deployment of safety features, such as airbags. These interior cameras may also be utilized by service providers, in particular with autonomous vehicles, to create new business opportunities in which in-cabin information, collected through cameras, may be monetized. Our solutions process our customers’ interior-sensing algorithms at high speeds and with low power consumption, and are effective even at night via onboard RGB-infrared processing. Our DMS solutions can be integrated with supplementary camera applications, including electronic mirror, front ADAS, and high-resolution driver recording.</w:t>
      </w:r>
    </w:p>
    <w:p>
      <w:pPr>
        <w:spacing w:after="0" w:line="83" w:lineRule="exact"/>
        <w:rPr>
          <w:rFonts w:ascii="PMingLiU" w:cs="PMingLiU" w:eastAsia="PMingLiU" w:hAnsi="PMingLiU"/>
          <w:sz w:val="20"/>
          <w:szCs w:val="20"/>
          <w:color w:val="454546"/>
        </w:rPr>
      </w:pPr>
    </w:p>
    <w:p>
      <w:pPr>
        <w:ind w:left="1310" w:right="20" w:hanging="360"/>
        <w:spacing w:after="0" w:line="247"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Electronic Mirrors. </w:t>
      </w:r>
      <w:r>
        <w:rPr>
          <w:rFonts w:ascii="Times New Roman" w:cs="Times New Roman" w:eastAsia="Times New Roman" w:hAnsi="Times New Roman"/>
          <w:sz w:val="20"/>
          <w:szCs w:val="20"/>
          <w:color w:val="454546"/>
        </w:rPr>
        <w:t>One or more cameras, in conjunction with an electronic display, are used to augment, or in</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some cases replace, reflective glass rear view and/or side view mirrors to provide a wider and unobstructed field of view. Smart electronic mirrors that incorporate our CV SoCs may also help with detecting objects in blind spots, overtaking vehicles and alerting for vulnerable road users, such as pedestrians and bicycles.</w:t>
      </w:r>
    </w:p>
    <w:p>
      <w:pPr>
        <w:spacing w:after="0" w:line="79" w:lineRule="exact"/>
        <w:rPr>
          <w:rFonts w:ascii="PMingLiU" w:cs="PMingLiU" w:eastAsia="PMingLiU" w:hAnsi="PMingLiU"/>
          <w:sz w:val="20"/>
          <w:szCs w:val="20"/>
          <w:color w:val="454546"/>
        </w:rPr>
      </w:pPr>
    </w:p>
    <w:p>
      <w:pPr>
        <w:jc w:val="both"/>
        <w:ind w:left="1310" w:right="200" w:hanging="360"/>
        <w:spacing w:after="0" w:line="247"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Automotive Video Recorders (also known as data loggers). </w:t>
      </w:r>
      <w:r>
        <w:rPr>
          <w:rFonts w:ascii="Times New Roman" w:cs="Times New Roman" w:eastAsia="Times New Roman" w:hAnsi="Times New Roman"/>
          <w:sz w:val="20"/>
          <w:szCs w:val="20"/>
          <w:color w:val="454546"/>
        </w:rPr>
        <w:t>These video cameras are pre-installed in vehicles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or mounted (aftermarket) to record events for reconciliation, such as for insurance and liability, driver scoring or training, and security purposes. We offer solutions for both OEM and aftermarket drive recording devices, some of which include advanced driver assistance systems (ADAS) features.</w:t>
      </w:r>
    </w:p>
    <w:p>
      <w:pPr>
        <w:spacing w:after="0" w:line="93" w:lineRule="exact"/>
        <w:rPr>
          <w:rFonts w:ascii="PMingLiU" w:cs="PMingLiU" w:eastAsia="PMingLiU" w:hAnsi="PMingLiU"/>
          <w:sz w:val="20"/>
          <w:szCs w:val="20"/>
          <w:color w:val="454546"/>
        </w:rPr>
      </w:pPr>
    </w:p>
    <w:p>
      <w:pPr>
        <w:ind w:left="410" w:right="20" w:hanging="360"/>
        <w:spacing w:after="0" w:line="265" w:lineRule="auto"/>
        <w:tabs>
          <w:tab w:leader="none" w:pos="410" w:val="left"/>
        </w:tabs>
        <w:numPr>
          <w:ilvl w:val="1"/>
          <w:numId w:val="4"/>
        </w:numPr>
        <w:rPr>
          <w:rFonts w:ascii="Arial" w:cs="Arial" w:eastAsia="Arial" w:hAnsi="Arial"/>
          <w:sz w:val="19"/>
          <w:szCs w:val="19"/>
          <w:color w:val="454546"/>
        </w:rPr>
      </w:pPr>
      <w:r>
        <w:rPr>
          <w:rFonts w:ascii="Times New Roman" w:cs="Times New Roman" w:eastAsia="Times New Roman" w:hAnsi="Times New Roman"/>
          <w:sz w:val="19"/>
          <w:szCs w:val="19"/>
          <w:b w:val="1"/>
          <w:bCs w:val="1"/>
          <w:i w:val="1"/>
          <w:iCs w:val="1"/>
          <w:color w:val="454546"/>
        </w:rPr>
        <w:t>Security Cameras</w:t>
      </w:r>
      <w:r>
        <w:rPr>
          <w:rFonts w:ascii="Times New Roman" w:cs="Times New Roman" w:eastAsia="Times New Roman" w:hAnsi="Times New Roman"/>
          <w:sz w:val="19"/>
          <w:szCs w:val="19"/>
          <w:color w:val="535355"/>
        </w:rPr>
        <w:t>.</w:t>
      </w:r>
      <w:r>
        <w:rPr>
          <w:rFonts w:ascii="Times New Roman" w:cs="Times New Roman" w:eastAsia="Times New Roman" w:hAnsi="Times New Roman"/>
          <w:sz w:val="19"/>
          <w:szCs w:val="19"/>
          <w:b w:val="1"/>
          <w:bCs w:val="1"/>
          <w:i w:val="1"/>
          <w:iCs w:val="1"/>
          <w:color w:val="454546"/>
        </w:rPr>
        <w:t xml:space="preserve"> </w:t>
      </w:r>
      <w:r>
        <w:rPr>
          <w:rFonts w:ascii="Times New Roman" w:cs="Times New Roman" w:eastAsia="Times New Roman" w:hAnsi="Times New Roman"/>
          <w:sz w:val="19"/>
          <w:szCs w:val="19"/>
          <w:color w:val="454546"/>
        </w:rPr>
        <w:t>We are a leader in enterprise and home security camera markets, with solutions that deliver exceptional</w:t>
      </w:r>
      <w:r>
        <w:rPr>
          <w:rFonts w:ascii="Times New Roman" w:cs="Times New Roman" w:eastAsia="Times New Roman" w:hAnsi="Times New Roman"/>
          <w:sz w:val="19"/>
          <w:szCs w:val="19"/>
          <w:b w:val="1"/>
          <w:bCs w:val="1"/>
          <w:i w:val="1"/>
          <w:iCs w:val="1"/>
          <w:color w:val="454546"/>
        </w:rPr>
        <w:t xml:space="preserve"> </w:t>
      </w:r>
      <w:r>
        <w:rPr>
          <w:rFonts w:ascii="Times New Roman" w:cs="Times New Roman" w:eastAsia="Times New Roman" w:hAnsi="Times New Roman"/>
          <w:sz w:val="19"/>
          <w:szCs w:val="19"/>
          <w:color w:val="454546"/>
        </w:rPr>
        <w:t>computer vision performance, industry-leading compression efficiency, low power consumption, and outstanding image quality, including high dynamic range (HDR), low-light processing and fisheye lens dewarping. Our CV products enable higher levels of automation than our vision processors through advanced algorithms, such as object detection, classification and tracking, license plate recognition and facial recognition. We address the following security camera applications:</w:t>
      </w:r>
    </w:p>
    <w:p>
      <w:pPr>
        <w:spacing w:after="0" w:line="62" w:lineRule="exact"/>
        <w:rPr>
          <w:rFonts w:ascii="Arial" w:cs="Arial" w:eastAsia="Arial" w:hAnsi="Arial"/>
          <w:sz w:val="19"/>
          <w:szCs w:val="19"/>
          <w:color w:val="454546"/>
        </w:rPr>
      </w:pPr>
    </w:p>
    <w:p>
      <w:pPr>
        <w:ind w:left="1310" w:right="20" w:hanging="360"/>
        <w:spacing w:after="0" w:line="245"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Enterprise and Public Class Security</w:t>
      </w:r>
      <w:r>
        <w:rPr>
          <w:rFonts w:ascii="Times New Roman" w:cs="Times New Roman" w:eastAsia="Times New Roman" w:hAnsi="Times New Roman"/>
          <w:sz w:val="20"/>
          <w:szCs w:val="20"/>
          <w:color w:val="454546"/>
        </w:rPr>
        <w:t>. These cameras are used for video monitoring and security surveillance in</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enterprise and public infrastructure applications. Our solutions enable the streaming of multiple video streams to enable remote monitoring at multiple locations. Embedded computer vision technology supports advanced analytics at the system’s edge, including people counting and tracking, facial recognition and retail behavior analysis.</w:t>
      </w:r>
    </w:p>
    <w:p>
      <w:pPr>
        <w:spacing w:after="0" w:line="82" w:lineRule="exact"/>
        <w:rPr>
          <w:rFonts w:ascii="PMingLiU" w:cs="PMingLiU" w:eastAsia="PMingLiU" w:hAnsi="PMingLiU"/>
          <w:sz w:val="20"/>
          <w:szCs w:val="20"/>
          <w:color w:val="454546"/>
        </w:rPr>
      </w:pPr>
    </w:p>
    <w:p>
      <w:pPr>
        <w:ind w:left="1310" w:right="20" w:hanging="360"/>
        <w:spacing w:after="0" w:line="244"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Home Security</w:t>
      </w:r>
      <w:r>
        <w:rPr>
          <w:rFonts w:ascii="Times New Roman" w:cs="Times New Roman" w:eastAsia="Times New Roman" w:hAnsi="Times New Roman"/>
          <w:sz w:val="20"/>
          <w:szCs w:val="20"/>
          <w:color w:val="454546"/>
        </w:rPr>
        <w:t>. Home security cameras are designed for home or small business use and may be connected to</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cloud services and applications via home networks using WiFi. These cameras may require very low bitrate operation to support high-definition (HD) resolution over limited bandwidth connections, while their small form factors or battery powered design may require very low power operation. Form factors include smart video door-bells and video-enabled lights. Embedded computer vision technology supports advanced functions, including intruder and pet detection, face recognition and package monitoring.</w:t>
      </w:r>
    </w:p>
    <w:p>
      <w:pPr>
        <w:spacing w:after="0" w:line="97" w:lineRule="exact"/>
        <w:rPr>
          <w:rFonts w:ascii="PMingLiU" w:cs="PMingLiU" w:eastAsia="PMingLiU" w:hAnsi="PMingLiU"/>
          <w:sz w:val="20"/>
          <w:szCs w:val="20"/>
          <w:color w:val="454546"/>
        </w:rPr>
      </w:pPr>
    </w:p>
    <w:p>
      <w:pPr>
        <w:ind w:left="490" w:hanging="490"/>
        <w:spacing w:after="0" w:line="247" w:lineRule="auto"/>
        <w:tabs>
          <w:tab w:leader="none" w:pos="490" w:val="left"/>
        </w:tabs>
        <w:numPr>
          <w:ilvl w:val="0"/>
          <w:numId w:val="4"/>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Emerging Robotic and Industrial Applications</w:t>
      </w:r>
      <w:r>
        <w:rPr>
          <w:rFonts w:ascii="Times New Roman" w:cs="Times New Roman" w:eastAsia="Times New Roman" w:hAnsi="Times New Roman"/>
          <w:sz w:val="20"/>
          <w:szCs w:val="20"/>
          <w:color w:val="454546"/>
        </w:rPr>
        <w:t>. Our solutions can add intelligence to a range of partially or fully robotic</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applications, including access control, industrial/factory automation, sensing cameras, and a variety of industrial and home robotic applications. Our advanced CV SoCs handle an array of complex algorithms, from low-level perception functions and neural networks to higher-level autonomous software stacks, while our video processing pipeline enables operation in challenging lighting conditions such as high-contrast scenes and extremely low-light environments, all with low power consumption. We address the following industrial and robotic market applications:</w:t>
      </w:r>
    </w:p>
    <w:p>
      <w:pPr>
        <w:spacing w:after="0" w:line="78" w:lineRule="exact"/>
        <w:rPr>
          <w:rFonts w:ascii="Arial" w:cs="Arial" w:eastAsia="Arial" w:hAnsi="Arial"/>
          <w:sz w:val="20"/>
          <w:szCs w:val="20"/>
          <w:color w:val="454546"/>
        </w:rPr>
      </w:pPr>
    </w:p>
    <w:p>
      <w:pPr>
        <w:ind w:left="1310" w:right="220" w:hanging="360"/>
        <w:spacing w:after="0" w:line="245"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Identification/Authentication Cameras. </w:t>
      </w:r>
      <w:r>
        <w:rPr>
          <w:rFonts w:ascii="Times New Roman" w:cs="Times New Roman" w:eastAsia="Times New Roman" w:hAnsi="Times New Roman"/>
          <w:sz w:val="20"/>
          <w:szCs w:val="20"/>
          <w:color w:val="454546"/>
        </w:rPr>
        <w:t>Our video-based sensing solutions enable contactless access control</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for home, enterprise and public applications. Our CV SoCs are engineered to quickly extract input from the physical environment, fuse data from multiple sensors, analyze the incoming data and deliver the appropriate feedback, with low-latency and low-power responsiveness. Applications include enterprise access control panels, electronic locks and contactless mobile payment terminals.</w:t>
      </w:r>
    </w:p>
    <w:p>
      <w:pPr>
        <w:spacing w:after="0" w:line="82" w:lineRule="exact"/>
        <w:rPr>
          <w:rFonts w:ascii="PMingLiU" w:cs="PMingLiU" w:eastAsia="PMingLiU" w:hAnsi="PMingLiU"/>
          <w:sz w:val="20"/>
          <w:szCs w:val="20"/>
          <w:color w:val="454546"/>
        </w:rPr>
      </w:pPr>
    </w:p>
    <w:p>
      <w:pPr>
        <w:ind w:left="1310" w:right="120" w:hanging="360"/>
        <w:spacing w:after="0" w:line="245"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Robotic Products. </w:t>
      </w:r>
      <w:r>
        <w:rPr>
          <w:rFonts w:ascii="Times New Roman" w:cs="Times New Roman" w:eastAsia="Times New Roman" w:hAnsi="Times New Roman"/>
          <w:sz w:val="20"/>
          <w:szCs w:val="20"/>
          <w:color w:val="454546"/>
        </w:rPr>
        <w:t>Our products and technology are well suited for a variety of smart home and enterprise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robotic applications. With stereovision capabilities and convolutional neural network (CNN)-based object classification, our solutions are also suited for a variety of industrial machine vision systems, mobile robots for delivery or factory/warehouse applications, aerial drones, robotic vacuum cleaners, and other emerging robotic applications.</w:t>
      </w:r>
    </w:p>
    <w:p>
      <w:pPr>
        <w:spacing w:after="0" w:line="82" w:lineRule="exact"/>
        <w:rPr>
          <w:rFonts w:ascii="PMingLiU" w:cs="PMingLiU" w:eastAsia="PMingLiU" w:hAnsi="PMingLiU"/>
          <w:sz w:val="20"/>
          <w:szCs w:val="20"/>
          <w:color w:val="454546"/>
        </w:rPr>
      </w:pPr>
    </w:p>
    <w:p>
      <w:pPr>
        <w:ind w:left="1310" w:right="20" w:hanging="360"/>
        <w:spacing w:after="0" w:line="247" w:lineRule="auto"/>
        <w:tabs>
          <w:tab w:leader="none" w:pos="1310" w:val="left"/>
        </w:tabs>
        <w:numPr>
          <w:ilvl w:val="2"/>
          <w:numId w:val="4"/>
        </w:numPr>
        <w:rPr>
          <w:rFonts w:ascii="PMingLiU" w:cs="PMingLiU" w:eastAsia="PMingLiU" w:hAnsi="PMingLiU"/>
          <w:sz w:val="20"/>
          <w:szCs w:val="20"/>
          <w:color w:val="454546"/>
        </w:rPr>
      </w:pPr>
      <w:r>
        <w:rPr>
          <w:rFonts w:ascii="Times New Roman" w:cs="Times New Roman" w:eastAsia="Times New Roman" w:hAnsi="Times New Roman"/>
          <w:sz w:val="20"/>
          <w:szCs w:val="20"/>
          <w:b w:val="1"/>
          <w:bCs w:val="1"/>
          <w:i w:val="1"/>
          <w:iCs w:val="1"/>
          <w:color w:val="454546"/>
        </w:rPr>
        <w:t xml:space="preserve">Sensing Cameras. </w:t>
      </w:r>
      <w:r>
        <w:rPr>
          <w:rFonts w:ascii="Times New Roman" w:cs="Times New Roman" w:eastAsia="Times New Roman" w:hAnsi="Times New Roman"/>
          <w:sz w:val="20"/>
          <w:szCs w:val="20"/>
          <w:color w:val="454546"/>
        </w:rPr>
        <w:t>Our CV SoCs enable sensing cameras that analyze video using AI-based algorithms running</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in the camera to provide remote users with updates, warnings or business data based on the analysis. Since no video, audio or image data needs to leave the camera, privacy can be prioritized. Applications for sensing cameras include elderly monitoring, building occupancy monitoring and retail store business analytics.</w:t>
      </w:r>
    </w:p>
    <w:p>
      <w:pPr>
        <w:sectPr>
          <w:pgSz w:w="12240" w:h="15840" w:orient="portrait"/>
          <w:cols w:equalWidth="0" w:num="1">
            <w:col w:w="10310"/>
          </w:cols>
          <w:pgMar w:left="121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70"/>
        <w:spacing w:after="0"/>
        <w:rPr>
          <w:sz w:val="20"/>
          <w:szCs w:val="20"/>
          <w:color w:val="auto"/>
        </w:rPr>
      </w:pPr>
      <w:r>
        <w:rPr>
          <w:rFonts w:ascii="Times New Roman" w:cs="Times New Roman" w:eastAsia="Times New Roman" w:hAnsi="Times New Roman"/>
          <w:sz w:val="20"/>
          <w:szCs w:val="20"/>
          <w:color w:val="454546"/>
        </w:rPr>
        <w:t>6</w:t>
      </w:r>
    </w:p>
    <w:p>
      <w:pPr>
        <w:sectPr>
          <w:pgSz w:w="12240" w:h="15840" w:orient="portrait"/>
          <w:cols w:equalWidth="0" w:num="1">
            <w:col w:w="10310"/>
          </w:cols>
          <w:pgMar w:left="1210" w:top="976" w:right="720" w:bottom="175" w:gutter="0" w:footer="0" w:header="0"/>
          <w:type w:val="continuous"/>
        </w:sectPr>
      </w:pPr>
    </w:p>
    <w:bookmarkStart w:id="11" w:name="page12"/>
    <w:bookmarkEnd w:id="11"/>
    <w:p>
      <w:pPr>
        <w:ind w:left="980" w:right="80" w:hanging="490"/>
        <w:spacing w:after="0" w:line="249" w:lineRule="auto"/>
        <w:tabs>
          <w:tab w:leader="none" w:pos="980" w:val="left"/>
        </w:tabs>
        <w:numPr>
          <w:ilvl w:val="0"/>
          <w:numId w:val="5"/>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Other IoT Applications. </w:t>
      </w:r>
      <w:r>
        <w:rPr>
          <w:rFonts w:ascii="Times New Roman" w:cs="Times New Roman" w:eastAsia="Times New Roman" w:hAnsi="Times New Roman"/>
          <w:sz w:val="20"/>
          <w:szCs w:val="20"/>
          <w:color w:val="454546"/>
        </w:rPr>
        <w:t>Cameras for the enterprise, home, public spaces and consumer leisure applications that provide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HD video quality increasingly include embedded connectivity to share and display video. Our low power, high-resolution and connected solutions can be found in a variety of cameras, including wearable body cameras, sports action cameras, social media cameras, drones for capturing aerial video or photographs, video conferencing and virtual reality applications.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Competitive Strengths</w:t>
      </w:r>
    </w:p>
    <w:p>
      <w:pPr>
        <w:spacing w:after="0" w:line="124" w:lineRule="exact"/>
        <w:rPr>
          <w:sz w:val="20"/>
          <w:szCs w:val="20"/>
          <w:color w:val="auto"/>
        </w:rPr>
      </w:pPr>
    </w:p>
    <w:p>
      <w:pPr>
        <w:ind w:right="500" w:firstLine="490"/>
        <w:spacing w:after="0" w:line="252" w:lineRule="auto"/>
        <w:rPr>
          <w:sz w:val="20"/>
          <w:szCs w:val="20"/>
          <w:color w:val="auto"/>
        </w:rPr>
      </w:pPr>
      <w:r>
        <w:rPr>
          <w:rFonts w:ascii="Times New Roman" w:cs="Times New Roman" w:eastAsia="Times New Roman" w:hAnsi="Times New Roman"/>
          <w:sz w:val="20"/>
          <w:szCs w:val="20"/>
          <w:color w:val="454546"/>
        </w:rPr>
        <w:t>Our platform technology solutions provide performance attributes that satisfy the stringent demands of the camera market, enable integration of HD video and image capture capabilities in portable devices, and provide computer vision capabilities that address the evolving needs of the automotive and IoT markets. We believe that our leadership is the result of our competitive strengths, including:</w:t>
      </w:r>
    </w:p>
    <w:p>
      <w:pPr>
        <w:spacing w:after="0" w:line="88" w:lineRule="exact"/>
        <w:rPr>
          <w:sz w:val="20"/>
          <w:szCs w:val="20"/>
          <w:color w:val="auto"/>
        </w:rPr>
      </w:pPr>
    </w:p>
    <w:p>
      <w:pPr>
        <w:ind w:left="980" w:right="60" w:hanging="490"/>
        <w:spacing w:after="0" w:line="244"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 xml:space="preserve">Proprietary AI, Radar and Computer Vision Architecture. </w:t>
      </w:r>
      <w:r>
        <w:rPr>
          <w:rFonts w:ascii="Times New Roman" w:cs="Times New Roman" w:eastAsia="Times New Roman" w:hAnsi="Times New Roman"/>
          <w:sz w:val="20"/>
          <w:szCs w:val="20"/>
          <w:color w:val="454546"/>
        </w:rPr>
        <w:t>Our proprietary AI processing architecture, known as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CVflow, uses a flexible hardware engine programmed with a high level algorithm description to achieve increased performance while minimizing die size and power consumption. The CVflow architecture specifies data flow connections between a set of optimized AI and computer vision operators, such as the convolution and matrix multiply functions that are specifically optimized for deep learning algorithms. The CVflow architecture supports a variety of AI, radar and computer vision algorithms, including object detection, classification and tracking, semantic and instance segmentation, image processing, and stereo object detection. Our latest third generation CVflow technology enables us to efficiently process transformer AI networks, which are an enabling technology for next generation automotive and generative AI markets. CVflow also allows customers to differentiate their products by porting their own algorithms and neural networks to our SoCs.</w:t>
      </w:r>
    </w:p>
    <w:p>
      <w:pPr>
        <w:spacing w:after="0" w:line="95" w:lineRule="exact"/>
        <w:rPr>
          <w:rFonts w:ascii="Arial" w:cs="Arial" w:eastAsia="Arial" w:hAnsi="Arial"/>
          <w:sz w:val="20"/>
          <w:szCs w:val="20"/>
          <w:color w:val="454546"/>
        </w:rPr>
      </w:pPr>
    </w:p>
    <w:p>
      <w:pPr>
        <w:ind w:left="980" w:hanging="490"/>
        <w:spacing w:after="0"/>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Deep Sensor Fusion</w:t>
      </w:r>
      <w:r>
        <w:rPr>
          <w:rFonts w:ascii="Times New Roman" w:cs="Times New Roman" w:eastAsia="Times New Roman" w:hAnsi="Times New Roman"/>
          <w:sz w:val="20"/>
          <w:szCs w:val="20"/>
          <w:color w:val="454546"/>
        </w:rPr>
        <w:t>. Ambarella provides AI perception processing for cameras and software that enables efficient HD</w:t>
      </w:r>
    </w:p>
    <w:p>
      <w:pPr>
        <w:spacing w:after="0" w:line="27" w:lineRule="exact"/>
        <w:rPr>
          <w:rFonts w:ascii="Arial" w:cs="Arial" w:eastAsia="Arial" w:hAnsi="Arial"/>
          <w:sz w:val="20"/>
          <w:szCs w:val="20"/>
          <w:color w:val="454546"/>
        </w:rPr>
      </w:pPr>
    </w:p>
    <w:p>
      <w:pPr>
        <w:ind w:left="980" w:right="280"/>
        <w:spacing w:after="0" w:line="244" w:lineRule="auto"/>
        <w:rPr>
          <w:rFonts w:ascii="Arial" w:cs="Arial" w:eastAsia="Arial" w:hAnsi="Arial"/>
          <w:sz w:val="20"/>
          <w:szCs w:val="20"/>
          <w:color w:val="454546"/>
        </w:rPr>
      </w:pPr>
      <w:r>
        <w:rPr>
          <w:rFonts w:ascii="Times New Roman" w:cs="Times New Roman" w:eastAsia="Times New Roman" w:hAnsi="Times New Roman"/>
          <w:sz w:val="20"/>
          <w:szCs w:val="20"/>
          <w:color w:val="454546"/>
        </w:rPr>
        <w:t>4D radar perception. Our CV3 SoC family implements centralized camera and radar perception processing on the same SoC, allowing data from all camera and radar sensors in the sensor suite to be fused at a deeper data level, which we believe will facilitate improved levels of perception accuracy.</w:t>
      </w:r>
    </w:p>
    <w:p>
      <w:pPr>
        <w:spacing w:after="0" w:line="94" w:lineRule="exact"/>
        <w:rPr>
          <w:rFonts w:ascii="Arial" w:cs="Arial" w:eastAsia="Arial" w:hAnsi="Arial"/>
          <w:sz w:val="20"/>
          <w:szCs w:val="20"/>
          <w:color w:val="454546"/>
        </w:rPr>
      </w:pPr>
    </w:p>
    <w:p>
      <w:pPr>
        <w:ind w:left="980" w:hanging="491"/>
        <w:spacing w:after="0" w:line="242"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High-Performance, Low Power, AI, Video and Image Algorithm Expertise</w:t>
      </w:r>
      <w:r>
        <w:rPr>
          <w:rFonts w:ascii="Times New Roman" w:cs="Times New Roman" w:eastAsia="Times New Roman" w:hAnsi="Times New Roman"/>
          <w:sz w:val="20"/>
          <w:szCs w:val="20"/>
          <w:color w:val="454546"/>
        </w:rPr>
        <w:t>. Our extensive algorithm expertise, which</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facilitates efficient AI, video and image compression, enables our solutions to achieve low power consumption without compromising performance. Our solutions provide Full HD and UHD video up to 32-megapixel resolution and 60 frames per second. Our solutions achieve high storage and transmission efficiencies through innovative and complex video and image compression algorithms that significantly reduce the output bitrate. This smaller storage footprint directly benefits the performance of our solutions in several ways, including lower memory storage requirements and reduced bandwidth needs for transmission, which both facilitate sharing content between devices. These benefits are particularly important in transcoding, the digital-to-digital conversion of one encoding format to another, and video cloud applications.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advanced de-warping capability enables cameras to use wide angle lenses, making it ideal for a variety of security camera applications, as well as 3D electronic image stabilization and surround view for automotive applications.</w:t>
      </w:r>
    </w:p>
    <w:p>
      <w:pPr>
        <w:spacing w:after="0" w:line="106" w:lineRule="exact"/>
        <w:rPr>
          <w:rFonts w:ascii="Arial" w:cs="Arial" w:eastAsia="Arial" w:hAnsi="Arial"/>
          <w:sz w:val="20"/>
          <w:szCs w:val="20"/>
          <w:color w:val="454546"/>
        </w:rPr>
      </w:pPr>
    </w:p>
    <w:p>
      <w:pPr>
        <w:ind w:left="980" w:right="160" w:hanging="490"/>
        <w:spacing w:after="0" w:line="247"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Highly Integrated SoC Solutions Based on a Scalable Platform</w:t>
      </w:r>
      <w:r>
        <w:rPr>
          <w:rFonts w:ascii="Times New Roman" w:cs="Times New Roman" w:eastAsia="Times New Roman" w:hAnsi="Times New Roman"/>
          <w:sz w:val="20"/>
          <w:szCs w:val="20"/>
          <w:color w:val="454546"/>
        </w:rPr>
        <w:t>. Our product families leverage a flexible and highly-scalable platform including our core high-performance AI and video processing architecture combined with an extensive set of integrated peripherals. Our flexible and highly-scalable platform enables our customers to address multiple applications and markets with reduced design cycles and costs. Our software compatible portfolio of products, with a broad range of performance and price points, allows our customers to develop a range of end products from a common software base.</w:t>
      </w:r>
    </w:p>
    <w:p>
      <w:pPr>
        <w:spacing w:after="0" w:line="93" w:lineRule="exact"/>
        <w:rPr>
          <w:rFonts w:ascii="Arial" w:cs="Arial" w:eastAsia="Arial" w:hAnsi="Arial"/>
          <w:sz w:val="20"/>
          <w:szCs w:val="20"/>
          <w:color w:val="454546"/>
        </w:rPr>
      </w:pPr>
    </w:p>
    <w:p>
      <w:pPr>
        <w:ind w:left="980" w:right="140" w:hanging="490"/>
        <w:spacing w:after="0" w:line="244" w:lineRule="auto"/>
        <w:tabs>
          <w:tab w:leader="none" w:pos="980" w:val="left"/>
        </w:tabs>
        <w:numPr>
          <w:ilvl w:val="0"/>
          <w:numId w:val="6"/>
        </w:numPr>
        <w:rPr>
          <w:rFonts w:ascii="Arial" w:cs="Arial" w:eastAsia="Arial" w:hAnsi="Arial"/>
          <w:sz w:val="20"/>
          <w:szCs w:val="20"/>
          <w:color w:val="454546"/>
        </w:rPr>
      </w:pPr>
      <w:r>
        <w:rPr>
          <w:rFonts w:ascii="Times New Roman" w:cs="Times New Roman" w:eastAsia="Times New Roman" w:hAnsi="Times New Roman"/>
          <w:sz w:val="20"/>
          <w:szCs w:val="20"/>
          <w:b w:val="1"/>
          <w:bCs w:val="1"/>
          <w:i w:val="1"/>
          <w:iCs w:val="1"/>
          <w:color w:val="454546"/>
        </w:rPr>
        <w:t>Comprehensive and Flexible Software</w:t>
      </w:r>
      <w:r>
        <w:rPr>
          <w:rFonts w:ascii="Times New Roman" w:cs="Times New Roman" w:eastAsia="Times New Roman" w:hAnsi="Times New Roman"/>
          <w:sz w:val="20"/>
          <w:szCs w:val="20"/>
          <w:color w:val="454546"/>
        </w:rPr>
        <w:t>. Our years of investment in developing and optimizing our comprehensive and</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flexible software serve as the foundation of our high-performance video application solutions. Key components of our software include highly customized middleware that integrates many unique features for efficient scheduling and other system-level functions, and firmware that is optimized to reduce power requirements and improve performance. In addition, we provide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extensive software tools to map algorithms from commonly-used AI frameworks such as PyTorch or TensorFlow into our proprietary CVflow architecture. Our software development kits (SDKs) contain reference code for specific features that customers can quickly deploy.</w:t>
      </w:r>
    </w:p>
    <w:p>
      <w:pPr>
        <w:sectPr>
          <w:pgSz w:w="12240" w:h="15840" w:orient="portrait"/>
          <w:cols w:equalWidth="0" w:num="1">
            <w:col w:w="10800"/>
          </w:cols>
          <w:pgMar w:left="720" w:top="990" w:right="720" w:bottom="175"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w:t>
      </w:r>
    </w:p>
    <w:p>
      <w:pPr>
        <w:sectPr>
          <w:pgSz w:w="12240" w:h="15840" w:orient="portrait"/>
          <w:cols w:equalWidth="0" w:num="1">
            <w:col w:w="10800"/>
          </w:cols>
          <w:pgMar w:left="720" w:top="990" w:right="720" w:bottom="17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454546"/>
        </w:rPr>
        <w:t>Products</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computer vision functionality, simultaneous video and image capture, multiple-stream video capture, image stabilization and wireless connectivity.</w:t>
      </w:r>
    </w:p>
    <w:p>
      <w:pPr>
        <w:spacing w:after="0" w:line="20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Central Domain Controller. </w:t>
      </w:r>
      <w:r>
        <w:rPr>
          <w:rFonts w:ascii="Times New Roman" w:cs="Times New Roman" w:eastAsia="Times New Roman" w:hAnsi="Times New Roman"/>
          <w:sz w:val="20"/>
          <w:szCs w:val="20"/>
          <w:color w:val="454546"/>
        </w:rPr>
        <w:t>Our CV3-AD685, the first production version of the CV3 family of automotive AI domain</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controllers, targets L2+ to L4 autonomous vehicles and advanced robots. Its next-generation CVflow® AI engine includes neural network processing that is 20x faster than the previous generation of CV2 SoCs, along with additional general vector processing capabilities to provide the overall performance required for full autonomous driving (AD) stack processing, including computer vision, HD 4D radar, deep fusion and planning. It also integrates advanced image processing, a dense stereo and optical flow engine, Arm® Cortex® A78AE and R52 CPUs, an automotive GPU for visualizations, and a hardware security module (HSM). The CV3-AD685 is an “algorithm first” architecture that provides support for the entire AD software stack.</w:t>
      </w:r>
    </w:p>
    <w:p>
      <w:pPr>
        <w:spacing w:after="0" w:line="20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CVflow SoCs. </w:t>
      </w:r>
      <w:r>
        <w:rPr>
          <w:rFonts w:ascii="Times New Roman" w:cs="Times New Roman" w:eastAsia="Times New Roman" w:hAnsi="Times New Roman"/>
          <w:sz w:val="20"/>
          <w:szCs w:val="20"/>
          <w:color w:val="454546"/>
        </w:rPr>
        <w:t>Our AI architecture, incorporated into our CV family of SoCs, extracts and processes data from video streams,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enabling our customers to develop intelligent camera systems. These SoCs combine advanced image processing, high-resolution video encoding and CVflow AI processing in a single, low-power design to enable a new class of smart edge devices for applications including smart home security, retail monitoring, consumer robotics, and occupancy monitoring. Some of our CVflow SoCs are manufactured to satisfy the functional safety requirements of the automotive market. Our third generation CVflow-based SoCs enable efficient processing or transformer AI networks, which are an enabling technology for next generation automotive and generative AI markets.</w:t>
      </w:r>
    </w:p>
    <w:p>
      <w:pPr>
        <w:spacing w:after="0" w:line="19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AI Neural Processor. </w:t>
      </w:r>
      <w:r>
        <w:rPr>
          <w:rFonts w:ascii="Times New Roman" w:cs="Times New Roman" w:eastAsia="Times New Roman" w:hAnsi="Times New Roman"/>
          <w:sz w:val="20"/>
          <w:szCs w:val="20"/>
          <w:color w:val="454546"/>
        </w:rPr>
        <w:t>Based on our proprietary architecture, our N1 SoC provides highly-efficient AI performance for neural</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network computation in combination with a general vector processor (GVP), an advanced image processor, a dense stereo and optical flow engine, and a GPU, in a single SoC. The N1 is designed for implementing industrial robotics, smart cities, intelligent healthcare imaging and diagnostics, multi-camera AI processing hub, edge AI servers running multi-modal LLMs, and autonomous fleet telematics.</w:t>
      </w:r>
    </w:p>
    <w:p>
      <w:pPr>
        <w:spacing w:after="0" w:line="18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Vision Processor SoCs. </w:t>
      </w:r>
      <w:r>
        <w:rPr>
          <w:rFonts w:ascii="Times New Roman" w:cs="Times New Roman" w:eastAsia="Times New Roman" w:hAnsi="Times New Roman"/>
          <w:sz w:val="20"/>
          <w:szCs w:val="20"/>
          <w:color w:val="454546"/>
        </w:rPr>
        <w:t>Our video and image processing SoCs integrate an advanced image sensor pipeline (ISP), H.264 and/or</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H.265 encoders, and a powerful ARM CPU for advanced analytics, flight control, WiFi streaming, and other user applications. Our unique architecture and advanced process node technology lower power consumption while maintaining high performance for security camera and consumer applications such as connected drones, sports cameras, and 360º (VR) cameras.</w:t>
      </w:r>
    </w:p>
    <w:p>
      <w:pPr>
        <w:spacing w:after="0" w:line="180"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454546"/>
        </w:rPr>
        <w:t>High Definition Radar</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Through our acquisition of Oculii, we offer adaptive AI software algorithms designed to enable radar</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perception using current production radar chips to achieve significantly higher resolution, longer range and greater accuracy. These improvements eliminate the need for specialized high-resolution radar chips, which have significantly higher power consumption and cost than conventional radar solutions. We recently introduced a centralized radar architecture that leverages Oculii’s adaptive AI software algorithms together with our CV3 processor family to enable both central processing of raw radar data and deep, low-level fusion with other sensor inputs, including cameras, lidar and ultrasonics.</w:t>
      </w:r>
    </w:p>
    <w:p>
      <w:pPr>
        <w:spacing w:after="0" w:line="194" w:lineRule="exact"/>
        <w:rPr>
          <w:sz w:val="20"/>
          <w:szCs w:val="20"/>
          <w:color w:val="auto"/>
        </w:rPr>
      </w:pPr>
    </w:p>
    <w:p>
      <w:pPr>
        <w:ind w:right="40" w:firstLine="490"/>
        <w:spacing w:after="0" w:line="248" w:lineRule="auto"/>
        <w:rPr>
          <w:sz w:val="20"/>
          <w:szCs w:val="20"/>
          <w:color w:val="auto"/>
        </w:rPr>
      </w:pPr>
      <w:r>
        <w:rPr>
          <w:rFonts w:ascii="Times New Roman" w:cs="Times New Roman" w:eastAsia="Times New Roman" w:hAnsi="Times New Roman"/>
          <w:sz w:val="20"/>
          <w:szCs w:val="20"/>
          <w:b w:val="1"/>
          <w:bCs w:val="1"/>
          <w:i w:val="1"/>
          <w:iCs w:val="1"/>
          <w:color w:val="454546"/>
        </w:rPr>
        <w:t>Serializer/Deserializers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Our B6 and B8 SerDes (Serializer/Deserializer) products are mixed-signal (analog and digital)</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semiconductors used to transport data short distances (up to 10 meters) from a CMOS image sensor, often in a remote camera location, to our video and CV SoCs. The SerDes chips are used to add additional camera(s) to an automotive application, as well as used as a bridge chip for other automotive applications, such as a MIPI combiner, splitter or display driver. Our SerDes chips are also used in security applications such as ATMs that can use a single B8 chip for connecting multiple remote cameras to a single video processor SoC.</w:t>
      </w:r>
    </w:p>
    <w:p>
      <w:pPr>
        <w:spacing w:after="0" w:line="194" w:lineRule="exact"/>
        <w:rPr>
          <w:sz w:val="20"/>
          <w:szCs w:val="20"/>
          <w:color w:val="auto"/>
        </w:rPr>
      </w:pPr>
    </w:p>
    <w:p>
      <w:pPr>
        <w:ind w:right="160" w:firstLine="490"/>
        <w:spacing w:after="0" w:line="250" w:lineRule="auto"/>
        <w:rPr>
          <w:sz w:val="20"/>
          <w:szCs w:val="20"/>
          <w:color w:val="auto"/>
        </w:rPr>
      </w:pPr>
      <w:r>
        <w:rPr>
          <w:rFonts w:ascii="Times New Roman" w:cs="Times New Roman" w:eastAsia="Times New Roman" w:hAnsi="Times New Roman"/>
          <w:sz w:val="20"/>
          <w:szCs w:val="20"/>
          <w:b w:val="1"/>
          <w:bCs w:val="1"/>
          <w:i w:val="1"/>
          <w:iCs w:val="1"/>
          <w:color w:val="454546"/>
        </w:rPr>
        <w:t>Software Modules</w:t>
      </w:r>
      <w:r>
        <w:rPr>
          <w:rFonts w:ascii="Times New Roman" w:cs="Times New Roman" w:eastAsia="Times New Roman" w:hAnsi="Times New Roman"/>
          <w:sz w:val="20"/>
          <w:szCs w:val="20"/>
          <w:b w:val="1"/>
          <w:bCs w:val="1"/>
          <w:color w:val="454546"/>
        </w:rPr>
        <w:t>.</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We separately license proprietary software modules that can be used in conjunction with a customer’s</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internally developed software and/or with third-party software. Features that may be licensed include functionality for a variety of automotive applications, including dataloggers, ADAS and autonomous driving systems, eMirrors and in-cabin applications. Additionally, our neural-network image signal processing (NN-ISP) software module improves low light imaging in security camera applications.</w:t>
      </w:r>
    </w:p>
    <w:p>
      <w:pPr>
        <w:sectPr>
          <w:pgSz w:w="12240" w:h="15840" w:orient="portrait"/>
          <w:cols w:equalWidth="0" w:num="1">
            <w:col w:w="10780"/>
          </w:cols>
          <w:pgMar w:left="720" w:top="97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8</w:t>
      </w:r>
    </w:p>
    <w:p>
      <w:pPr>
        <w:sectPr>
          <w:pgSz w:w="12240" w:h="15840" w:orient="portrait"/>
          <w:cols w:equalWidth="0" w:num="1">
            <w:col w:w="10780"/>
          </w:cols>
          <w:pgMar w:left="720" w:top="972" w:right="740" w:bottom="17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454546"/>
        </w:rPr>
        <w:t>The chart below describes our current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165735</wp:posOffset>
            </wp:positionV>
            <wp:extent cx="6450965" cy="8350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6450965" cy="8350885"/>
                    </a:xfrm>
                    <a:prstGeom prst="rect">
                      <a:avLst/>
                    </a:prstGeom>
                    <a:noFill/>
                  </pic:spPr>
                </pic:pic>
              </a:graphicData>
            </a:graphic>
          </wp:anchor>
        </w:drawing>
      </w:r>
    </w:p>
    <w:p>
      <w:pPr>
        <w:sectPr>
          <w:pgSz w:w="12240" w:h="15840" w:orient="portrait"/>
          <w:cols w:equalWidth="0" w:num="1">
            <w:col w:w="9580"/>
          </w:cols>
          <w:pgMar w:left="1220" w:top="97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454546"/>
        </w:rPr>
        <w:t>9</w:t>
      </w:r>
    </w:p>
    <w:p>
      <w:pPr>
        <w:sectPr>
          <w:pgSz w:w="12240" w:h="15840" w:orient="portrait"/>
          <w:cols w:equalWidth="0" w:num="1">
            <w:col w:w="9580"/>
          </w:cols>
          <w:pgMar w:left="1220" w:top="976" w:right="144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454546"/>
        </w:rPr>
        <w:t>Technology</w:t>
      </w:r>
    </w:p>
    <w:p>
      <w:pPr>
        <w:spacing w:after="0" w:line="124"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454546"/>
        </w:rPr>
        <w:t>Our semiconductor processing solutions enable artificial intelligence and computer vision processing, HD, UHD and 8K UHD (up to 7680 x 4320p60) video and image processing, and video compression, sharing and display while offering exceptional power, size, and performance characteristics.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Key differentiators of our technology include:</w:t>
      </w:r>
    </w:p>
    <w:p>
      <w:pPr>
        <w:spacing w:after="0" w:line="134" w:lineRule="exact"/>
        <w:rPr>
          <w:sz w:val="20"/>
          <w:szCs w:val="20"/>
          <w:color w:val="auto"/>
        </w:rPr>
      </w:pPr>
    </w:p>
    <w:p>
      <w:pPr>
        <w:ind w:left="1440" w:right="4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flexible and scalable CVflow processors for deep learning, HD radar processing and other CV algorithms that cover a broad range of consumer, professional and automotive requirements with power and die size efficiency;</w:t>
      </w:r>
    </w:p>
    <w:p>
      <w:pPr>
        <w:spacing w:after="0" w:line="64" w:lineRule="exact"/>
        <w:rPr>
          <w:rFonts w:ascii="Arial" w:cs="Arial" w:eastAsia="Arial" w:hAnsi="Arial"/>
          <w:sz w:val="20"/>
          <w:szCs w:val="20"/>
          <w:color w:val="454546"/>
        </w:rPr>
      </w:pPr>
    </w:p>
    <w:p>
      <w:pPr>
        <w:ind w:left="1440" w:hanging="360"/>
        <w:spacing w:after="0"/>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stereo/optical flow processing engines for robust CV processing with high performance and power efficiency;</w:t>
      </w:r>
    </w:p>
    <w:p>
      <w:pPr>
        <w:spacing w:after="0" w:line="133" w:lineRule="exact"/>
        <w:rPr>
          <w:rFonts w:ascii="Arial" w:cs="Arial" w:eastAsia="Arial" w:hAnsi="Arial"/>
          <w:sz w:val="20"/>
          <w:szCs w:val="20"/>
          <w:color w:val="454546"/>
        </w:rPr>
      </w:pPr>
    </w:p>
    <w:p>
      <w:pPr>
        <w:ind w:left="1440" w:right="360" w:hanging="360"/>
        <w:spacing w:after="0" w:line="258"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scalable image processing and video compression engines that cover consumer, professional and automotive requirements from Full HD to 8K video performance levels as well as multiple image sensors simultaneously to support multiple viewpoints, including surround view and virtual reality applications;</w:t>
      </w:r>
    </w:p>
    <w:p>
      <w:pPr>
        <w:spacing w:after="0" w:line="81" w:lineRule="exact"/>
        <w:rPr>
          <w:rFonts w:ascii="Arial" w:cs="Arial" w:eastAsia="Arial" w:hAnsi="Arial"/>
          <w:sz w:val="20"/>
          <w:szCs w:val="20"/>
          <w:color w:val="454546"/>
        </w:rPr>
      </w:pPr>
    </w:p>
    <w:p>
      <w:pPr>
        <w:ind w:left="1440" w:right="18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algorithms for image processing including deep learning augmented processing for challenging low light and high dynamic range conditions for robust CV and human viewing with high power efficiency.</w:t>
      </w:r>
    </w:p>
    <w:p>
      <w:pPr>
        <w:spacing w:after="0" w:line="64" w:lineRule="exact"/>
        <w:rPr>
          <w:rFonts w:ascii="Arial" w:cs="Arial" w:eastAsia="Arial" w:hAnsi="Arial"/>
          <w:sz w:val="20"/>
          <w:szCs w:val="20"/>
          <w:color w:val="454546"/>
        </w:rPr>
      </w:pPr>
    </w:p>
    <w:p>
      <w:pPr>
        <w:ind w:left="1440" w:right="6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algorithms and software for scalable and robust HD 4D radar processing using sparse antenna arrays using machine learning and adaptive transmit waveforms for lower cost and better power efficiency;</w:t>
      </w:r>
    </w:p>
    <w:p>
      <w:pPr>
        <w:spacing w:after="0" w:line="64" w:lineRule="exact"/>
        <w:rPr>
          <w:rFonts w:ascii="Arial" w:cs="Arial" w:eastAsia="Arial" w:hAnsi="Arial"/>
          <w:sz w:val="20"/>
          <w:szCs w:val="20"/>
          <w:color w:val="454546"/>
        </w:rPr>
      </w:pPr>
    </w:p>
    <w:p>
      <w:pPr>
        <w:ind w:left="1440" w:right="80" w:hanging="360"/>
        <w:spacing w:after="0" w:line="304" w:lineRule="auto"/>
        <w:tabs>
          <w:tab w:leader="none" w:pos="1440" w:val="left"/>
        </w:tabs>
        <w:numPr>
          <w:ilvl w:val="0"/>
          <w:numId w:val="7"/>
        </w:numPr>
        <w:rPr>
          <w:rFonts w:ascii="Arial" w:cs="Arial" w:eastAsia="Arial" w:hAnsi="Arial"/>
          <w:sz w:val="19"/>
          <w:szCs w:val="19"/>
          <w:color w:val="454546"/>
        </w:rPr>
      </w:pPr>
      <w:r>
        <w:rPr>
          <w:rFonts w:ascii="Times New Roman" w:cs="Times New Roman" w:eastAsia="Times New Roman" w:hAnsi="Times New Roman"/>
          <w:sz w:val="19"/>
          <w:szCs w:val="19"/>
          <w:color w:val="454546"/>
        </w:rPr>
        <w:t>deep learning algorithms and software for multi class 2D/3D object detection and segmentation, including vehicles, pedestrians, cycles, road markings, traffic signs and traffic lights optimized for our CV2 and CV3 SoC families;</w:t>
      </w:r>
    </w:p>
    <w:p>
      <w:pPr>
        <w:spacing w:after="0" w:line="39" w:lineRule="exact"/>
        <w:rPr>
          <w:rFonts w:ascii="Arial" w:cs="Arial" w:eastAsia="Arial" w:hAnsi="Arial"/>
          <w:sz w:val="19"/>
          <w:szCs w:val="19"/>
          <w:color w:val="454546"/>
        </w:rPr>
      </w:pPr>
    </w:p>
    <w:p>
      <w:pPr>
        <w:ind w:left="144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algorithms and software for stereo obstacle detection to provide robust safety in the event of obstacles that are not in the training data;</w:t>
      </w:r>
    </w:p>
    <w:p>
      <w:pPr>
        <w:spacing w:after="0" w:line="64" w:lineRule="exact"/>
        <w:rPr>
          <w:rFonts w:ascii="Arial" w:cs="Arial" w:eastAsia="Arial" w:hAnsi="Arial"/>
          <w:sz w:val="20"/>
          <w:szCs w:val="20"/>
          <w:color w:val="454546"/>
        </w:rPr>
      </w:pPr>
    </w:p>
    <w:p>
      <w:pPr>
        <w:ind w:left="1440" w:right="22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autonomous driving stack modules optimized for our CV3 SoC family, including fusion for multiple cameras and sensor modalities, mapping and localization algorithms and planning;</w:t>
      </w:r>
    </w:p>
    <w:p>
      <w:pPr>
        <w:spacing w:after="0" w:line="64" w:lineRule="exact"/>
        <w:rPr>
          <w:rFonts w:ascii="Arial" w:cs="Arial" w:eastAsia="Arial" w:hAnsi="Arial"/>
          <w:sz w:val="20"/>
          <w:szCs w:val="20"/>
          <w:color w:val="454546"/>
        </w:rPr>
      </w:pPr>
    </w:p>
    <w:p>
      <w:pPr>
        <w:ind w:left="1440" w:hanging="360"/>
        <w:spacing w:after="0"/>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algorithms to compress video signals with high compression and power efficiency at multiple operating points;</w:t>
      </w:r>
    </w:p>
    <w:p>
      <w:pPr>
        <w:spacing w:after="0" w:line="133" w:lineRule="exact"/>
        <w:rPr>
          <w:rFonts w:ascii="Arial" w:cs="Arial" w:eastAsia="Arial" w:hAnsi="Arial"/>
          <w:sz w:val="20"/>
          <w:szCs w:val="20"/>
          <w:color w:val="454546"/>
        </w:rPr>
      </w:pPr>
    </w:p>
    <w:p>
      <w:pPr>
        <w:ind w:left="1440" w:right="200" w:hanging="360"/>
        <w:spacing w:after="0" w:line="258"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software development kit comprised of application programming interfaces, or APIs, to facilitate integration into customers’ products; and tools for porting and optimizing customer deep neural networks, or DNNs, developed in industry standard training frameworks;</w:t>
      </w:r>
    </w:p>
    <w:p>
      <w:pPr>
        <w:spacing w:after="0" w:line="81" w:lineRule="exact"/>
        <w:rPr>
          <w:rFonts w:ascii="Arial" w:cs="Arial" w:eastAsia="Arial" w:hAnsi="Arial"/>
          <w:sz w:val="20"/>
          <w:szCs w:val="20"/>
          <w:color w:val="454546"/>
        </w:rPr>
      </w:pPr>
    </w:p>
    <w:p>
      <w:pPr>
        <w:ind w:left="1440" w:hanging="360"/>
        <w:spacing w:after="0"/>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low-power architecture with minimal system memory footprint; and</w:t>
      </w:r>
    </w:p>
    <w:p>
      <w:pPr>
        <w:spacing w:after="0" w:line="133" w:lineRule="exact"/>
        <w:rPr>
          <w:rFonts w:ascii="Arial" w:cs="Arial" w:eastAsia="Arial" w:hAnsi="Arial"/>
          <w:sz w:val="20"/>
          <w:szCs w:val="20"/>
          <w:color w:val="454546"/>
        </w:rPr>
      </w:pPr>
    </w:p>
    <w:p>
      <w:pPr>
        <w:ind w:left="1440" w:right="100" w:hanging="360"/>
        <w:spacing w:after="0" w:line="276" w:lineRule="auto"/>
        <w:tabs>
          <w:tab w:leader="none" w:pos="1440" w:val="left"/>
        </w:tabs>
        <w:numPr>
          <w:ilvl w:val="0"/>
          <w:numId w:val="7"/>
        </w:numPr>
        <w:rPr>
          <w:rFonts w:ascii="Arial" w:cs="Arial" w:eastAsia="Arial" w:hAnsi="Arial"/>
          <w:sz w:val="20"/>
          <w:szCs w:val="20"/>
          <w:color w:val="454546"/>
        </w:rPr>
      </w:pPr>
      <w:r>
        <w:rPr>
          <w:rFonts w:ascii="Times New Roman" w:cs="Times New Roman" w:eastAsia="Times New Roman" w:hAnsi="Times New Roman"/>
          <w:sz w:val="20"/>
          <w:szCs w:val="20"/>
          <w:color w:val="454546"/>
        </w:rPr>
        <w:t>programmable architecture that balances flexibility, quality, power and die size with powerful CPUs and optimized hardware acceleration to support advanced processing functions.</w:t>
      </w:r>
    </w:p>
    <w:p>
      <w:pPr>
        <w:sectPr>
          <w:pgSz w:w="12240" w:h="15840" w:orient="portrait"/>
          <w:cols w:equalWidth="0" w:num="1">
            <w:col w:w="10760"/>
          </w:cols>
          <w:pgMar w:left="720" w:top="1202"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10</w:t>
      </w:r>
    </w:p>
    <w:p>
      <w:pPr>
        <w:sectPr>
          <w:pgSz w:w="12240" w:h="15840" w:orient="portrait"/>
          <w:cols w:equalWidth="0" w:num="1">
            <w:col w:w="10760"/>
          </w:cols>
          <w:pgMar w:left="720" w:top="1202" w:right="760" w:bottom="175" w:gutter="0" w:footer="0" w:header="0"/>
          <w:type w:val="continuous"/>
        </w:sectPr>
      </w:pPr>
    </w:p>
    <w:bookmarkStart w:id="15" w:name="page16"/>
    <w:bookmarkEnd w:id="15"/>
    <w:p>
      <w:pPr>
        <w:ind w:right="820" w:firstLine="490"/>
        <w:spacing w:after="0" w:line="277" w:lineRule="auto"/>
        <w:rPr>
          <w:sz w:val="20"/>
          <w:szCs w:val="20"/>
          <w:color w:val="auto"/>
        </w:rPr>
      </w:pPr>
      <w:r>
        <w:rPr>
          <w:rFonts w:ascii="Times New Roman" w:cs="Times New Roman" w:eastAsia="Times New Roman" w:hAnsi="Times New Roman"/>
          <w:sz w:val="20"/>
          <w:szCs w:val="20"/>
          <w:color w:val="454546"/>
        </w:rPr>
        <w:t>Our technology platform is based on a high-performance, low-power architecture supported by a high level of system integration. The building blocks of our platform are illustrated below:</w:t>
      </w:r>
    </w:p>
    <w:p>
      <w:pPr>
        <w:sectPr>
          <w:pgSz w:w="12240" w:h="15840" w:orient="portrait"/>
          <w:cols w:equalWidth="0" w:num="1">
            <w:col w:w="10720"/>
          </w:cols>
          <w:pgMar w:left="720" w:top="976" w:right="800" w:bottom="175" w:gutter="0" w:footer="0" w:header="0"/>
        </w:sectPr>
      </w:pPr>
    </w:p>
    <w:p>
      <w:pPr>
        <w:spacing w:after="0" w:line="200" w:lineRule="exact"/>
        <w:rPr>
          <w:sz w:val="20"/>
          <w:szCs w:val="20"/>
          <w:color w:val="auto"/>
        </w:rPr>
      </w:pPr>
    </w:p>
    <w:p>
      <w:pPr>
        <w:spacing w:after="0" w:line="257"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&amp;RPSOHWH 6R&amp;</w:t>
      </w:r>
    </w:p>
    <w:p>
      <w:pPr>
        <w:spacing w:after="0" w:line="21"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6\VWHP 6RIWZDUH $'</w:t>
      </w:r>
    </w:p>
    <w:p>
      <w:pPr>
        <w:spacing w:after="0" w:line="1"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6RIWZDUH 6WDFN $, 'HY</w:t>
      </w:r>
    </w:p>
    <w:p>
      <w:pPr>
        <w:spacing w:after="0" w:line="1" w:lineRule="exact"/>
        <w:rPr>
          <w:sz w:val="20"/>
          <w:szCs w:val="20"/>
          <w:color w:val="auto"/>
        </w:rPr>
      </w:pPr>
    </w:p>
    <w:p>
      <w:pPr>
        <w:ind w:left="1560"/>
        <w:spacing w:after="0"/>
        <w:rPr>
          <w:sz w:val="20"/>
          <w:szCs w:val="20"/>
          <w:color w:val="auto"/>
        </w:rPr>
      </w:pPr>
      <w:r>
        <w:rPr>
          <w:rFonts w:ascii="PMingLiU" w:cs="PMingLiU" w:eastAsia="PMingLiU" w:hAnsi="PMingLiU"/>
          <w:sz w:val="14"/>
          <w:szCs w:val="14"/>
          <w:color w:val="454546"/>
        </w:rPr>
        <w:t>7RROV 5HIHUHQFH 'HVLJQV</w:t>
      </w:r>
    </w:p>
    <w:p>
      <w:pPr>
        <w:spacing w:after="0" w:line="181" w:lineRule="exact"/>
        <w:rPr>
          <w:sz w:val="20"/>
          <w:szCs w:val="20"/>
          <w:color w:val="auto"/>
        </w:rPr>
      </w:pPr>
    </w:p>
    <w:p>
      <w:pPr>
        <w:ind w:left="1560"/>
        <w:spacing w:after="0"/>
        <w:rPr>
          <w:sz w:val="20"/>
          <w:szCs w:val="20"/>
          <w:color w:val="auto"/>
        </w:rPr>
      </w:pPr>
      <w:r>
        <w:rPr>
          <w:rFonts w:ascii="PMingLiU" w:cs="PMingLiU" w:eastAsia="PMingLiU" w:hAnsi="PMingLiU"/>
          <w:sz w:val="15"/>
          <w:szCs w:val="15"/>
          <w:color w:val="454546"/>
        </w:rPr>
        <w:t>(QDEOH VDIHW\FULWLFDO</w:t>
      </w:r>
    </w:p>
    <w:p>
      <w:pPr>
        <w:spacing w:after="0" w:line="33"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DXWR DSSOLFDWLRQV</w:t>
      </w:r>
    </w:p>
    <w:p>
      <w:pPr>
        <w:spacing w:after="0" w:line="263" w:lineRule="exact"/>
        <w:rPr>
          <w:sz w:val="20"/>
          <w:szCs w:val="20"/>
          <w:color w:val="auto"/>
        </w:rPr>
      </w:pPr>
    </w:p>
    <w:p>
      <w:pPr>
        <w:ind w:left="1560"/>
        <w:spacing w:after="0"/>
        <w:rPr>
          <w:sz w:val="20"/>
          <w:szCs w:val="20"/>
          <w:color w:val="auto"/>
        </w:rPr>
      </w:pPr>
      <w:r>
        <w:rPr>
          <w:rFonts w:ascii="PMingLiU" w:cs="PMingLiU" w:eastAsia="PMingLiU" w:hAnsi="PMingLiU"/>
          <w:sz w:val="14"/>
          <w:szCs w:val="14"/>
          <w:color w:val="454546"/>
        </w:rPr>
        <w:t>(QDEOLQJ +' 9LGHR SOXV $,</w:t>
      </w:r>
    </w:p>
    <w:p>
      <w:pPr>
        <w:spacing w:after="0" w:line="45"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LQ HGJH GHYLFHV</w:t>
      </w:r>
    </w:p>
    <w:p>
      <w:pPr>
        <w:spacing w:after="0" w:line="323" w:lineRule="exact"/>
        <w:rPr>
          <w:sz w:val="20"/>
          <w:szCs w:val="20"/>
          <w:color w:val="auto"/>
        </w:rPr>
      </w:pPr>
    </w:p>
    <w:p>
      <w:pPr>
        <w:ind w:left="1560"/>
        <w:spacing w:after="0"/>
        <w:rPr>
          <w:sz w:val="20"/>
          <w:szCs w:val="20"/>
          <w:color w:val="auto"/>
        </w:rPr>
      </w:pPr>
      <w:r>
        <w:rPr>
          <w:rFonts w:ascii="PMingLiU" w:cs="PMingLiU" w:eastAsia="PMingLiU" w:hAnsi="PMingLiU"/>
          <w:sz w:val="12"/>
          <w:szCs w:val="12"/>
          <w:color w:val="454546"/>
        </w:rPr>
        <w:t>0XOWLFRUH PXOWLWKUHDGHG</w:t>
      </w:r>
    </w:p>
    <w:p>
      <w:pPr>
        <w:spacing w:after="0" w:line="69" w:lineRule="exact"/>
        <w:rPr>
          <w:sz w:val="20"/>
          <w:szCs w:val="20"/>
          <w:color w:val="auto"/>
        </w:rPr>
      </w:pPr>
    </w:p>
    <w:p>
      <w:pPr>
        <w:ind w:left="1560"/>
        <w:spacing w:after="0"/>
        <w:rPr>
          <w:sz w:val="20"/>
          <w:szCs w:val="20"/>
          <w:color w:val="auto"/>
        </w:rPr>
      </w:pPr>
      <w:r>
        <w:rPr>
          <w:rFonts w:ascii="PMingLiU" w:cs="PMingLiU" w:eastAsia="PMingLiU" w:hAnsi="PMingLiU"/>
          <w:sz w:val="16"/>
          <w:szCs w:val="16"/>
          <w:color w:val="454546"/>
        </w:rPr>
        <w:t>DUFKLWHFWXUH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6\VWHP ,QWHJUDWLRQ ([SHUWLVH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-631190</wp:posOffset>
                </wp:positionH>
                <wp:positionV relativeFrom="paragraph">
                  <wp:posOffset>236855</wp:posOffset>
                </wp:positionV>
                <wp:extent cx="3672840" cy="393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2840" cy="393700"/>
                        </a:xfrm>
                        <a:prstGeom prst="rect">
                          <a:avLst/>
                        </a:prstGeom>
                        <a:solidFill>
                          <a:srgbClr val="BDBFC1"/>
                        </a:solidFill>
                      </wps:spPr>
                      <wps:bodyPr/>
                    </wps:wsp>
                  </a:graphicData>
                </a:graphic>
              </wp:anchor>
            </w:drawing>
          </mc:Choice>
          <mc:Fallback>
            <w:pict>
              <v:rect id="Shape 16" o:spid="_x0000_s1041" style="position:absolute;margin-left:-49.6999pt;margin-top:18.65pt;width:289.2pt;height: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DBFC1" stroked="f"/>
            </w:pict>
          </mc:Fallback>
        </mc:AlternateContent>
        <mc:AlternateContent>
          <mc:Choice Requires="wps">
            <w:drawing>
              <wp:anchor simplePos="0" relativeHeight="251657728" behindDoc="1" locked="0" layoutInCell="0" allowOverlap="1">
                <wp:simplePos x="0" y="0"/>
                <wp:positionH relativeFrom="column">
                  <wp:posOffset>-631190</wp:posOffset>
                </wp:positionH>
                <wp:positionV relativeFrom="paragraph">
                  <wp:posOffset>-259715</wp:posOffset>
                </wp:positionV>
                <wp:extent cx="3665855" cy="4343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5855" cy="434340"/>
                        </a:xfrm>
                        <a:prstGeom prst="rect">
                          <a:avLst/>
                        </a:prstGeom>
                        <a:solidFill>
                          <a:srgbClr val="9A9C9E"/>
                        </a:solidFill>
                      </wps:spPr>
                      <wps:bodyPr/>
                    </wps:wsp>
                  </a:graphicData>
                </a:graphic>
              </wp:anchor>
            </w:drawing>
          </mc:Choice>
          <mc:Fallback>
            <w:pict>
              <v:rect id="Shape 17" o:spid="_x0000_s1042" style="position:absolute;margin-left:-49.6999pt;margin-top:-20.4499pt;width:288.65pt;height:3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A9C9E" stroked="f"/>
            </w:pict>
          </mc:Fallback>
        </mc:AlternateConten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)XQFWLRQDO 6DIHW\ 'HVLJQ 0HWKRGRORJ\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-631190</wp:posOffset>
                </wp:positionH>
                <wp:positionV relativeFrom="paragraph">
                  <wp:posOffset>240030</wp:posOffset>
                </wp:positionV>
                <wp:extent cx="3672840" cy="393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2840" cy="393700"/>
                        </a:xfrm>
                        <a:prstGeom prst="rect">
                          <a:avLst/>
                        </a:prstGeom>
                        <a:solidFill>
                          <a:srgbClr val="CCCED0"/>
                        </a:solidFill>
                      </wps:spPr>
                      <wps:bodyPr/>
                    </wps:wsp>
                  </a:graphicData>
                </a:graphic>
              </wp:anchor>
            </w:drawing>
          </mc:Choice>
          <mc:Fallback>
            <w:pict>
              <v:rect id="Shape 18" o:spid="_x0000_s1043" style="position:absolute;margin-left:-49.6999pt;margin-top:18.9pt;width:289.2pt;height: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ED0" stroked="f"/>
            </w:pict>
          </mc:Fallback>
        </mc:AlternateContent>
      </w: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FFFFFF"/>
        </w:rPr>
        <w:t>/RZ 3RZHU 'HVLJQ 0HWKRGRORJ\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-631190</wp:posOffset>
                </wp:positionH>
                <wp:positionV relativeFrom="paragraph">
                  <wp:posOffset>203200</wp:posOffset>
                </wp:positionV>
                <wp:extent cx="3672840" cy="393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2840" cy="393700"/>
                        </a:xfrm>
                        <a:prstGeom prst="rect">
                          <a:avLst/>
                        </a:prstGeom>
                        <a:solidFill>
                          <a:srgbClr val="ABADB0"/>
                        </a:solidFill>
                      </wps:spPr>
                      <wps:bodyPr/>
                    </wps:wsp>
                  </a:graphicData>
                </a:graphic>
              </wp:anchor>
            </w:drawing>
          </mc:Choice>
          <mc:Fallback>
            <w:pict>
              <v:rect id="Shape 19" o:spid="_x0000_s1044" style="position:absolute;margin-left:-49.6999pt;margin-top:16pt;width:289.2pt;height: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BADB0" stroked="f"/>
            </w:pict>
          </mc:Fallback>
        </mc:AlternateConten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+LJK 3HUIRUPDQFH &amp;KLS $UFKLWHFWXUH</w:t>
      </w:r>
    </w:p>
    <w:p>
      <w:pPr>
        <w:spacing w:after="0" w:line="324" w:lineRule="exact"/>
        <w:rPr>
          <w:sz w:val="20"/>
          <w:szCs w:val="20"/>
          <w:color w:val="auto"/>
        </w:rPr>
      </w:pPr>
    </w:p>
    <w:p>
      <w:pPr>
        <w:sectPr>
          <w:pgSz w:w="12240" w:h="15840" w:orient="portrait"/>
          <w:cols w:equalWidth="0" w:num="2">
            <w:col w:w="3960" w:space="720"/>
            <w:col w:w="6040"/>
          </w:cols>
          <w:pgMar w:left="720" w:top="976" w:right="800" w:bottom="175" w:gutter="0" w:footer="0" w:header="0"/>
          <w:type w:val="continuous"/>
        </w:sectPr>
      </w:pPr>
    </w:p>
    <w:tbl>
      <w:tblPr>
        <w:tblLayout w:type="fixed"/>
        <w:tblInd w:w="3680" w:type="dxa"/>
        <w:tblCellMar>
          <w:top w:w="0" w:type="dxa"/>
          <w:left w:w="0" w:type="dxa"/>
          <w:bottom w:w="0" w:type="dxa"/>
          <w:right w:w="0" w:type="dxa"/>
        </w:tblCellMar>
      </w:tblPr>
      <w:tr>
        <w:trPr>
          <w:trHeight w:val="50"/>
        </w:trPr>
        <w:tc>
          <w:tcPr>
            <w:tcW w:w="1400" w:type="dxa"/>
            <w:vAlign w:val="bottom"/>
            <w:shd w:val="clear" w:color="auto" w:fill="7E8082"/>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4"/>
        </w:trPr>
        <w:tc>
          <w:tcPr>
            <w:tcW w:w="1400" w:type="dxa"/>
            <w:vAlign w:val="bottom"/>
            <w:shd w:val="clear" w:color="auto" w:fill="7E8082"/>
          </w:tcPr>
          <w:p>
            <w:pPr>
              <w:jc w:val="center"/>
              <w:spacing w:after="0"/>
              <w:rPr>
                <w:sz w:val="20"/>
                <w:szCs w:val="20"/>
                <w:color w:val="auto"/>
              </w:rPr>
            </w:pPr>
            <w:r>
              <w:rPr>
                <w:rFonts w:ascii="Arial" w:cs="Arial" w:eastAsia="Arial" w:hAnsi="Arial"/>
                <w:sz w:val="14"/>
                <w:szCs w:val="14"/>
                <w:color w:val="FFFFFF"/>
              </w:rPr>
              <w:t>Advanced Image</w:t>
            </w:r>
          </w:p>
        </w:tc>
        <w:tc>
          <w:tcPr>
            <w:tcW w:w="120" w:type="dxa"/>
            <w:vAlign w:val="bottom"/>
          </w:tcPr>
          <w:p>
            <w:pPr>
              <w:spacing w:after="0"/>
              <w:rPr>
                <w:sz w:val="24"/>
                <w:szCs w:val="24"/>
                <w:color w:val="auto"/>
              </w:rPr>
            </w:pPr>
          </w:p>
        </w:tc>
        <w:tc>
          <w:tcPr>
            <w:tcW w:w="1360" w:type="dxa"/>
            <w:vAlign w:val="bottom"/>
            <w:shd w:val="clear" w:color="auto" w:fill="7E8082"/>
          </w:tcPr>
          <w:p>
            <w:pPr>
              <w:jc w:val="center"/>
              <w:ind w:left="31"/>
              <w:spacing w:after="0"/>
              <w:rPr>
                <w:sz w:val="20"/>
                <w:szCs w:val="20"/>
                <w:color w:val="auto"/>
              </w:rPr>
            </w:pPr>
            <w:r>
              <w:rPr>
                <w:rFonts w:ascii="Arial" w:cs="Arial" w:eastAsia="Arial" w:hAnsi="Arial"/>
                <w:sz w:val="14"/>
                <w:szCs w:val="14"/>
                <w:color w:val="FFFFFF"/>
              </w:rPr>
              <w:t>Smart</w:t>
            </w:r>
          </w:p>
        </w:tc>
        <w:tc>
          <w:tcPr>
            <w:tcW w:w="100" w:type="dxa"/>
            <w:vAlign w:val="bottom"/>
          </w:tcPr>
          <w:p>
            <w:pPr>
              <w:spacing w:after="0"/>
              <w:rPr>
                <w:sz w:val="24"/>
                <w:szCs w:val="24"/>
                <w:color w:val="auto"/>
              </w:rPr>
            </w:pPr>
          </w:p>
        </w:tc>
        <w:tc>
          <w:tcPr>
            <w:tcW w:w="1340" w:type="dxa"/>
            <w:vAlign w:val="bottom"/>
            <w:shd w:val="clear" w:color="auto" w:fill="7E8082"/>
          </w:tcPr>
          <w:p>
            <w:pPr>
              <w:jc w:val="center"/>
              <w:spacing w:after="0"/>
              <w:rPr>
                <w:sz w:val="20"/>
                <w:szCs w:val="20"/>
                <w:color w:val="auto"/>
              </w:rPr>
            </w:pPr>
            <w:r>
              <w:rPr>
                <w:rFonts w:ascii="Arial" w:cs="Arial" w:eastAsia="Arial" w:hAnsi="Arial"/>
                <w:sz w:val="14"/>
                <w:szCs w:val="14"/>
                <w:color w:val="FFFFFF"/>
              </w:rPr>
              <w:t>Oculii</w:t>
            </w:r>
          </w:p>
        </w:tc>
        <w:tc>
          <w:tcPr>
            <w:tcW w:w="120" w:type="dxa"/>
            <w:vAlign w:val="bottom"/>
          </w:tcPr>
          <w:p>
            <w:pPr>
              <w:spacing w:after="0"/>
              <w:rPr>
                <w:sz w:val="24"/>
                <w:szCs w:val="24"/>
                <w:color w:val="auto"/>
              </w:rPr>
            </w:pPr>
          </w:p>
        </w:tc>
        <w:tc>
          <w:tcPr>
            <w:tcW w:w="1320" w:type="dxa"/>
            <w:vAlign w:val="bottom"/>
            <w:shd w:val="clear" w:color="auto" w:fill="7E8082"/>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00" w:type="dxa"/>
            <w:vAlign w:val="bottom"/>
            <w:shd w:val="clear" w:color="auto" w:fill="7E8082"/>
          </w:tcPr>
          <w:p>
            <w:pPr>
              <w:jc w:val="center"/>
              <w:spacing w:after="0"/>
              <w:rPr>
                <w:sz w:val="20"/>
                <w:szCs w:val="20"/>
                <w:color w:val="auto"/>
              </w:rPr>
            </w:pPr>
            <w:r>
              <w:rPr>
                <w:rFonts w:ascii="Arial" w:cs="Arial" w:eastAsia="Arial" w:hAnsi="Arial"/>
                <w:sz w:val="14"/>
                <w:szCs w:val="14"/>
                <w:color w:val="FFFFFF"/>
              </w:rPr>
              <w:t>Processing, AI-</w:t>
            </w:r>
          </w:p>
        </w:tc>
        <w:tc>
          <w:tcPr>
            <w:tcW w:w="120" w:type="dxa"/>
            <w:vAlign w:val="bottom"/>
          </w:tcPr>
          <w:p>
            <w:pPr>
              <w:spacing w:after="0"/>
              <w:rPr>
                <w:sz w:val="14"/>
                <w:szCs w:val="14"/>
                <w:color w:val="auto"/>
              </w:rPr>
            </w:pPr>
          </w:p>
        </w:tc>
        <w:tc>
          <w:tcPr>
            <w:tcW w:w="1360" w:type="dxa"/>
            <w:vAlign w:val="bottom"/>
            <w:shd w:val="clear" w:color="auto" w:fill="7E8082"/>
          </w:tcPr>
          <w:p>
            <w:pPr>
              <w:jc w:val="center"/>
              <w:ind w:left="31"/>
              <w:spacing w:after="0"/>
              <w:rPr>
                <w:sz w:val="20"/>
                <w:szCs w:val="20"/>
                <w:color w:val="auto"/>
              </w:rPr>
            </w:pPr>
            <w:r>
              <w:rPr>
                <w:rFonts w:ascii="Arial" w:cs="Arial" w:eastAsia="Arial" w:hAnsi="Arial"/>
                <w:sz w:val="14"/>
                <w:szCs w:val="14"/>
                <w:color w:val="FFFFFF"/>
              </w:rPr>
              <w:t>H.264/H.265</w:t>
            </w:r>
          </w:p>
        </w:tc>
        <w:tc>
          <w:tcPr>
            <w:tcW w:w="100" w:type="dxa"/>
            <w:vAlign w:val="bottom"/>
          </w:tcPr>
          <w:p>
            <w:pPr>
              <w:spacing w:after="0"/>
              <w:rPr>
                <w:sz w:val="14"/>
                <w:szCs w:val="14"/>
                <w:color w:val="auto"/>
              </w:rPr>
            </w:pPr>
          </w:p>
        </w:tc>
        <w:tc>
          <w:tcPr>
            <w:tcW w:w="1340" w:type="dxa"/>
            <w:vAlign w:val="bottom"/>
            <w:shd w:val="clear" w:color="auto" w:fill="7E8082"/>
          </w:tcPr>
          <w:p>
            <w:pPr>
              <w:jc w:val="center"/>
              <w:spacing w:after="0"/>
              <w:rPr>
                <w:sz w:val="20"/>
                <w:szCs w:val="20"/>
                <w:color w:val="auto"/>
              </w:rPr>
            </w:pPr>
            <w:r>
              <w:rPr>
                <w:rFonts w:ascii="Arial" w:cs="Arial" w:eastAsia="Arial" w:hAnsi="Arial"/>
                <w:sz w:val="14"/>
                <w:szCs w:val="14"/>
                <w:color w:val="FFFFFF"/>
              </w:rPr>
              <w:t>Patented Adaptive</w:t>
            </w:r>
          </w:p>
        </w:tc>
        <w:tc>
          <w:tcPr>
            <w:tcW w:w="120" w:type="dxa"/>
            <w:vAlign w:val="bottom"/>
          </w:tcPr>
          <w:p>
            <w:pPr>
              <w:spacing w:after="0"/>
              <w:rPr>
                <w:sz w:val="14"/>
                <w:szCs w:val="14"/>
                <w:color w:val="auto"/>
              </w:rPr>
            </w:pPr>
          </w:p>
        </w:tc>
        <w:tc>
          <w:tcPr>
            <w:tcW w:w="1320" w:type="dxa"/>
            <w:vAlign w:val="bottom"/>
            <w:vMerge w:val="restart"/>
            <w:shd w:val="clear" w:color="auto" w:fill="7E8082"/>
          </w:tcPr>
          <w:p>
            <w:pPr>
              <w:jc w:val="center"/>
              <w:ind w:right="31"/>
              <w:spacing w:after="0"/>
              <w:rPr>
                <w:sz w:val="20"/>
                <w:szCs w:val="20"/>
                <w:color w:val="auto"/>
              </w:rPr>
            </w:pPr>
            <w:r>
              <w:rPr>
                <w:rFonts w:ascii="Arial" w:cs="Arial" w:eastAsia="Arial" w:hAnsi="Arial"/>
                <w:sz w:val="14"/>
                <w:szCs w:val="14"/>
                <w:color w:val="FFFFFF"/>
                <w:w w:val="99"/>
              </w:rPr>
              <w:t>Deep Neural</w:t>
            </w:r>
          </w:p>
        </w:tc>
        <w:tc>
          <w:tcPr>
            <w:tcW w:w="0" w:type="dxa"/>
            <w:vAlign w:val="bottom"/>
          </w:tcPr>
          <w:p>
            <w:pPr>
              <w:spacing w:after="0"/>
              <w:rPr>
                <w:sz w:val="1"/>
                <w:szCs w:val="1"/>
                <w:color w:val="auto"/>
              </w:rPr>
            </w:pPr>
          </w:p>
        </w:tc>
      </w:tr>
      <w:tr>
        <w:trPr>
          <w:trHeight w:val="43"/>
        </w:trPr>
        <w:tc>
          <w:tcPr>
            <w:tcW w:w="1400" w:type="dxa"/>
            <w:vAlign w:val="bottom"/>
            <w:vMerge w:val="restart"/>
            <w:shd w:val="clear" w:color="auto" w:fill="7E8082"/>
          </w:tcPr>
          <w:p>
            <w:pPr>
              <w:jc w:val="center"/>
              <w:spacing w:after="0"/>
              <w:rPr>
                <w:sz w:val="20"/>
                <w:szCs w:val="20"/>
                <w:color w:val="auto"/>
              </w:rPr>
            </w:pPr>
            <w:r>
              <w:rPr>
                <w:rFonts w:ascii="Arial" w:cs="Arial" w:eastAsia="Arial" w:hAnsi="Arial"/>
                <w:sz w:val="14"/>
                <w:szCs w:val="14"/>
                <w:color w:val="FFFFFF"/>
                <w:w w:val="99"/>
              </w:rPr>
              <w:t>Based Image</w:t>
            </w:r>
          </w:p>
        </w:tc>
        <w:tc>
          <w:tcPr>
            <w:tcW w:w="120" w:type="dxa"/>
            <w:vAlign w:val="bottom"/>
          </w:tcPr>
          <w:p>
            <w:pPr>
              <w:spacing w:after="0"/>
              <w:rPr>
                <w:sz w:val="3"/>
                <w:szCs w:val="3"/>
                <w:color w:val="auto"/>
              </w:rPr>
            </w:pPr>
          </w:p>
        </w:tc>
        <w:tc>
          <w:tcPr>
            <w:tcW w:w="1360" w:type="dxa"/>
            <w:vAlign w:val="bottom"/>
            <w:vMerge w:val="restart"/>
            <w:shd w:val="clear" w:color="auto" w:fill="7E8082"/>
          </w:tcPr>
          <w:p>
            <w:pPr>
              <w:jc w:val="center"/>
              <w:ind w:left="11"/>
              <w:spacing w:after="0"/>
              <w:rPr>
                <w:sz w:val="20"/>
                <w:szCs w:val="20"/>
                <w:color w:val="auto"/>
              </w:rPr>
            </w:pPr>
            <w:r>
              <w:rPr>
                <w:rFonts w:ascii="Arial" w:cs="Arial" w:eastAsia="Arial" w:hAnsi="Arial"/>
                <w:sz w:val="14"/>
                <w:szCs w:val="14"/>
                <w:color w:val="FFFFFF"/>
              </w:rPr>
              <w:t>Video</w:t>
            </w:r>
          </w:p>
        </w:tc>
        <w:tc>
          <w:tcPr>
            <w:tcW w:w="100" w:type="dxa"/>
            <w:vAlign w:val="bottom"/>
          </w:tcPr>
          <w:p>
            <w:pPr>
              <w:spacing w:after="0"/>
              <w:rPr>
                <w:sz w:val="3"/>
                <w:szCs w:val="3"/>
                <w:color w:val="auto"/>
              </w:rPr>
            </w:pPr>
          </w:p>
        </w:tc>
        <w:tc>
          <w:tcPr>
            <w:tcW w:w="1340" w:type="dxa"/>
            <w:vAlign w:val="bottom"/>
            <w:vMerge w:val="restart"/>
            <w:shd w:val="clear" w:color="auto" w:fill="7E8082"/>
          </w:tcPr>
          <w:p>
            <w:pPr>
              <w:jc w:val="center"/>
              <w:spacing w:after="0"/>
              <w:rPr>
                <w:sz w:val="20"/>
                <w:szCs w:val="20"/>
                <w:color w:val="auto"/>
              </w:rPr>
            </w:pPr>
            <w:r>
              <w:rPr>
                <w:rFonts w:ascii="Arial" w:cs="Arial" w:eastAsia="Arial" w:hAnsi="Arial"/>
                <w:sz w:val="14"/>
                <w:szCs w:val="14"/>
                <w:color w:val="FFFFFF"/>
                <w:w w:val="97"/>
              </w:rPr>
              <w:t>AI Radar</w:t>
            </w:r>
          </w:p>
        </w:tc>
        <w:tc>
          <w:tcPr>
            <w:tcW w:w="120" w:type="dxa"/>
            <w:vAlign w:val="bottom"/>
          </w:tcPr>
          <w:p>
            <w:pPr>
              <w:spacing w:after="0"/>
              <w:rPr>
                <w:sz w:val="3"/>
                <w:szCs w:val="3"/>
                <w:color w:val="auto"/>
              </w:rPr>
            </w:pPr>
          </w:p>
        </w:tc>
        <w:tc>
          <w:tcPr>
            <w:tcW w:w="1320" w:type="dxa"/>
            <w:vAlign w:val="bottom"/>
            <w:vMerge w:val="continue"/>
            <w:shd w:val="clear" w:color="auto" w:fill="7E8082"/>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400" w:type="dxa"/>
            <w:vAlign w:val="bottom"/>
            <w:vMerge w:val="continue"/>
            <w:shd w:val="clear" w:color="auto" w:fill="7E8082"/>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shd w:val="clear" w:color="auto" w:fill="7E8082"/>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shd w:val="clear" w:color="auto" w:fill="7E8082"/>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shd w:val="clear" w:color="auto" w:fill="7E8082"/>
          </w:tcPr>
          <w:p>
            <w:pPr>
              <w:jc w:val="center"/>
              <w:ind w:right="31"/>
              <w:spacing w:after="0"/>
              <w:rPr>
                <w:sz w:val="20"/>
                <w:szCs w:val="20"/>
                <w:color w:val="auto"/>
              </w:rPr>
            </w:pPr>
            <w:r>
              <w:rPr>
                <w:rFonts w:ascii="Arial" w:cs="Arial" w:eastAsia="Arial" w:hAnsi="Arial"/>
                <w:sz w:val="14"/>
                <w:szCs w:val="14"/>
                <w:color w:val="FFFFFF"/>
              </w:rPr>
              <w:t>Network AI</w:t>
            </w:r>
          </w:p>
        </w:tc>
        <w:tc>
          <w:tcPr>
            <w:tcW w:w="0" w:type="dxa"/>
            <w:vAlign w:val="bottom"/>
          </w:tcPr>
          <w:p>
            <w:pPr>
              <w:spacing w:after="0"/>
              <w:rPr>
                <w:sz w:val="1"/>
                <w:szCs w:val="1"/>
                <w:color w:val="auto"/>
              </w:rPr>
            </w:pPr>
          </w:p>
        </w:tc>
      </w:tr>
      <w:tr>
        <w:trPr>
          <w:trHeight w:val="43"/>
        </w:trPr>
        <w:tc>
          <w:tcPr>
            <w:tcW w:w="1400" w:type="dxa"/>
            <w:vAlign w:val="bottom"/>
            <w:vMerge w:val="restart"/>
            <w:shd w:val="clear" w:color="auto" w:fill="7E8082"/>
          </w:tcPr>
          <w:p>
            <w:pPr>
              <w:jc w:val="center"/>
              <w:spacing w:after="0"/>
              <w:rPr>
                <w:sz w:val="20"/>
                <w:szCs w:val="20"/>
                <w:color w:val="auto"/>
              </w:rPr>
            </w:pPr>
            <w:r>
              <w:rPr>
                <w:rFonts w:ascii="Arial" w:cs="Arial" w:eastAsia="Arial" w:hAnsi="Arial"/>
                <w:sz w:val="14"/>
                <w:szCs w:val="14"/>
                <w:color w:val="FFFFFF"/>
              </w:rPr>
              <w:t>Processing</w:t>
            </w:r>
          </w:p>
        </w:tc>
        <w:tc>
          <w:tcPr>
            <w:tcW w:w="120" w:type="dxa"/>
            <w:vAlign w:val="bottom"/>
          </w:tcPr>
          <w:p>
            <w:pPr>
              <w:spacing w:after="0"/>
              <w:rPr>
                <w:sz w:val="3"/>
                <w:szCs w:val="3"/>
                <w:color w:val="auto"/>
              </w:rPr>
            </w:pPr>
          </w:p>
        </w:tc>
        <w:tc>
          <w:tcPr>
            <w:tcW w:w="1360" w:type="dxa"/>
            <w:vAlign w:val="bottom"/>
            <w:vMerge w:val="restart"/>
            <w:shd w:val="clear" w:color="auto" w:fill="7E8082"/>
          </w:tcPr>
          <w:p>
            <w:pPr>
              <w:jc w:val="center"/>
              <w:ind w:left="11"/>
              <w:spacing w:after="0"/>
              <w:rPr>
                <w:sz w:val="20"/>
                <w:szCs w:val="20"/>
                <w:color w:val="auto"/>
              </w:rPr>
            </w:pPr>
            <w:r>
              <w:rPr>
                <w:rFonts w:ascii="Arial" w:cs="Arial" w:eastAsia="Arial" w:hAnsi="Arial"/>
                <w:sz w:val="14"/>
                <w:szCs w:val="14"/>
                <w:color w:val="FFFFFF"/>
              </w:rPr>
              <w:t>Compression</w:t>
            </w:r>
          </w:p>
        </w:tc>
        <w:tc>
          <w:tcPr>
            <w:tcW w:w="100" w:type="dxa"/>
            <w:vAlign w:val="bottom"/>
          </w:tcPr>
          <w:p>
            <w:pPr>
              <w:spacing w:after="0"/>
              <w:rPr>
                <w:sz w:val="3"/>
                <w:szCs w:val="3"/>
                <w:color w:val="auto"/>
              </w:rPr>
            </w:pPr>
          </w:p>
        </w:tc>
        <w:tc>
          <w:tcPr>
            <w:tcW w:w="1340" w:type="dxa"/>
            <w:vAlign w:val="bottom"/>
            <w:vMerge w:val="restart"/>
            <w:shd w:val="clear" w:color="auto" w:fill="7E8082"/>
          </w:tcPr>
          <w:p>
            <w:pPr>
              <w:jc w:val="center"/>
              <w:spacing w:after="0"/>
              <w:rPr>
                <w:sz w:val="20"/>
                <w:szCs w:val="20"/>
                <w:color w:val="auto"/>
              </w:rPr>
            </w:pPr>
            <w:r>
              <w:rPr>
                <w:rFonts w:ascii="Arial" w:cs="Arial" w:eastAsia="Arial" w:hAnsi="Arial"/>
                <w:sz w:val="14"/>
                <w:szCs w:val="14"/>
                <w:color w:val="FFFFFF"/>
              </w:rPr>
              <w:t>Algorithms</w:t>
            </w:r>
          </w:p>
        </w:tc>
        <w:tc>
          <w:tcPr>
            <w:tcW w:w="120" w:type="dxa"/>
            <w:vAlign w:val="bottom"/>
          </w:tcPr>
          <w:p>
            <w:pPr>
              <w:spacing w:after="0"/>
              <w:rPr>
                <w:sz w:val="3"/>
                <w:szCs w:val="3"/>
                <w:color w:val="auto"/>
              </w:rPr>
            </w:pPr>
          </w:p>
        </w:tc>
        <w:tc>
          <w:tcPr>
            <w:tcW w:w="1320" w:type="dxa"/>
            <w:vAlign w:val="bottom"/>
            <w:vMerge w:val="continue"/>
            <w:shd w:val="clear" w:color="auto" w:fill="7E8082"/>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1400" w:type="dxa"/>
            <w:vAlign w:val="bottom"/>
            <w:vMerge w:val="continue"/>
            <w:shd w:val="clear" w:color="auto" w:fill="7E8082"/>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shd w:val="clear" w:color="auto" w:fill="7E8082"/>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shd w:val="clear" w:color="auto" w:fill="7E8082"/>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shd w:val="clear" w:color="auto" w:fill="7E8082"/>
          </w:tcPr>
          <w:p>
            <w:pPr>
              <w:jc w:val="center"/>
              <w:ind w:right="11"/>
              <w:spacing w:after="0"/>
              <w:rPr>
                <w:sz w:val="20"/>
                <w:szCs w:val="20"/>
                <w:color w:val="auto"/>
              </w:rPr>
            </w:pPr>
            <w:r>
              <w:rPr>
                <w:rFonts w:ascii="Arial" w:cs="Arial" w:eastAsia="Arial" w:hAnsi="Arial"/>
                <w:sz w:val="14"/>
                <w:szCs w:val="14"/>
                <w:color w:val="FFFFFF"/>
              </w:rPr>
              <w:t>Processor</w:t>
            </w:r>
          </w:p>
        </w:tc>
        <w:tc>
          <w:tcPr>
            <w:tcW w:w="0" w:type="dxa"/>
            <w:vAlign w:val="bottom"/>
          </w:tcPr>
          <w:p>
            <w:pPr>
              <w:spacing w:after="0"/>
              <w:rPr>
                <w:sz w:val="1"/>
                <w:szCs w:val="1"/>
                <w:color w:val="auto"/>
              </w:rPr>
            </w:pPr>
          </w:p>
        </w:tc>
      </w:tr>
      <w:tr>
        <w:trPr>
          <w:trHeight w:val="42"/>
        </w:trPr>
        <w:tc>
          <w:tcPr>
            <w:tcW w:w="1400" w:type="dxa"/>
            <w:vAlign w:val="bottom"/>
            <w:shd w:val="clear" w:color="auto" w:fill="7E8082"/>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shd w:val="clear" w:color="auto" w:fill="7E8082"/>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shd w:val="clear" w:color="auto" w:fill="7E8082"/>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vMerge w:val="continue"/>
            <w:shd w:val="clear" w:color="auto" w:fill="7E8082"/>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7E8082"/>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shd w:val="clear" w:color="auto" w:fill="7E8082"/>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shd w:val="clear" w:color="auto" w:fill="7E8082"/>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shd w:val="clear" w:color="auto" w:fill="7E8082"/>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shd w:val="clear" w:color="auto" w:fill="7E8082"/>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shd w:val="clear" w:color="auto" w:fill="7E8082"/>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shd w:val="clear" w:color="auto" w:fill="7E808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2339975</wp:posOffset>
                </wp:positionH>
                <wp:positionV relativeFrom="paragraph">
                  <wp:posOffset>49530</wp:posOffset>
                </wp:positionV>
                <wp:extent cx="3673475" cy="30670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3475" cy="306705"/>
                        </a:xfrm>
                        <a:prstGeom prst="rect">
                          <a:avLst/>
                        </a:prstGeom>
                        <a:solidFill>
                          <a:srgbClr val="8D8F91"/>
                        </a:solidFill>
                      </wps:spPr>
                      <wps:bodyPr/>
                    </wps:wsp>
                  </a:graphicData>
                </a:graphic>
              </wp:anchor>
            </w:drawing>
          </mc:Choice>
          <mc:Fallback>
            <w:pict>
              <v:rect id="Shape 20" o:spid="_x0000_s1045" style="position:absolute;margin-left:184.25pt;margin-top:3.9pt;width:289.25pt;height:24.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D8F91" stroked="f"/>
            </w:pict>
          </mc:Fallback>
        </mc:AlternateContent>
        <w:drawing>
          <wp:anchor simplePos="0" relativeHeight="251657728" behindDoc="1" locked="0" layoutInCell="0" allowOverlap="1">
            <wp:simplePos x="0" y="0"/>
            <wp:positionH relativeFrom="column">
              <wp:posOffset>2574290</wp:posOffset>
            </wp:positionH>
            <wp:positionV relativeFrom="paragraph">
              <wp:posOffset>-1125855</wp:posOffset>
            </wp:positionV>
            <wp:extent cx="419100" cy="418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extLst>
                    </a:blip>
                    <a:srcRect/>
                    <a:stretch>
                      <a:fillRect/>
                    </a:stretch>
                  </pic:blipFill>
                  <pic:spPr bwMode="auto">
                    <a:xfrm>
                      <a:off x="0" y="0"/>
                      <a:ext cx="419100" cy="41846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-1122045</wp:posOffset>
            </wp:positionV>
            <wp:extent cx="445770" cy="41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extLst>
                    </a:blip>
                    <a:srcRect/>
                    <a:stretch>
                      <a:fillRect/>
                    </a:stretch>
                  </pic:blipFill>
                  <pic:spPr bwMode="auto">
                    <a:xfrm>
                      <a:off x="0" y="0"/>
                      <a:ext cx="445770" cy="410210"/>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-1186180</wp:posOffset>
            </wp:positionV>
            <wp:extent cx="579120"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extLst>
                    </a:blip>
                    <a:srcRect/>
                    <a:stretch>
                      <a:fillRect/>
                    </a:stretch>
                  </pic:blipFill>
                  <pic:spPr bwMode="auto">
                    <a:xfrm>
                      <a:off x="0" y="0"/>
                      <a:ext cx="579120" cy="67754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-1153160</wp:posOffset>
            </wp:positionV>
            <wp:extent cx="443865" cy="441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extLst>
                    </a:blip>
                    <a:srcRect/>
                    <a:stretch>
                      <a:fillRect/>
                    </a:stretch>
                  </pic:blipFill>
                  <pic:spPr bwMode="auto">
                    <a:xfrm>
                      <a:off x="0" y="0"/>
                      <a:ext cx="443865" cy="441325"/>
                    </a:xfrm>
                    <a:prstGeom prst="rect">
                      <a:avLst/>
                    </a:prstGeom>
                    <a:noFill/>
                  </pic:spPr>
                </pic:pic>
              </a:graphicData>
            </a:graphic>
          </wp:anchor>
        </w:drawing>
      </w:r>
    </w:p>
    <w:p>
      <w:pPr>
        <w:spacing w:after="0" w:line="144" w:lineRule="exact"/>
        <w:rPr>
          <w:sz w:val="20"/>
          <w:szCs w:val="20"/>
          <w:color w:val="auto"/>
        </w:rPr>
      </w:pPr>
    </w:p>
    <w:p>
      <w:pPr>
        <w:ind w:left="4820"/>
        <w:spacing w:after="0"/>
        <w:rPr>
          <w:sz w:val="20"/>
          <w:szCs w:val="20"/>
          <w:color w:val="auto"/>
        </w:rPr>
      </w:pPr>
      <w:r>
        <w:rPr>
          <w:rFonts w:ascii="PMingLiU" w:cs="PMingLiU" w:eastAsia="PMingLiU" w:hAnsi="PMingLiU"/>
          <w:sz w:val="23"/>
          <w:szCs w:val="23"/>
          <w:b w:val="1"/>
          <w:bCs w:val="1"/>
          <w:color w:val="FFFFFF"/>
        </w:rPr>
        <w:t>  ,QWHUQDWLRQDO 3DWHQWV )LOHG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Our technology platform enables the capture of high-resolution still images and UHD video while simultaneously performing CV processing and encoding for high-quality storage and lower resolution real time streaming.</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CVflow</w:t>
      </w:r>
    </w:p>
    <w:p>
      <w:pPr>
        <w:spacing w:after="0" w:line="23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Our proprietary AI computer vision processing architecture, known as CVflow®, uses a flexible hardware engine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Our CVflow engine is also capable of running large language model inferencing, with models up to 34 billion parameters run on a single N-1 SoC. The CVflow architecture also supports a variety of other algorithms, including radar processing, stereo obstacle detection and sensor fusion. Our third generation CVflow-based SoCs enable efficient processing or transformer AI networks, which are an enabling technology for next generation automotive and generative AI markets. Our platform allows customers to differentiate their products by porting and optimizing their own algorithms and neural networks to our CVflow-based chips using industry-standard training tools and APIs.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Computer Vision and Radar Technology</w:t>
      </w:r>
    </w:p>
    <w:p>
      <w:pPr>
        <w:spacing w:after="0" w:line="23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Computer vision is a core technology that complements our proprietary image processing and video compression technology. We have developed efficient deep learning algorithms for object detection and segmentation leveraging our deep understanding of the CVflow processor. A significant feature of our third generation CVflow SoCs is support for HD stereo and HD radar based depth and velocity sensing. We believe HD stereo and HD radar are complementary sensor modalities that provide robust depth information after fusion. This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and radar detect obstacles without relying on training for specific obstacle categories because the depth information is used to directly construct a three-dimensional model of the camera’s surroundings, including any obstacles. This allows more robust decisions to be made in applications such as autonomous driving.</w:t>
      </w:r>
    </w:p>
    <w:p>
      <w:pPr>
        <w:sectPr>
          <w:pgSz w:w="12240" w:h="15840" w:orient="portrait"/>
          <w:cols w:equalWidth="0" w:num="1">
            <w:col w:w="10720"/>
          </w:cols>
          <w:pgMar w:left="720" w:top="976" w:right="800" w:bottom="175"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54546"/>
        </w:rPr>
        <w:t>11</w:t>
      </w:r>
    </w:p>
    <w:p>
      <w:pPr>
        <w:sectPr>
          <w:pgSz w:w="12240" w:h="15840" w:orient="portrait"/>
          <w:cols w:equalWidth="0" w:num="1">
            <w:col w:w="10720"/>
          </w:cols>
          <w:pgMar w:left="720" w:top="976" w:right="800" w:bottom="175" w:gutter="0" w:footer="0" w:header="0"/>
          <w:type w:val="continuous"/>
        </w:sectPr>
      </w:pPr>
    </w:p>
    <w:bookmarkStart w:id="16" w:name="page17"/>
    <w:bookmarkEnd w:id="16"/>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Compatible Family of SoC Solutions</w:t>
      </w:r>
    </w:p>
    <w:p>
      <w:pPr>
        <w:spacing w:after="0" w:line="23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Our current SoC designs integrate our fully-programmable and highly-efficient CVflow architecture, UHD image processing and video compression, applications processing and system functions onto a single chip, delivering exceptional performance, quality and power efficiency with differentiated features. Our multi-core DSP architecture is highly scalable and balances software programmability with hardware-accelerated performance to achieve extremely low power consumption and maximized camera battery life. We have used this scalability to develop an extensive family of software compatible SoCs with a wide range of performance and price points (CV28, CV25, CV22, CV2, CV2FS, CV5, CV72, CV3 AD685, and CV-3 High Dev). This scalable, programmable architecture provides our customers with the flexibility they need to quickly develop a wide range of differentiated products. Additionally, our SoCs integrate mixed signal (analog/digital) functionality and high speed interfaces required for interfacing to advanced high-speed CMOS sensors and industry standard interfaces such as PCI-E, USB 3.2 and HDMI 2.0. Our next generation CV3 family extends our CVflow architecture to cover L2+/L3/L4 autonomous driving and other high performance safety critical applications. The CV3 family will cover multiple performance and price points with a software compatible SDK.</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Software Development Kits</w:t>
      </w:r>
    </w:p>
    <w:p>
      <w:pPr>
        <w:spacing w:after="0" w:line="23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454546"/>
        </w:rPr>
        <w:t>We provide to our customers fully-functional software development kits with a suite of APIs which allow customers to rapidly integrate our solution, adjust product specifications and provide additional functionality to their systems, thereby enabling them to differentiate their product offerings and reduce time to market. We have software development kits for all of our core markets.</w:t>
      </w:r>
    </w:p>
    <w:p>
      <w:pPr>
        <w:spacing w:after="0" w:line="17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454546"/>
        </w:rPr>
        <w:t>We also provide a toolkit to accelerate the development of computer vision algorithms onto our hardware. We provide tools to map and optimize algorithms developed in commonly used computer vision frameworks such as PyTorch or TensorFlow into our proprietary CVflow architecture. We also provide a framework for development of higher- level computer vision tasks. This enables our customers to write complex computer vision algorithms with multiple tasks running in parallel on multiple processing engines, as would be required in applications such as autonomous driving.</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Software Modules</w:t>
      </w:r>
    </w:p>
    <w:p>
      <w:pPr>
        <w:spacing w:after="0" w:line="23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We are developing optimized software modules to give customers the option to leverage our expertise and reduce development time and expense. These modules include HD radar processing for standalone and central radar processing, DL based low light and HDR image processing, monocular and stereo camera perception, and autonomous driving stack modules optimized for the CV3 family, including fusion for multiple cameras and sensor modalities, mapping and localization algorithms and planning.</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AmbaClear</w:t>
      </w:r>
    </w:p>
    <w:p>
      <w:pPr>
        <w:spacing w:after="0" w:line="23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Our proprietary image signal processing architecture, known as AmbaClear, incorporates advanced algorithms to convert raw sensor data to UHD video and/or still images. Image processing algorithms include sensor, lens and color correction, HDR tone mapping, color processing and de-mosaicing to reconstruct a full color image from incomplete color samples and specialized color filters, noise filtering, detail enhancement and image format conversion. For example, raw sensor data can be captured at up to 32-megapixel (8K) resolution at 60 frames per second. This image processing reduces noise in the sensor data and improves color, contrast and sharpness resulting in improved computer vision performance, enhanced human viewing and enhanced storage and transmission efficiencies. Our WDR and HDR processing capabilities handle greater dynamic range between the lightest and darkest areas of an image, permitting video images to reveal details that would otherwise be lost against a bright background. We have developed efficient scalable deep learning algorithms for advanced low light processing and HDR tone mapping that augment our image processing hardware. These algorithms provide significant image quality improvements over our standard image processing while running in real time at HD and higher resolutions. Our advanced de-warping capability enables cameras to use wide angle lenses to capture images from a wide area, making it ideal for a variety of IP security camera and surround view applications. Our RGB-infrared fusion capability allows a single sensor to produce simultaneous RGB and infrared images for sensing and improved low light performance.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AmbaCast</w:t>
      </w:r>
    </w:p>
    <w:p>
      <w:pPr>
        <w:spacing w:after="0" w:line="23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454546"/>
        </w:rPr>
        <w:t>Our proprietary UHD video compression architecture, known as AmbaCast, incorporates advanced algorithms for motion estimation, motion-compensated 3D temporal filtering, mode decision and AI based rate control. Successful implementation of these computationally intensive steps has helped us maximize compression efficiency. We support H.264 and H.265 video compression standard with our H.265 providing up to 2x better compression efficiency compared to our H.264 video compression technology.</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12</w:t>
      </w:r>
    </w:p>
    <w:p>
      <w:pPr>
        <w:sectPr>
          <w:pgSz w:w="12240" w:h="15840" w:orient="portrait"/>
          <w:cols w:equalWidth="0" w:num="1">
            <w:col w:w="10800"/>
          </w:cols>
          <w:pgMar w:left="720" w:top="976" w:right="720" w:bottom="175" w:gutter="0" w:footer="0" w:header="0"/>
          <w:type w:val="continuous"/>
        </w:sectPr>
      </w:pPr>
    </w:p>
    <w:bookmarkStart w:id="17" w:name="page18"/>
    <w:bookmarkEnd w:id="17"/>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Design Methodology</w:t>
      </w:r>
    </w:p>
    <w:p>
      <w:pPr>
        <w:spacing w:after="0" w:line="230" w:lineRule="exact"/>
        <w:rPr>
          <w:sz w:val="20"/>
          <w:szCs w:val="20"/>
          <w:color w:val="auto"/>
        </w:rPr>
      </w:pPr>
    </w:p>
    <w:p>
      <w:pPr>
        <w:ind w:right="60" w:firstLine="450"/>
        <w:spacing w:after="0" w:line="244" w:lineRule="auto"/>
        <w:rPr>
          <w:sz w:val="20"/>
          <w:szCs w:val="20"/>
          <w:color w:val="auto"/>
        </w:rPr>
      </w:pPr>
      <w:r>
        <w:rPr>
          <w:rFonts w:ascii="Times New Roman" w:cs="Times New Roman" w:eastAsia="Times New Roman" w:hAnsi="Times New Roman"/>
          <w:sz w:val="20"/>
          <w:szCs w:val="20"/>
          <w:color w:val="454546"/>
        </w:rPr>
        <w:t>The success of our technology platform stems from our algorithm driven design methodology. We do extensive algorithm studies in deep learning AI, image processing and compression including our internally developed and public external algorithms. We use these studies to develop high power and die area efficient processing engines compared with general purpose processors like CPUs and GPUs. We also include a high degree of programmability to provide flexibility in supporting new algorithms that we and our customers develop. We test and verify our algorithms on our proprietary architectural model prior to implementing our processor engines in hardware. Our advanced verification methodology validates our approach through simultaneous modeling of architecture, algorithms, and the hardware itself. This redundant approach enables us to identify and remediate any weaknesses early in the development cycle, providing a solid foundation on which we build our hardware implementation, and enhances our ability to achieve first-pass silicon success. We possess extensive expertise in AI deep learning, video and imaging algorithms, as well as deep sub-micron digital and mixed-signal design experience.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Customers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Sales to customers in Asia accounted for approximately 79%, 79%, and 86% of our total revenue in the fiscal years ended January 31, 2024, 2023, and 2022, respectively. Certain prior year amounts of revenue by geographic region have been adjusted to reflect the appropriate bill-to location for the related revenue. These adjustments did not impact the total revenues in any of the years presented.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p>
    <w:p>
      <w:pPr>
        <w:spacing w:after="0" w:line="20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We work closely with our end customer OEMs and ODMs throughout their product design cycles that often last nine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continue to develop next-generation HD video and image processing solutions for their future products.</w:t>
      </w:r>
    </w:p>
    <w:p>
      <w:pPr>
        <w:spacing w:after="0" w:line="20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454546"/>
        </w:rPr>
        <w:t>The product life cycles in many of our target markets typically range from twelve to 24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p>
    <w:p>
      <w:pPr>
        <w:spacing w:after="0" w:line="19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In fiscal year 2024, the customers representing 10% or more of revenue were WT Microelectronics Co., Ltd., formerly Wintech Microelectronics Co., Ltd., or WT, our non-exclusive sales representative and fulfillment partner in Asia other than Japan, and Chicony Electronics Co., Ltd., or Chicony, one ODM that manufactures devices incorporating our solutions on behalf of multiple end-customers, which accounted for approximately 53% and 14% of total revenue, respectively. We currently rely, and expect to continue to rely, on a limited number of customers for a significant portion of our revenue.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Sales and Marketing</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We sell our solutions worldwide using our direct sales force and our distributors. We have direct sales personnel covering the United States, Asia and Europe, and we operate sales offices in Santa Clara, California and Hong Kong, and business development offices in China, Germany, Japan, South Korea, and Taiwan. In addition, in each of these locations we employ a staff of field applications engineers to provide direct engineering support locally to our customers.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13</w:t>
      </w:r>
    </w:p>
    <w:p>
      <w:pPr>
        <w:sectPr>
          <w:pgSz w:w="12240" w:h="15840" w:orient="portrait"/>
          <w:cols w:equalWidth="0" w:num="1">
            <w:col w:w="10800"/>
          </w:cols>
          <w:pgMar w:left="720" w:top="976" w:right="720" w:bottom="175" w:gutter="0" w:footer="0" w:header="0"/>
          <w:type w:val="continuous"/>
        </w:sectPr>
      </w:pPr>
    </w:p>
    <w:bookmarkStart w:id="18" w:name="page19"/>
    <w:bookmarkEnd w:id="18"/>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computer vision and video and image processing solution, but the eventual design and incorporation of our SoC into the product may be handled by an ODM or Tier-1 supplier on behalf of the OEM. Volume production may begin within nine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20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454546"/>
        </w:rPr>
        <w:t>Our sales are generally made pursuant to purchase orders received approximately four to 30 weeks prior to the scheduled product delivery date, depending upon agreed terms with our customers and the current manufacturing lead time at the time the purchase order is received. These purchase orders may not be cancelled without our written consent.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7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454546"/>
        </w:rPr>
        <w:t>Our sales are primarily made through standard purchase orders for delivery of products. Our manufacturing production is based on estimates and advance non-binding commitments from customers as to future purchases. We follow industry practice that allows customers to cancel, change or defer orders with limited advance notice prior to shipment. Given this practice, we do not believe that backlog is a reliable indicator of future revenue levels.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Manufacturing</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454546"/>
        </w:rPr>
        <w:t>Wafer Fabrication</w:t>
      </w:r>
    </w:p>
    <w:p>
      <w:pPr>
        <w:spacing w:after="0" w:line="12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454546"/>
        </w:rPr>
        <w:t>We have a history of using several process nodes from 130 nm through 5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efficiency. We believe this strategy will help us remain competitive. While we currently manufacture the majority of our solutions in the 28 nm, 14 nm and 10 nm process nodes, our most recent products are manufactured in the 5 nm process node. Currently, the substantial majority of our SoCs are supplied by Samsung in facilities located in Austin, Texas and South Korea, from whom we have the option to purchase both fully-assembled and tested products as well as tested die in wafer form for assembly. We also have small volumes of some products supplied by GlobalFoundries Inc. Our foundry vendors are ISO 9001 certified.</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454546"/>
        </w:rPr>
        <w:t>Assembly and Testing</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Samsung subcontracts the assembly and initial testing of the assembled chips it supplies to us to Signetics Corporation and STATS ChipPAC Ltd. In the case of purchases of tested die from Samsung, we contract the assembly to Advanced Semiconductor Engineering, Inc., or ASE. We contract the assembly of products supplied by Global Foundries Inc. to ASE. Final testing of our products is handled primarily by Sigurd Corporation or King Yuan Electronics Co., Ltd. under the supervision of our engineers. All test software and related processes for our products are developed by our engineers. We continually monitor the results of testing at all of our test contractors to ensure that our testing procedures are properly implemented.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As part of our total quality assurance program, our quality management system has been certified to ISO 9001:2015 standards.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assembly and testing vendors are also ISO 9001 certified.</w:t>
      </w:r>
    </w:p>
    <w:p>
      <w:pPr>
        <w:spacing w:after="0" w:line="212"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Due to the scheduling requirements of our foundry, assembly and test contractors, we generally provide our contractors with our production forecasts and place firm orders for products with our suppliers up to 36 weeks prior to the anticipated delivery date, or potentially longer during times of acute capacity shortages, usually without a purchase order from our own customers.</w:t>
      </w:r>
    </w:p>
    <w:p>
      <w:pPr>
        <w:sectPr>
          <w:pgSz w:w="12240" w:h="15840" w:orient="portrait"/>
          <w:cols w:equalWidth="0" w:num="1">
            <w:col w:w="10800"/>
          </w:cols>
          <w:pgMar w:left="720" w:top="976" w:right="720" w:bottom="17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14</w:t>
      </w:r>
    </w:p>
    <w:p>
      <w:pPr>
        <w:sectPr>
          <w:pgSz w:w="12240" w:h="15840" w:orient="portrait"/>
          <w:cols w:equalWidth="0" w:num="1">
            <w:col w:w="10800"/>
          </w:cols>
          <w:pgMar w:left="720" w:top="976" w:right="72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454546"/>
        </w:rPr>
        <w:t>Research and Development</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believe our technology is a competitive advantage and we engage in substantial research and development efforts to develop new products and integrate AI computer vision capabilities into our HD and UHD video processing solutions. We believe that our continued success depends on our ability to both introduce improved versions of our existing solutions and to develop new solutions for the markets that we serve. As of January 31, 2024, approximately 75%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software for the HD video market.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p>
    <w:p>
      <w:pPr>
        <w:spacing w:after="0" w:line="208"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454546"/>
        </w:rPr>
        <w:t>We have assembled a core team of experienced engineers and systems designers in four research and development design centers located in the United States, China, Italy, and Taiwan.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Competition</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Our competitors range from large, international companies offering a wide range of semiconductor products to smaller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Ltd.,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that compete with ours.</w:t>
      </w:r>
    </w:p>
    <w:p>
      <w:pPr>
        <w:spacing w:after="0" w:line="20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Our ability to compete successfully in the rapidly evolving camera markets depends on several factors, including:</w:t>
      </w:r>
    </w:p>
    <w:p>
      <w:pPr>
        <w:spacing w:after="0" w:line="134" w:lineRule="exact"/>
        <w:rPr>
          <w:sz w:val="20"/>
          <w:szCs w:val="20"/>
          <w:color w:val="auto"/>
        </w:rPr>
      </w:pPr>
    </w:p>
    <w:p>
      <w:pPr>
        <w:ind w:left="980" w:right="300" w:hanging="490"/>
        <w:spacing w:after="0" w:line="27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the design and manufacturing of new solutions, including software, that anticipate the video processing and integration needs of our customers’ next-generation products and applications;</w:t>
      </w:r>
    </w:p>
    <w:p>
      <w:pPr>
        <w:spacing w:after="0" w:line="64" w:lineRule="exact"/>
        <w:rPr>
          <w:rFonts w:ascii="Arial" w:cs="Arial" w:eastAsia="Arial" w:hAnsi="Arial"/>
          <w:sz w:val="20"/>
          <w:szCs w:val="20"/>
          <w:color w:val="454546"/>
        </w:rPr>
      </w:pPr>
    </w:p>
    <w:p>
      <w:pPr>
        <w:ind w:left="980" w:right="120" w:hanging="490"/>
        <w:spacing w:after="0" w:line="27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performance of our computer vision solutions, as measured by convolutional neural network performance, video and still picture image quality, resolution and frame processing rates;</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power consumption efficiency of our solutions;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the ease of implementation of our products by customers;</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the strength of our customer relationships;</w:t>
      </w:r>
    </w:p>
    <w:p>
      <w:pPr>
        <w:spacing w:after="0" w:line="133" w:lineRule="exact"/>
        <w:rPr>
          <w:rFonts w:ascii="Arial" w:cs="Arial" w:eastAsia="Arial" w:hAnsi="Arial"/>
          <w:sz w:val="20"/>
          <w:szCs w:val="20"/>
          <w:color w:val="454546"/>
        </w:rPr>
      </w:pPr>
    </w:p>
    <w:p>
      <w:pPr>
        <w:ind w:left="980" w:right="260" w:hanging="490"/>
        <w:spacing w:after="0" w:line="276" w:lineRule="auto"/>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the selection of the foundry process technology and architecture tradeoffs to meet customers’ product requirements in a timely manner;</w:t>
      </w:r>
    </w:p>
    <w:p>
      <w:pPr>
        <w:spacing w:after="0" w:line="64"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reputation and reliability;</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customer support; and</w:t>
      </w:r>
    </w:p>
    <w:p>
      <w:pPr>
        <w:spacing w:after="0" w:line="133" w:lineRule="exact"/>
        <w:rPr>
          <w:rFonts w:ascii="Arial" w:cs="Arial" w:eastAsia="Arial" w:hAnsi="Arial"/>
          <w:sz w:val="20"/>
          <w:szCs w:val="20"/>
          <w:color w:val="454546"/>
        </w:rPr>
      </w:pPr>
    </w:p>
    <w:p>
      <w:pPr>
        <w:ind w:left="980" w:hanging="490"/>
        <w:spacing w:after="0"/>
        <w:tabs>
          <w:tab w:leader="none" w:pos="980" w:val="left"/>
        </w:tabs>
        <w:numPr>
          <w:ilvl w:val="0"/>
          <w:numId w:val="8"/>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 of the total solution.</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15</w:t>
      </w:r>
    </w:p>
    <w:p>
      <w:pPr>
        <w:sectPr>
          <w:pgSz w:w="12240" w:h="15840" w:orient="portrait"/>
          <w:cols w:equalWidth="0" w:num="1">
            <w:col w:w="10800"/>
          </w:cols>
          <w:pgMar w:left="720" w:top="972" w:right="720" w:bottom="175" w:gutter="0" w:footer="0" w:header="0"/>
          <w:type w:val="continuous"/>
        </w:sectPr>
      </w:pPr>
    </w:p>
    <w:bookmarkStart w:id="20" w:name="page21"/>
    <w:bookmarkEnd w:id="20"/>
    <w:p>
      <w:pPr>
        <w:ind w:right="340" w:firstLine="490"/>
        <w:spacing w:after="0" w:line="249" w:lineRule="auto"/>
        <w:rPr>
          <w:sz w:val="20"/>
          <w:szCs w:val="20"/>
          <w:color w:val="auto"/>
        </w:rPr>
      </w:pPr>
      <w:r>
        <w:rPr>
          <w:rFonts w:ascii="Times New Roman" w:cs="Times New Roman" w:eastAsia="Times New Roman" w:hAnsi="Times New Roman"/>
          <w:sz w:val="20"/>
          <w:szCs w:val="20"/>
          <w:color w:val="454546"/>
        </w:rPr>
        <w:t>We believe we compete favorably with respect to these factors, particularly because our solutions typically provide high-performance and low power consumption video, CNN performance, efficient integration of our advanced algorithms, exceptional storage and transmission efficiencies at lower power,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Intellectual Property</w:t>
      </w:r>
    </w:p>
    <w:p>
      <w:pPr>
        <w:spacing w:after="0" w:line="12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We rely on a combination of intellectual property rights, including patents, trade secrets, copyrights and trademarks, and contractual protections, to protect our core technology and intellectual property. As of January 31, 2024, we had 344 issued patents in the United States, 123 of which were continuation or divisional patents, 10 issued patents in Europe, 8 issued patents in China, 8 issued patents in Japan and 64 pending patent applications in the United States. The issued patents in the United States expire beginning in 2024 through 2042. Our issued patents and pending patent applications primarily relate to image and video processing and HD video compression, AI processing, system level camera, and radar perception applications spanning multiple market segments</w:t>
      </w:r>
      <w:r>
        <w:rPr>
          <w:rFonts w:ascii="Times New Roman" w:cs="Times New Roman" w:eastAsia="Times New Roman" w:hAnsi="Times New Roman"/>
          <w:sz w:val="20"/>
          <w:szCs w:val="20"/>
          <w:b w:val="1"/>
          <w:bCs w:val="1"/>
          <w:color w:val="454546"/>
        </w:rPr>
        <w:t>.</w:t>
      </w:r>
    </w:p>
    <w:p>
      <w:pPr>
        <w:spacing w:after="0" w:line="20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454546"/>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p>
    <w:p>
      <w:pPr>
        <w:spacing w:after="0" w:line="194" w:lineRule="exact"/>
        <w:rPr>
          <w:sz w:val="20"/>
          <w:szCs w:val="20"/>
          <w:color w:val="auto"/>
        </w:rPr>
      </w:pPr>
    </w:p>
    <w:p>
      <w:pPr>
        <w:ind w:right="440" w:firstLine="490"/>
        <w:spacing w:after="0" w:line="247" w:lineRule="auto"/>
        <w:rPr>
          <w:sz w:val="20"/>
          <w:szCs w:val="20"/>
          <w:color w:val="auto"/>
        </w:rPr>
      </w:pPr>
      <w:r>
        <w:rPr>
          <w:rFonts w:ascii="Times New Roman" w:cs="Times New Roman" w:eastAsia="Times New Roman" w:hAnsi="Times New Roman"/>
          <w:sz w:val="20"/>
          <w:szCs w:val="20"/>
          <w:color w:val="454546"/>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20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9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Seasonality</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due in part to the Asia-based portion of the security camera market as a result of industry seasonality and the impact of ODM and OEM factory closures associated with the Chinese New Year holiday. These seasonal fluctuations may diminish if our revenue diversifies and becomes less dependent on sales of our customers’ consumer products.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Governmental Regulation</w:t>
      </w:r>
    </w:p>
    <w:p>
      <w:pPr>
        <w:spacing w:after="0" w:line="124" w:lineRule="exact"/>
        <w:rPr>
          <w:sz w:val="20"/>
          <w:szCs w:val="20"/>
          <w:color w:val="auto"/>
        </w:rPr>
      </w:pPr>
    </w:p>
    <w:p>
      <w:pPr>
        <w:ind w:right="400" w:firstLine="490"/>
        <w:spacing w:after="0" w:line="252" w:lineRule="auto"/>
        <w:rPr>
          <w:sz w:val="20"/>
          <w:szCs w:val="20"/>
          <w:color w:val="auto"/>
        </w:rPr>
      </w:pPr>
      <w:r>
        <w:rPr>
          <w:rFonts w:ascii="Times New Roman" w:cs="Times New Roman" w:eastAsia="Times New Roman" w:hAnsi="Times New Roman"/>
          <w:sz w:val="20"/>
          <w:szCs w:val="20"/>
          <w:color w:val="454546"/>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16</w:t>
      </w:r>
    </w:p>
    <w:p>
      <w:pPr>
        <w:sectPr>
          <w:pgSz w:w="12240" w:h="15840" w:orient="portrait"/>
          <w:cols w:equalWidth="0" w:num="1">
            <w:col w:w="10800"/>
          </w:cols>
          <w:pgMar w:left="720" w:top="976" w:right="720" w:bottom="175" w:gutter="0" w:footer="0" w:header="0"/>
          <w:type w:val="continuous"/>
        </w:sectPr>
      </w:pPr>
    </w:p>
    <w:bookmarkStart w:id="21" w:name="page22"/>
    <w:bookmarkEnd w:id="21"/>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These laboratories may maintain small quantities of hazardous materials. While we believe we are in material compliance with applicable law concerning the safeguarding of these materials and with respect to other matters relating to health, safety and the environment, the risk of liability relating to hazardous conditions or materials cannot be eliminated completely. To date, we have not incurred significant expenditures relating to environmental compliance at our facilities nor have we experienced any material issues relating to employee health and safety.</w:t>
      </w:r>
    </w:p>
    <w:p>
      <w:pPr>
        <w:spacing w:after="0" w:line="19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For example, certain of our Chinese customers, or their affiliated entities, have been added to the BIS Entity List in the last couple of years, which limits our ability to ship certain products to these customers.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Human Capital Resources</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454546"/>
        </w:rPr>
        <w:t>Innovation has been the lifeblood of our company since our founding in 2004. We continually strive to develop leading-edge image and video, and now AI, processors using the most advanced semiconductor processes available to create high performance, power efficient SoCs. We depend on our people to sustain our competitive advantages.</w:t>
      </w:r>
    </w:p>
    <w:p>
      <w:pPr>
        <w:spacing w:after="0" w:line="178"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19"/>
          <w:szCs w:val="19"/>
          <w:color w:val="454546"/>
        </w:rPr>
        <w:t>As of January 31, 2024, we employed a total of 915 people, including 253 in the United States, 581 in Asia, primarily 343 in Taiwan and 224 in China, and 81 in Europe. Approximately 75% of our employees are engaged in research and development, 2% in operations, and 23% in sales, marketing and administration. As of January 31, 2024, women represented 29% of our independent directors, 19% of senior management, 17% of our technical roles, and 20% of our total workforce. Of our total employee workforce, approximately 37%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of our offices to keep employees apprised of company activities and objectives and to provide an opportunity for all employees to meet and ask questions. All employees receive training in the prevention of sexual harassment and abusive conduct in the workplace.</w:t>
      </w:r>
    </w:p>
    <w:p>
      <w:pPr>
        <w:spacing w:after="0" w:line="18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the success of our company by motivating such individuals to perform to the best of their abilities and achieve both our short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 Approximately 90% of eligible U.S. employees participate in our 401(k) plan, and 91% of eligible employees participated in the most recent offering period of our employee stock purchase plan.</w:t>
      </w:r>
    </w:p>
    <w:p>
      <w:pPr>
        <w:spacing w:after="0" w:line="19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The average tenure of our employees is approximately 7.6 years and approximately 31%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2024 was approximately 5.6%.</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17</w:t>
      </w:r>
    </w:p>
    <w:p>
      <w:pPr>
        <w:sectPr>
          <w:pgSz w:w="12240" w:h="15840" w:orient="portrait"/>
          <w:cols w:equalWidth="0" w:num="1">
            <w:col w:w="10800"/>
          </w:cols>
          <w:pgMar w:left="720" w:top="976" w:right="72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454546"/>
        </w:rPr>
        <w:t>Corporate Information</w:t>
      </w:r>
    </w:p>
    <w:p>
      <w:pPr>
        <w:spacing w:after="0" w:line="24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 xml:space="preserve">Ambarella was founded and incorporated in the Cayman Islands in January 2004. Our registered address is PO Box 309GT, Ugland House, South Church Street, George Town, Grand Cayman, Cayman Islands. The address of our U.S. operating subsidiary is Ambarella Corporation, 3101 Jay Street, Santa Clara, California. The Securities and Exchange Commission, or SEC, maintains a website at </w:t>
      </w:r>
      <w:r>
        <w:rPr>
          <w:rFonts w:ascii="Times New Roman" w:cs="Times New Roman" w:eastAsia="Times New Roman" w:hAnsi="Times New Roman"/>
          <w:sz w:val="20"/>
          <w:szCs w:val="20"/>
          <w:color w:val="656769"/>
        </w:rPr>
        <w:t>www.sec.gov</w:t>
      </w:r>
      <w:r>
        <w:rPr>
          <w:rFonts w:ascii="Times New Roman" w:cs="Times New Roman" w:eastAsia="Times New Roman" w:hAnsi="Times New Roman"/>
          <w:sz w:val="20"/>
          <w:szCs w:val="20"/>
          <w:color w:val="454546"/>
        </w:rPr>
        <w:t xml:space="preserve"> that contains reports, proxy, and information statements, and other information regarding registrants that file electronically. You may also obtain copies of our Forms 10-K, 10-Q, 8-K, and other filings with the SEC, and all amendments to these filings, free of charge, by visiting the Investor Relations page on our website (</w:t>
      </w:r>
      <w:r>
        <w:rPr>
          <w:rFonts w:ascii="Times New Roman" w:cs="Times New Roman" w:eastAsia="Times New Roman" w:hAnsi="Times New Roman"/>
          <w:sz w:val="20"/>
          <w:szCs w:val="20"/>
          <w:color w:val="656769"/>
        </w:rPr>
        <w:t>http://investor.ambarella.com</w:t>
      </w:r>
      <w:r>
        <w:rPr>
          <w:rFonts w:ascii="Times New Roman" w:cs="Times New Roman" w:eastAsia="Times New Roman" w:hAnsi="Times New Roman"/>
          <w:sz w:val="20"/>
          <w:szCs w:val="20"/>
          <w:u w:val="single" w:color="auto"/>
          <w:color w:val="656769"/>
        </w:rPr>
        <w:t>)</w:t>
      </w:r>
      <w:r>
        <w:rPr>
          <w:rFonts w:ascii="Times New Roman" w:cs="Times New Roman" w:eastAsia="Times New Roman" w:hAnsi="Times New Roman"/>
          <w:sz w:val="20"/>
          <w:szCs w:val="20"/>
          <w:color w:val="454546"/>
        </w:rPr>
        <w:t xml:space="preserve"> as soon as reasonably practicable following our filing of any of these reports with the SEC. Information on our website is not incorporated into this Annual Report on Form 10-K or our other securities filings and is not a part of such filings.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1A. Risk Factors</w:t>
      </w:r>
    </w:p>
    <w:p>
      <w:pPr>
        <w:spacing w:after="0" w:line="236" w:lineRule="exact"/>
        <w:rPr>
          <w:sz w:val="20"/>
          <w:szCs w:val="20"/>
          <w:color w:val="auto"/>
        </w:rPr>
      </w:pPr>
    </w:p>
    <w:p>
      <w:pPr>
        <w:ind w:firstLine="450"/>
        <w:spacing w:after="0" w:line="245" w:lineRule="auto"/>
        <w:rPr>
          <w:sz w:val="20"/>
          <w:szCs w:val="20"/>
          <w:color w:val="auto"/>
        </w:rPr>
      </w:pPr>
      <w:r>
        <w:rPr>
          <w:rFonts w:ascii="Times New Roman" w:cs="Times New Roman" w:eastAsia="Times New Roman" w:hAnsi="Times New Roman"/>
          <w:sz w:val="20"/>
          <w:szCs w:val="20"/>
          <w:i w:val="1"/>
          <w:iCs w:val="1"/>
          <w:color w:val="454546"/>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Summary of Risk Factors</w:t>
      </w:r>
    </w:p>
    <w:p>
      <w:pPr>
        <w:spacing w:after="0" w:line="234"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454546"/>
        </w:rPr>
        <w:t>Our business and our industry is subject to numerous risks and uncertainties, including those described in the following Risk Factors. These risks include, but are not limited to, the following:</w:t>
      </w:r>
    </w:p>
    <w:p>
      <w:pPr>
        <w:spacing w:after="0" w:line="63" w:lineRule="exact"/>
        <w:rPr>
          <w:sz w:val="20"/>
          <w:szCs w:val="20"/>
          <w:color w:val="auto"/>
        </w:rPr>
      </w:pPr>
    </w:p>
    <w:p>
      <w:pPr>
        <w:ind w:left="980" w:right="36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If our customers do not design our solutions into their product offerings, or if our customers’ product offerings are not commercially successful, our business would suffer.</w:t>
      </w:r>
    </w:p>
    <w:p>
      <w:pPr>
        <w:spacing w:after="0" w:line="64" w:lineRule="exact"/>
        <w:rPr>
          <w:rFonts w:ascii="Arial" w:cs="Arial" w:eastAsia="Arial" w:hAnsi="Arial"/>
          <w:sz w:val="20"/>
          <w:szCs w:val="20"/>
          <w:color w:val="454546"/>
        </w:rPr>
      </w:pPr>
    </w:p>
    <w:p>
      <w:pPr>
        <w:ind w:left="980" w:right="48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fail to penetrate new markets, including the automotive original equipment manufacturer (OEM) and advanced driver assistance systems (ADAS) market, our revenue and financial condition could be harmed.</w:t>
      </w:r>
    </w:p>
    <w:p>
      <w:pPr>
        <w:spacing w:after="0" w:line="64" w:lineRule="exact"/>
        <w:rPr>
          <w:rFonts w:ascii="Arial" w:cs="Arial" w:eastAsia="Arial" w:hAnsi="Arial"/>
          <w:sz w:val="20"/>
          <w:szCs w:val="20"/>
          <w:color w:val="454546"/>
        </w:rPr>
      </w:pPr>
    </w:p>
    <w:p>
      <w:pPr>
        <w:ind w:left="980" w:right="6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fail to develop and introduce new or enhanced solutions that meet market requirements on a timely basis, our ability to attract and retain customers could be impaired and our competitive position could be harmed.</w:t>
      </w:r>
    </w:p>
    <w:p>
      <w:pPr>
        <w:spacing w:after="0" w:line="64" w:lineRule="exact"/>
        <w:rPr>
          <w:rFonts w:ascii="Arial" w:cs="Arial" w:eastAsia="Arial" w:hAnsi="Arial"/>
          <w:sz w:val="20"/>
          <w:szCs w:val="20"/>
          <w:color w:val="454546"/>
        </w:rPr>
      </w:pPr>
    </w:p>
    <w:p>
      <w:pPr>
        <w:ind w:left="980" w:right="34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Shortages in, or increased costs of, wafers and materials could adversely impact our gross margins and lead to reduced revenues.</w:t>
      </w:r>
    </w:p>
    <w:p>
      <w:pPr>
        <w:spacing w:after="0" w:line="64" w:lineRule="exact"/>
        <w:rPr>
          <w:rFonts w:ascii="Arial" w:cs="Arial" w:eastAsia="Arial" w:hAnsi="Arial"/>
          <w:sz w:val="20"/>
          <w:szCs w:val="20"/>
          <w:color w:val="454546"/>
        </w:rPr>
      </w:pPr>
    </w:p>
    <w:p>
      <w:pPr>
        <w:ind w:left="980" w:right="74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primary inventory warehouse is located in Hong Kong and may be affected by political, social and economic conditions in Hong Kong.</w:t>
      </w:r>
    </w:p>
    <w:p>
      <w:pPr>
        <w:spacing w:after="0" w:line="64" w:lineRule="exact"/>
        <w:rPr>
          <w:rFonts w:ascii="Arial" w:cs="Arial" w:eastAsia="Arial" w:hAnsi="Arial"/>
          <w:sz w:val="20"/>
          <w:szCs w:val="20"/>
          <w:color w:val="454546"/>
        </w:rPr>
      </w:pPr>
    </w:p>
    <w:p>
      <w:pPr>
        <w:ind w:left="980" w:right="28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Our target markets may not grow or develop as we currently expect and are subject to market risks, any of which could harm our business, revenue and operating results.</w:t>
      </w:r>
    </w:p>
    <w:p>
      <w:pPr>
        <w:spacing w:after="0" w:line="64" w:lineRule="exact"/>
        <w:rPr>
          <w:rFonts w:ascii="Arial" w:cs="Arial" w:eastAsia="Arial" w:hAnsi="Arial"/>
          <w:sz w:val="20"/>
          <w:szCs w:val="20"/>
          <w:color w:val="454546"/>
        </w:rPr>
      </w:pPr>
    </w:p>
    <w:p>
      <w:pPr>
        <w:ind w:left="980" w:right="10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Our customers may cancel their orders, change production quantities or delay production. If we fail to accurately forecast demand for our solutions, revenue shortfalls or excess, obsolete or insufficient inventory could result.</w:t>
      </w:r>
    </w:p>
    <w:p>
      <w:pPr>
        <w:spacing w:after="0" w:line="64" w:lineRule="exact"/>
        <w:rPr>
          <w:rFonts w:ascii="Arial" w:cs="Arial" w:eastAsia="Arial" w:hAnsi="Arial"/>
          <w:sz w:val="20"/>
          <w:szCs w:val="20"/>
          <w:color w:val="454546"/>
        </w:rPr>
      </w:pPr>
    </w:p>
    <w:p>
      <w:pPr>
        <w:ind w:left="980" w:right="44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We depend on a limited number of customers and end customers for a significant portion of our revenue. If we fail to retain or expand our customer relationships, our revenue could decline.</w:t>
      </w:r>
    </w:p>
    <w:p>
      <w:pPr>
        <w:spacing w:after="0" w:line="64" w:lineRule="exact"/>
        <w:rPr>
          <w:rFonts w:ascii="Arial" w:cs="Arial" w:eastAsia="Arial" w:hAnsi="Arial"/>
          <w:sz w:val="20"/>
          <w:szCs w:val="20"/>
          <w:color w:val="454546"/>
        </w:rPr>
      </w:pPr>
    </w:p>
    <w:p>
      <w:pPr>
        <w:ind w:left="980" w:right="760" w:hanging="491"/>
        <w:spacing w:after="0" w:line="276"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Risks related to global semiconductor supply shortages and weak economic conditions could adversely affect our business, financial condition, and results of operations.</w:t>
      </w:r>
    </w:p>
    <w:p>
      <w:pPr>
        <w:spacing w:after="0" w:line="64" w:lineRule="exact"/>
        <w:rPr>
          <w:rFonts w:ascii="Arial" w:cs="Arial" w:eastAsia="Arial" w:hAnsi="Arial"/>
          <w:sz w:val="20"/>
          <w:szCs w:val="20"/>
          <w:color w:val="454546"/>
        </w:rPr>
      </w:pPr>
    </w:p>
    <w:p>
      <w:pPr>
        <w:ind w:left="980" w:right="40" w:hanging="491"/>
        <w:spacing w:after="0" w:line="258"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81" w:lineRule="exact"/>
        <w:rPr>
          <w:rFonts w:ascii="Arial" w:cs="Arial" w:eastAsia="Arial" w:hAnsi="Arial"/>
          <w:sz w:val="20"/>
          <w:szCs w:val="20"/>
          <w:color w:val="454546"/>
        </w:rPr>
      </w:pPr>
    </w:p>
    <w:p>
      <w:pPr>
        <w:ind w:left="980" w:right="300" w:hanging="491"/>
        <w:spacing w:after="0" w:line="258" w:lineRule="auto"/>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81" w:lineRule="exact"/>
        <w:rPr>
          <w:rFonts w:ascii="Arial" w:cs="Arial" w:eastAsia="Arial" w:hAnsi="Arial"/>
          <w:sz w:val="20"/>
          <w:szCs w:val="20"/>
          <w:color w:val="454546"/>
        </w:rPr>
      </w:pPr>
    </w:p>
    <w:p>
      <w:pPr>
        <w:ind w:left="980" w:hanging="491"/>
        <w:spacing w:after="0"/>
        <w:tabs>
          <w:tab w:leader="none" w:pos="980" w:val="left"/>
        </w:tabs>
        <w:numPr>
          <w:ilvl w:val="0"/>
          <w:numId w:val="9"/>
        </w:numPr>
        <w:rPr>
          <w:rFonts w:ascii="Arial" w:cs="Arial" w:eastAsia="Arial" w:hAnsi="Arial"/>
          <w:sz w:val="20"/>
          <w:szCs w:val="20"/>
          <w:color w:val="454546"/>
        </w:rPr>
      </w:pPr>
      <w:r>
        <w:rPr>
          <w:rFonts w:ascii="Times New Roman" w:cs="Times New Roman" w:eastAsia="Times New Roman" w:hAnsi="Times New Roman"/>
          <w:sz w:val="20"/>
          <w:szCs w:val="20"/>
          <w:color w:val="454546"/>
        </w:rPr>
        <w:t>We expect competition to increase in the future, which could have an adverse effect on our revenue and market share.</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18</w:t>
      </w:r>
    </w:p>
    <w:p>
      <w:pPr>
        <w:sectPr>
          <w:pgSz w:w="12240" w:h="15840" w:orient="portrait"/>
          <w:cols w:equalWidth="0" w:num="1">
            <w:col w:w="10800"/>
          </w:cols>
          <w:pgMar w:left="720" w:top="972" w:right="720" w:bottom="175" w:gutter="0" w:footer="0" w:header="0"/>
          <w:type w:val="continuous"/>
        </w:sectPr>
      </w:pPr>
    </w:p>
    <w:bookmarkStart w:id="23" w:name="page24"/>
    <w:bookmarkEnd w:id="23"/>
    <w:p>
      <w:pPr>
        <w:ind w:left="491" w:hanging="491"/>
        <w:spacing w:after="0"/>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A breach of our security systems may have a material adverse effect on our business.</w:t>
      </w:r>
    </w:p>
    <w:p>
      <w:pPr>
        <w:spacing w:after="0" w:line="133" w:lineRule="exact"/>
        <w:rPr>
          <w:rFonts w:ascii="Arial" w:cs="Arial" w:eastAsia="Arial" w:hAnsi="Arial"/>
          <w:sz w:val="20"/>
          <w:szCs w:val="20"/>
          <w:color w:val="454546"/>
        </w:rPr>
      </w:pPr>
    </w:p>
    <w:p>
      <w:pPr>
        <w:ind w:left="491" w:right="2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While we intend to continue to invest in research and development, we may be unable to make the substantial investments that are required to remain competitive in our business.</w:t>
      </w:r>
    </w:p>
    <w:p>
      <w:pPr>
        <w:spacing w:after="0" w:line="64" w:lineRule="exact"/>
        <w:rPr>
          <w:rFonts w:ascii="Arial" w:cs="Arial" w:eastAsia="Arial" w:hAnsi="Arial"/>
          <w:sz w:val="20"/>
          <w:szCs w:val="20"/>
          <w:color w:val="454546"/>
        </w:rPr>
      </w:pPr>
    </w:p>
    <w:p>
      <w:pPr>
        <w:ind w:left="491" w:right="10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rely on highly skilled personnel and, if we are unable to hire, retain or motivate key personnel, we may not be able to grow effectively. Similarly, the loss of any of our key personnel could seriously harm our business.</w:t>
      </w:r>
    </w:p>
    <w:p>
      <w:pPr>
        <w:spacing w:after="0" w:line="64" w:lineRule="exact"/>
        <w:rPr>
          <w:rFonts w:ascii="Arial" w:cs="Arial" w:eastAsia="Arial" w:hAnsi="Arial"/>
          <w:sz w:val="20"/>
          <w:szCs w:val="20"/>
          <w:color w:val="454546"/>
        </w:rPr>
      </w:pPr>
    </w:p>
    <w:p>
      <w:pPr>
        <w:ind w:left="491" w:right="26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The average selling prices of semiconductor solutions in our target markets have typically decreased over time and will likely do so in the future, which could harm our revenue and gross margins.</w:t>
      </w:r>
    </w:p>
    <w:p>
      <w:pPr>
        <w:spacing w:after="0" w:line="64" w:lineRule="exact"/>
        <w:rPr>
          <w:rFonts w:ascii="Arial" w:cs="Arial" w:eastAsia="Arial" w:hAnsi="Arial"/>
          <w:sz w:val="20"/>
          <w:szCs w:val="20"/>
          <w:color w:val="454546"/>
        </w:rPr>
      </w:pPr>
    </w:p>
    <w:p>
      <w:pPr>
        <w:ind w:left="491" w:right="16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are unable to manage any future growth, we may not be able to execute our business plan and our operating results could suffer.</w:t>
      </w:r>
    </w:p>
    <w:p>
      <w:pPr>
        <w:spacing w:after="0" w:line="64" w:lineRule="exact"/>
        <w:rPr>
          <w:rFonts w:ascii="Arial" w:cs="Arial" w:eastAsia="Arial" w:hAnsi="Arial"/>
          <w:sz w:val="20"/>
          <w:szCs w:val="20"/>
          <w:color w:val="454546"/>
        </w:rPr>
      </w:pPr>
    </w:p>
    <w:p>
      <w:pPr>
        <w:ind w:left="491" w:hanging="491"/>
        <w:spacing w:after="0"/>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Deterioration of the financial conditions of our customers could adversely affect our operating results.</w:t>
      </w:r>
    </w:p>
    <w:p>
      <w:pPr>
        <w:spacing w:after="0" w:line="133" w:lineRule="exact"/>
        <w:rPr>
          <w:rFonts w:ascii="Arial" w:cs="Arial" w:eastAsia="Arial" w:hAnsi="Arial"/>
          <w:sz w:val="20"/>
          <w:szCs w:val="20"/>
          <w:color w:val="454546"/>
        </w:rPr>
      </w:pPr>
    </w:p>
    <w:p>
      <w:pPr>
        <w:ind w:left="491" w:right="40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subject to the cyclical nature of the semiconductor industry. We may have difficulty accurately predicting our future revenue and appropriately budgeting our expenses.</w:t>
      </w:r>
    </w:p>
    <w:p>
      <w:pPr>
        <w:spacing w:after="0" w:line="64" w:lineRule="exact"/>
        <w:rPr>
          <w:rFonts w:ascii="Arial" w:cs="Arial" w:eastAsia="Arial" w:hAnsi="Arial"/>
          <w:sz w:val="20"/>
          <w:szCs w:val="20"/>
          <w:color w:val="454546"/>
        </w:rPr>
      </w:pPr>
    </w:p>
    <w:p>
      <w:pPr>
        <w:ind w:left="491" w:hanging="491"/>
        <w:spacing w:after="0" w:line="258"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81" w:lineRule="exact"/>
        <w:rPr>
          <w:rFonts w:ascii="Arial" w:cs="Arial" w:eastAsia="Arial" w:hAnsi="Arial"/>
          <w:sz w:val="20"/>
          <w:szCs w:val="20"/>
          <w:color w:val="454546"/>
        </w:rPr>
      </w:pPr>
    </w:p>
    <w:p>
      <w:pPr>
        <w:ind w:left="491" w:right="180" w:hanging="491"/>
        <w:spacing w:after="0" w:line="304" w:lineRule="auto"/>
        <w:tabs>
          <w:tab w:leader="none" w:pos="491" w:val="left"/>
        </w:tabs>
        <w:numPr>
          <w:ilvl w:val="0"/>
          <w:numId w:val="10"/>
        </w:numPr>
        <w:rPr>
          <w:rFonts w:ascii="Arial" w:cs="Arial" w:eastAsia="Arial" w:hAnsi="Arial"/>
          <w:sz w:val="19"/>
          <w:szCs w:val="19"/>
          <w:color w:val="454546"/>
        </w:rPr>
      </w:pPr>
      <w:r>
        <w:rPr>
          <w:rFonts w:ascii="Times New Roman" w:cs="Times New Roman" w:eastAsia="Times New Roman" w:hAnsi="Times New Roman"/>
          <w:sz w:val="19"/>
          <w:szCs w:val="19"/>
          <w:color w:val="454546"/>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39" w:lineRule="exact"/>
        <w:rPr>
          <w:rFonts w:ascii="Arial" w:cs="Arial" w:eastAsia="Arial" w:hAnsi="Arial"/>
          <w:sz w:val="19"/>
          <w:szCs w:val="19"/>
          <w:color w:val="454546"/>
        </w:rPr>
      </w:pPr>
    </w:p>
    <w:p>
      <w:pPr>
        <w:ind w:left="491" w:right="18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Rapidly changing industry standards could make our video and image processing solutions obsolete, which would cause our operating results to suffer.</w:t>
      </w:r>
    </w:p>
    <w:p>
      <w:pPr>
        <w:spacing w:after="0" w:line="64" w:lineRule="exact"/>
        <w:rPr>
          <w:rFonts w:ascii="Arial" w:cs="Arial" w:eastAsia="Arial" w:hAnsi="Arial"/>
          <w:sz w:val="20"/>
          <w:szCs w:val="20"/>
          <w:color w:val="454546"/>
        </w:rPr>
      </w:pPr>
    </w:p>
    <w:p>
      <w:pPr>
        <w:ind w:left="491" w:hanging="491"/>
        <w:spacing w:after="0" w:line="258"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81" w:lineRule="exact"/>
        <w:rPr>
          <w:rFonts w:ascii="Arial" w:cs="Arial" w:eastAsia="Arial" w:hAnsi="Arial"/>
          <w:sz w:val="20"/>
          <w:szCs w:val="20"/>
          <w:color w:val="454546"/>
        </w:rPr>
      </w:pPr>
    </w:p>
    <w:p>
      <w:pPr>
        <w:ind w:left="491" w:right="36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Any acquisitions we may make in the future could disrupt our business, cause dilution to our shareholders, reduce our financial resources and harm our business.</w:t>
      </w:r>
    </w:p>
    <w:p>
      <w:pPr>
        <w:spacing w:after="0" w:line="64" w:lineRule="exact"/>
        <w:rPr>
          <w:rFonts w:ascii="Arial" w:cs="Arial" w:eastAsia="Arial" w:hAnsi="Arial"/>
          <w:sz w:val="20"/>
          <w:szCs w:val="20"/>
          <w:color w:val="454546"/>
        </w:rPr>
      </w:pPr>
    </w:p>
    <w:p>
      <w:pPr>
        <w:ind w:left="491" w:right="20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face tax risks, including relating to the complexity of calculating our tax provision, changes in effective tax rates, or unfavorable tax law changes.</w:t>
      </w:r>
    </w:p>
    <w:p>
      <w:pPr>
        <w:spacing w:after="0" w:line="64" w:lineRule="exact"/>
        <w:rPr>
          <w:rFonts w:ascii="Arial" w:cs="Arial" w:eastAsia="Arial" w:hAnsi="Arial"/>
          <w:sz w:val="20"/>
          <w:szCs w:val="20"/>
          <w:color w:val="454546"/>
        </w:rPr>
      </w:pPr>
    </w:p>
    <w:p>
      <w:pPr>
        <w:ind w:left="491" w:right="2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our operating results on a quarterly and annual basis could cause the market price of our ordinary shares to decline.</w:t>
      </w:r>
    </w:p>
    <w:p>
      <w:pPr>
        <w:spacing w:after="0" w:line="64" w:lineRule="exact"/>
        <w:rPr>
          <w:rFonts w:ascii="Arial" w:cs="Arial" w:eastAsia="Arial" w:hAnsi="Arial"/>
          <w:sz w:val="20"/>
          <w:szCs w:val="20"/>
          <w:color w:val="454546"/>
        </w:rPr>
      </w:pPr>
    </w:p>
    <w:p>
      <w:pPr>
        <w:ind w:left="491" w:right="32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If we do not generate revenue growth, we may not be able to execute our business plan and our operating results could suffer.</w:t>
      </w:r>
    </w:p>
    <w:p>
      <w:pPr>
        <w:spacing w:after="0" w:line="64" w:lineRule="exact"/>
        <w:rPr>
          <w:rFonts w:ascii="Arial" w:cs="Arial" w:eastAsia="Arial" w:hAnsi="Arial"/>
          <w:sz w:val="20"/>
          <w:szCs w:val="20"/>
          <w:color w:val="454546"/>
        </w:rPr>
      </w:pPr>
    </w:p>
    <w:p>
      <w:pPr>
        <w:ind w:left="491" w:right="66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do not have long-term supply contracts with our third-party manufacturing vendors, and they may not allocate sufficient capacity to us at reasonable prices to meet future demands for our solutions.</w:t>
      </w:r>
    </w:p>
    <w:p>
      <w:pPr>
        <w:spacing w:after="0" w:line="64" w:lineRule="exact"/>
        <w:rPr>
          <w:rFonts w:ascii="Arial" w:cs="Arial" w:eastAsia="Arial" w:hAnsi="Arial"/>
          <w:sz w:val="20"/>
          <w:szCs w:val="20"/>
          <w:color w:val="454546"/>
        </w:rPr>
      </w:pPr>
    </w:p>
    <w:p>
      <w:pPr>
        <w:ind w:left="491" w:right="28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Our customers incorporate components supplied by multiple third parties, and a supply shortage or delay in delivery of these components could delay orders for our solutions by our customers.</w:t>
      </w:r>
    </w:p>
    <w:p>
      <w:pPr>
        <w:spacing w:after="0" w:line="64" w:lineRule="exact"/>
        <w:rPr>
          <w:rFonts w:ascii="Arial" w:cs="Arial" w:eastAsia="Arial" w:hAnsi="Arial"/>
          <w:sz w:val="20"/>
          <w:szCs w:val="20"/>
          <w:color w:val="454546"/>
        </w:rPr>
      </w:pPr>
    </w:p>
    <w:p>
      <w:pPr>
        <w:ind w:left="491" w:right="260" w:hanging="491"/>
        <w:spacing w:after="0" w:line="258"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81" w:lineRule="exact"/>
        <w:rPr>
          <w:rFonts w:ascii="Arial" w:cs="Arial" w:eastAsia="Arial" w:hAnsi="Arial"/>
          <w:sz w:val="20"/>
          <w:szCs w:val="20"/>
          <w:color w:val="454546"/>
        </w:rPr>
      </w:pPr>
    </w:p>
    <w:p>
      <w:pPr>
        <w:ind w:left="491" w:right="34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A substantial portion of our revenue is processed through a single distributor and the loss of this distributor may cause disruptions in our shipments, which may adversely affect our operations and financial condition.</w:t>
      </w:r>
    </w:p>
    <w:p>
      <w:pPr>
        <w:spacing w:after="0" w:line="64" w:lineRule="exact"/>
        <w:rPr>
          <w:rFonts w:ascii="Arial" w:cs="Arial" w:eastAsia="Arial" w:hAnsi="Arial"/>
          <w:sz w:val="20"/>
          <w:szCs w:val="20"/>
          <w:color w:val="454546"/>
        </w:rPr>
      </w:pPr>
    </w:p>
    <w:p>
      <w:pPr>
        <w:ind w:left="491" w:hanging="491"/>
        <w:spacing w:after="0"/>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subject to risks associated with our distributors’ product inventories.</w:t>
      </w:r>
    </w:p>
    <w:p>
      <w:pPr>
        <w:spacing w:after="0" w:line="133" w:lineRule="exact"/>
        <w:rPr>
          <w:rFonts w:ascii="Arial" w:cs="Arial" w:eastAsia="Arial" w:hAnsi="Arial"/>
          <w:sz w:val="20"/>
          <w:szCs w:val="20"/>
          <w:color w:val="454546"/>
        </w:rPr>
      </w:pPr>
    </w:p>
    <w:p>
      <w:pPr>
        <w:ind w:left="491" w:hanging="491"/>
        <w:spacing w:after="0"/>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rely on various third-party vendors, service providers and contractors in the operation of our business.</w:t>
      </w:r>
    </w:p>
    <w:p>
      <w:pPr>
        <w:spacing w:after="0" w:line="133" w:lineRule="exact"/>
        <w:rPr>
          <w:rFonts w:ascii="Arial" w:cs="Arial" w:eastAsia="Arial" w:hAnsi="Arial"/>
          <w:sz w:val="20"/>
          <w:szCs w:val="20"/>
          <w:color w:val="454546"/>
        </w:rPr>
      </w:pPr>
    </w:p>
    <w:p>
      <w:pPr>
        <w:ind w:left="491" w:right="140" w:hanging="491"/>
        <w:spacing w:after="0" w:line="276"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Global economic and political conditions, including high inflation and trade restrictions, recessionary concerns and trade restrictions, may impact our business and financial condition in ways that we currently cannot predict.</w:t>
      </w:r>
    </w:p>
    <w:p>
      <w:pPr>
        <w:spacing w:after="0" w:line="64" w:lineRule="exact"/>
        <w:rPr>
          <w:rFonts w:ascii="Arial" w:cs="Arial" w:eastAsia="Arial" w:hAnsi="Arial"/>
          <w:sz w:val="20"/>
          <w:szCs w:val="20"/>
          <w:color w:val="454546"/>
        </w:rPr>
      </w:pPr>
    </w:p>
    <w:p>
      <w:pPr>
        <w:ind w:left="491" w:right="120" w:hanging="491"/>
        <w:spacing w:after="0" w:line="258" w:lineRule="auto"/>
        <w:tabs>
          <w:tab w:leader="none" w:pos="491" w:val="left"/>
        </w:tabs>
        <w:numPr>
          <w:ilvl w:val="0"/>
          <w:numId w:val="10"/>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subject to governmental export and import controls that could subject us to liability or impair our ability to compete in international markets, including China. In addition, our ability to sell our products to certain China customers has been restricted.</w:t>
      </w:r>
    </w:p>
    <w:p>
      <w:pPr>
        <w:sectPr>
          <w:pgSz w:w="12240" w:h="15840" w:orient="portrait"/>
          <w:cols w:equalWidth="0" w:num="1">
            <w:col w:w="10291"/>
          </w:cols>
          <w:pgMar w:left="1209" w:top="990" w:right="740" w:bottom="175" w:gutter="0" w:footer="0" w:header="0"/>
        </w:sectPr>
      </w:pPr>
    </w:p>
    <w:p>
      <w:pPr>
        <w:spacing w:after="0" w:line="292" w:lineRule="exact"/>
        <w:rPr>
          <w:sz w:val="20"/>
          <w:szCs w:val="20"/>
          <w:color w:val="auto"/>
        </w:rPr>
      </w:pPr>
    </w:p>
    <w:p>
      <w:pPr>
        <w:jc w:val="center"/>
        <w:ind w:right="469"/>
        <w:spacing w:after="0"/>
        <w:rPr>
          <w:sz w:val="20"/>
          <w:szCs w:val="20"/>
          <w:color w:val="auto"/>
        </w:rPr>
      </w:pPr>
      <w:r>
        <w:rPr>
          <w:rFonts w:ascii="Times New Roman" w:cs="Times New Roman" w:eastAsia="Times New Roman" w:hAnsi="Times New Roman"/>
          <w:sz w:val="20"/>
          <w:szCs w:val="20"/>
          <w:color w:val="454546"/>
        </w:rPr>
        <w:t>19</w:t>
      </w:r>
    </w:p>
    <w:p>
      <w:pPr>
        <w:sectPr>
          <w:pgSz w:w="12240" w:h="15840" w:orient="portrait"/>
          <w:cols w:equalWidth="0" w:num="1">
            <w:col w:w="10291"/>
          </w:cols>
          <w:pgMar w:left="1209" w:top="990" w:right="740" w:bottom="175" w:gutter="0" w:footer="0" w:header="0"/>
          <w:type w:val="continuous"/>
        </w:sectPr>
      </w:pPr>
    </w:p>
    <w:bookmarkStart w:id="24" w:name="page25"/>
    <w:bookmarkEnd w:id="24"/>
    <w:p>
      <w:pPr>
        <w:ind w:left="980" w:hanging="491"/>
        <w:spacing w:after="0"/>
        <w:tabs>
          <w:tab w:leader="none" w:pos="980" w:val="left"/>
        </w:tabs>
        <w:numPr>
          <w:ilvl w:val="0"/>
          <w:numId w:val="11"/>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subject to warranty and product liability claims and to product recalls.</w:t>
      </w:r>
    </w:p>
    <w:p>
      <w:pPr>
        <w:spacing w:after="0" w:line="133" w:lineRule="exact"/>
        <w:rPr>
          <w:rFonts w:ascii="Arial" w:cs="Arial" w:eastAsia="Arial" w:hAnsi="Arial"/>
          <w:sz w:val="20"/>
          <w:szCs w:val="20"/>
          <w:color w:val="454546"/>
        </w:rPr>
      </w:pPr>
    </w:p>
    <w:p>
      <w:pPr>
        <w:ind w:left="980" w:right="500" w:hanging="491"/>
        <w:spacing w:after="0" w:line="276" w:lineRule="auto"/>
        <w:tabs>
          <w:tab w:leader="none" w:pos="980" w:val="left"/>
        </w:tabs>
        <w:numPr>
          <w:ilvl w:val="0"/>
          <w:numId w:val="11"/>
        </w:numPr>
        <w:rPr>
          <w:rFonts w:ascii="Arial" w:cs="Arial" w:eastAsia="Arial" w:hAnsi="Arial"/>
          <w:sz w:val="20"/>
          <w:szCs w:val="20"/>
          <w:color w:val="454546"/>
        </w:rPr>
      </w:pPr>
      <w:r>
        <w:rPr>
          <w:rFonts w:ascii="Times New Roman" w:cs="Times New Roman" w:eastAsia="Times New Roman" w:hAnsi="Times New Roman"/>
          <w:sz w:val="20"/>
          <w:szCs w:val="20"/>
          <w:color w:val="454546"/>
        </w:rPr>
        <w:t>We are subject to numerous regulatory compliance requirements, which are costly to comply with, and our failure to comply with these requirements could harm our business and operating results.</w:t>
      </w:r>
    </w:p>
    <w:p>
      <w:pPr>
        <w:spacing w:after="0" w:line="64" w:lineRule="exact"/>
        <w:rPr>
          <w:rFonts w:ascii="Arial" w:cs="Arial" w:eastAsia="Arial" w:hAnsi="Arial"/>
          <w:sz w:val="20"/>
          <w:szCs w:val="20"/>
          <w:color w:val="454546"/>
        </w:rPr>
      </w:pPr>
    </w:p>
    <w:p>
      <w:pPr>
        <w:jc w:val="both"/>
        <w:ind w:left="980" w:right="120" w:hanging="491"/>
        <w:spacing w:after="0" w:line="258" w:lineRule="auto"/>
        <w:tabs>
          <w:tab w:leader="none" w:pos="980" w:val="left"/>
        </w:tabs>
        <w:numPr>
          <w:ilvl w:val="0"/>
          <w:numId w:val="11"/>
        </w:numPr>
        <w:rPr>
          <w:rFonts w:ascii="Arial" w:cs="Arial" w:eastAsia="Arial" w:hAnsi="Arial"/>
          <w:sz w:val="20"/>
          <w:szCs w:val="20"/>
          <w:color w:val="454546"/>
        </w:rPr>
      </w:pPr>
      <w:r>
        <w:rPr>
          <w:rFonts w:ascii="Times New Roman" w:cs="Times New Roman" w:eastAsia="Times New Roman" w:hAnsi="Times New Roman"/>
          <w:sz w:val="20"/>
          <w:szCs w:val="20"/>
          <w:color w:val="454546"/>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Business and Our Industry</w:t>
      </w:r>
    </w:p>
    <w:p>
      <w:pPr>
        <w:spacing w:after="0" w:line="234"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Impacts of the global semiconductor supply shortage and uncertain macroeconomic conditions could adversely affect our business, financial condition, and results of operations.</w:t>
      </w:r>
    </w:p>
    <w:p>
      <w:pPr>
        <w:spacing w:after="0" w:line="15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While we work closely with our suppliers and customers to minimize the potential adverse impacts of these considerations of supply shortage and longer lead times, we have experienced increased volatility in our business. In recent periods, some customers have indicated they are reducing their inventory levels as lead times for semiconductor chips and other components used by customers begin to shrink, which has reduced, and may continue to reduce, such customers’ demand for our products and harm our financial results. Weak economic conditions or uncertain demand for their products may exacerbate such customers’ inventory reduction efforts, further impacting such customers’ demand for our products. To the extent customers face supply chain issues with respect to other components needed to pair with our products in order to produce their end products, such customers may delay future orders of our products or hold inventory of our products for longer periods of time. With respect to our suppliers, we have in the past experienced supply constraints for certain chips from Samsung and we may in the future experience similar issues. Impacts of the global supply shortages and uncertainty in customer demand and the worldwide economy in general may be exacerbated by the impacts of high inflation and global banking concerns, and we may experience increased volatility in sales and revenues as a result.</w:t>
      </w:r>
    </w:p>
    <w:p>
      <w:pPr>
        <w:spacing w:after="0" w:line="201"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203"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90"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fail to penetrate new markets, including the automotive OEM and ADAS market, our revenue and financial condition could be harmed.</w:t>
      </w:r>
    </w:p>
    <w:p>
      <w:pPr>
        <w:sectPr>
          <w:pgSz w:w="12240" w:h="15840" w:orient="portrait"/>
          <w:cols w:equalWidth="0" w:num="1">
            <w:col w:w="10800"/>
          </w:cols>
          <w:pgMar w:left="720" w:top="99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20</w:t>
      </w:r>
    </w:p>
    <w:p>
      <w:pPr>
        <w:sectPr>
          <w:pgSz w:w="12240" w:h="15840" w:orient="portrait"/>
          <w:cols w:equalWidth="0" w:num="1">
            <w:col w:w="10800"/>
          </w:cols>
          <w:pgMar w:left="720" w:top="990" w:right="720" w:bottom="175" w:gutter="0" w:footer="0" w:header="0"/>
          <w:type w:val="continuous"/>
        </w:sectPr>
      </w:pPr>
    </w:p>
    <w:bookmarkStart w:id="25" w:name="page26"/>
    <w:bookmarkEnd w:id="25"/>
    <w:p>
      <w:pPr>
        <w:ind w:firstLine="490"/>
        <w:spacing w:after="0" w:line="242" w:lineRule="auto"/>
        <w:rPr>
          <w:sz w:val="20"/>
          <w:szCs w:val="20"/>
          <w:color w:val="auto"/>
        </w:rPr>
      </w:pPr>
      <w:r>
        <w:rPr>
          <w:rFonts w:ascii="Times New Roman" w:cs="Times New Roman" w:eastAsia="Times New Roman" w:hAnsi="Times New Roman"/>
          <w:sz w:val="20"/>
          <w:szCs w:val="20"/>
          <w:color w:val="454546"/>
        </w:rPr>
        <w:t>We believe that our future revenue growth, if any, significantly depends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9"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fail to develop and introduce new or enhanced solutions that meet market requirements on a timely basis, our ability to attract and retain customers could be impaired and our competitive position could be harmed.</w:t>
      </w:r>
    </w:p>
    <w:p>
      <w:pPr>
        <w:spacing w:after="0" w:line="15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96"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6"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454546"/>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21</w:t>
      </w:r>
    </w:p>
    <w:p>
      <w:pPr>
        <w:sectPr>
          <w:pgSz w:w="12240" w:h="15840" w:orient="portrait"/>
          <w:cols w:equalWidth="0" w:num="1">
            <w:col w:w="10800"/>
          </w:cols>
          <w:pgMar w:left="720" w:top="976" w:right="720" w:bottom="175" w:gutter="0" w:footer="0" w:header="0"/>
          <w:type w:val="continuous"/>
        </w:sectPr>
      </w:pPr>
    </w:p>
    <w:bookmarkStart w:id="26" w:name="page27"/>
    <w:bookmarkEnd w:id="26"/>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or legal liability.</w:t>
      </w:r>
    </w:p>
    <w:p>
      <w:pPr>
        <w:spacing w:after="0" w:line="187"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Shortages in, or increased costs of, wafers and materials could adversely impact our gross margins and lead to reduced revenues.</w:t>
      </w:r>
    </w:p>
    <w:p>
      <w:pPr>
        <w:spacing w:after="0" w:line="15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has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 In recent periods, some customers have indicated they are reducing their inventory levels as lead times for semiconductor chips and other components used by customers shrink, which may reduce such customers’ demand for our products in future periods and harm our financial results.</w:t>
      </w:r>
    </w:p>
    <w:p>
      <w:pPr>
        <w:spacing w:after="0" w:line="193"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has imposed restrictions on exports and reexports of U.S.-controlled items to Hong Kong by imposing on Hong Kong the same stringent licensing requirements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93"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92"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customers may cancel their orders, change production quantities or delay production. If we fail to accurately forecast demand for our solutions, revenue shortfalls or excess, obsolete or insufficient inventory could result.</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22</w:t>
      </w:r>
    </w:p>
    <w:p>
      <w:pPr>
        <w:sectPr>
          <w:pgSz w:w="12240" w:h="15840" w:orient="portrait"/>
          <w:cols w:equalWidth="0" w:num="1">
            <w:col w:w="10800"/>
          </w:cols>
          <w:pgMar w:left="720" w:top="976" w:right="720" w:bottom="175" w:gutter="0" w:footer="0" w:header="0"/>
          <w:type w:val="continuous"/>
        </w:sectPr>
      </w:pPr>
    </w:p>
    <w:bookmarkStart w:id="27" w:name="page28"/>
    <w:bookmarkEnd w:id="27"/>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In recent periods, some customers have indicated they are reducing their inventory levels of our products, which may reduce such customers’ demand for our products in future quarters.</w:t>
      </w:r>
    </w:p>
    <w:p>
      <w:pPr>
        <w:spacing w:after="0" w:line="192"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9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87"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2024, two customers represented 10% or more of our revenue.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53% and 14% of total revenue, respectively. In addition, we believe that revenue from our top 10 end customers, either directly or through a distributor or an ODM, accounted for approximately 51% of our total revenue in fiscal year 2024.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201"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7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23</w:t>
      </w:r>
    </w:p>
    <w:p>
      <w:pPr>
        <w:sectPr>
          <w:pgSz w:w="12240" w:h="15840" w:orient="portrait"/>
          <w:cols w:equalWidth="0" w:num="1">
            <w:col w:w="10800"/>
          </w:cols>
          <w:pgMar w:left="720" w:top="976" w:right="720" w:bottom="175" w:gutter="0" w:footer="0" w:header="0"/>
          <w:type w:val="continuous"/>
        </w:sectPr>
      </w:pPr>
    </w:p>
    <w:bookmarkStart w:id="28" w:name="page29"/>
    <w:bookmarkEnd w:id="28"/>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0"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51515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expect competition to increase in the future, which could have an adverse effect on our revenue and market share.</w:t>
      </w:r>
    </w:p>
    <w:p>
      <w:pPr>
        <w:spacing w:after="0" w:line="23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9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91" w:lineRule="exact"/>
        <w:rPr>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anticipate market and technology trends and successfully develop solutions that meet market needs;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understand the price points and performance metrics of competing products in the marketplace;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2"/>
        </w:numPr>
        <w:rPr>
          <w:rFonts w:ascii="Arial" w:cs="Arial" w:eastAsia="Arial" w:hAnsi="Arial"/>
          <w:sz w:val="20"/>
          <w:szCs w:val="20"/>
          <w:color w:val="454546"/>
        </w:rPr>
      </w:pPr>
      <w:r>
        <w:rPr>
          <w:rFonts w:ascii="Times New Roman" w:cs="Times New Roman" w:eastAsia="Times New Roman" w:hAnsi="Times New Roman"/>
          <w:sz w:val="20"/>
          <w:szCs w:val="20"/>
          <w:color w:val="454546"/>
        </w:rPr>
        <w:t>our solutions’ performance and cost-effectiveness relative to that of competing products;</w:t>
      </w:r>
    </w:p>
    <w:p>
      <w:pPr>
        <w:sectPr>
          <w:pgSz w:w="12240" w:h="15840" w:orient="portrait"/>
          <w:cols w:equalWidth="0" w:num="1">
            <w:col w:w="10780"/>
          </w:cols>
          <w:pgMar w:left="720" w:top="976" w:right="740" w:bottom="175"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24</w:t>
      </w:r>
    </w:p>
    <w:p>
      <w:pPr>
        <w:sectPr>
          <w:pgSz w:w="12240" w:h="15840" w:orient="portrait"/>
          <w:cols w:equalWidth="0" w:num="1">
            <w:col w:w="10780"/>
          </w:cols>
          <w:pgMar w:left="720" w:top="976" w:right="740" w:bottom="175" w:gutter="0" w:footer="0" w:header="0"/>
          <w:type w:val="continuous"/>
        </w:sectPr>
      </w:pPr>
    </w:p>
    <w:bookmarkStart w:id="29" w:name="page30"/>
    <w:bookmarkEnd w:id="29"/>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success in identifying and penetrating new markets, applications and customers;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gain access to leading design tools and product specifications at the same time as our competitors;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develop and maintain relationships with key OEMs and ODMs;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products’ effective implementation of video processing or radar standards;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protect our intellectual property;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expand international operations in a timely and cost-efficient manner;</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deliver products in volume on a timely basis at competitive prices;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support our customers’ incorporation of our solutions into their products; and</w:t>
      </w:r>
    </w:p>
    <w:p>
      <w:pPr>
        <w:spacing w:after="0" w:line="133" w:lineRule="exact"/>
        <w:rPr>
          <w:rFonts w:ascii="Arial" w:cs="Arial" w:eastAsia="Arial" w:hAnsi="Arial"/>
          <w:sz w:val="20"/>
          <w:szCs w:val="20"/>
          <w:color w:val="454546"/>
        </w:rPr>
      </w:pPr>
    </w:p>
    <w:p>
      <w:pPr>
        <w:ind w:left="980" w:right="500" w:hanging="491"/>
        <w:spacing w:after="0" w:line="276" w:lineRule="auto"/>
        <w:tabs>
          <w:tab w:leader="none" w:pos="980" w:val="left"/>
        </w:tabs>
        <w:numPr>
          <w:ilvl w:val="0"/>
          <w:numId w:val="13"/>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recruit design and application engineers with expertise in computer vision, video and image processing technologies and sales and marketing personnel.</w:t>
      </w:r>
    </w:p>
    <w:p>
      <w:pPr>
        <w:spacing w:after="0" w:line="16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A breach of our security systems may have a material adverse effect on our business.</w:t>
      </w:r>
    </w:p>
    <w:p>
      <w:pPr>
        <w:spacing w:after="0" w:line="23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ectPr>
          <w:pgSz w:w="12240" w:h="15840" w:orient="portrait"/>
          <w:cols w:equalWidth="0" w:num="1">
            <w:col w:w="10800"/>
          </w:cols>
          <w:pgMar w:left="720" w:top="99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25</w:t>
      </w:r>
    </w:p>
    <w:p>
      <w:pPr>
        <w:sectPr>
          <w:pgSz w:w="12240" w:h="15840" w:orient="portrait"/>
          <w:cols w:equalWidth="0" w:num="1">
            <w:col w:w="10800"/>
          </w:cols>
          <w:pgMar w:left="720" w:top="990" w:right="720" w:bottom="175" w:gutter="0" w:footer="0" w:header="0"/>
          <w:type w:val="continuous"/>
        </w:sectPr>
      </w:pPr>
    </w:p>
    <w:bookmarkStart w:id="30" w:name="page31"/>
    <w:bookmarkEnd w:id="30"/>
    <w:p>
      <w:pPr>
        <w:ind w:firstLine="490"/>
        <w:spacing w:after="0" w:line="241" w:lineRule="auto"/>
        <w:rPr>
          <w:sz w:val="20"/>
          <w:szCs w:val="20"/>
          <w:color w:val="auto"/>
        </w:rPr>
      </w:pPr>
      <w:r>
        <w:rPr>
          <w:rFonts w:ascii="Times New Roman" w:cs="Times New Roman" w:eastAsia="Times New Roman" w:hAnsi="Times New Roman"/>
          <w:sz w:val="20"/>
          <w:szCs w:val="20"/>
          <w:color w:val="454546"/>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Our policies and security measures cannot guarantee security, and our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products and services relate to, among other things, human resources, electronic communication services and some finance functions, and we are, of necessity, dependent on the security systems of these third-party providers. These third-party service providers are subject to similar, and in certain cases greater, security threats than we face. These third -party providers may also experience breaches, incidents, and attacks compromising or otherwise impacting their products, and their products may contain security vulnerabilities, each of which could impact our systems, and unauthorized access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such as product development, customer support, processing purchase orders and invoices, product distribution, recording and reporting financial and management information on a timely and accurate basis, and could impact our internal control compliance efforts. Due to conflicts and geopolitical events such as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19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8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454546"/>
        </w:rPr>
        <w:t>The semiconductor industry requires substantial investment in research and development in order to bring to market new and enhanced solutions. Our research and development expense was $215.1 million, $204.9 million and $167.3 million in fiscal years 2024, 2023 and 2022, respectively.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The loss of any of our key personnel could seriously harm our business.</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26</w:t>
      </w:r>
    </w:p>
    <w:p>
      <w:pPr>
        <w:sectPr>
          <w:pgSz w:w="12240" w:h="15840" w:orient="portrait"/>
          <w:cols w:equalWidth="0" w:num="1">
            <w:col w:w="10780"/>
          </w:cols>
          <w:pgMar w:left="720" w:top="976" w:right="740" w:bottom="175" w:gutter="0" w:footer="0" w:header="0"/>
          <w:type w:val="continuous"/>
        </w:sectPr>
      </w:pPr>
    </w:p>
    <w:bookmarkStart w:id="31" w:name="page32"/>
    <w:bookmarkEnd w:id="31"/>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2"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rely on highly skilled personnel and, if we are unable to hire, retain or motivate key personnel, we may not be able to grow effectively.</w:t>
      </w:r>
    </w:p>
    <w:p>
      <w:pPr>
        <w:spacing w:after="0" w:line="15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9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92"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manage any future growth, we may not be able to execute our business plan and our operating results could suffer.</w:t>
      </w:r>
    </w:p>
    <w:p>
      <w:pPr>
        <w:spacing w:after="0" w:line="159"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454546"/>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91" w:lineRule="exact"/>
        <w:rPr>
          <w:sz w:val="20"/>
          <w:szCs w:val="20"/>
          <w:color w:val="auto"/>
        </w:rPr>
      </w:pPr>
    </w:p>
    <w:p>
      <w:pPr>
        <w:ind w:left="980" w:right="160" w:hanging="491"/>
        <w:spacing w:after="0" w:line="276"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recruit, hire, train and manage additional qualified engineers for our research and development activities, particularly for the positions of semiconductor design and systems, AI computer vision development and applications engineering;</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add additional sales and business development personnel;</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maintain and improve our administrative, financial and operational systems, procedures and controls;</w:t>
      </w:r>
    </w:p>
    <w:p>
      <w:pPr>
        <w:spacing w:after="0" w:line="133" w:lineRule="exact"/>
        <w:rPr>
          <w:rFonts w:ascii="Arial" w:cs="Arial" w:eastAsia="Arial" w:hAnsi="Arial"/>
          <w:sz w:val="20"/>
          <w:szCs w:val="20"/>
          <w:color w:val="454546"/>
        </w:rPr>
      </w:pPr>
    </w:p>
    <w:p>
      <w:pPr>
        <w:ind w:left="980" w:right="440" w:hanging="491"/>
        <w:spacing w:after="0" w:line="276" w:lineRule="auto"/>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enhance our information technology support for enterprise resource planning and design engineering by adapting and expanding our systems and tool capabilities, and properly training new hires as to their use; and</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4"/>
        </w:numPr>
        <w:rPr>
          <w:rFonts w:ascii="Arial" w:cs="Arial" w:eastAsia="Arial" w:hAnsi="Arial"/>
          <w:sz w:val="20"/>
          <w:szCs w:val="20"/>
          <w:color w:val="454546"/>
        </w:rPr>
      </w:pPr>
      <w:r>
        <w:rPr>
          <w:rFonts w:ascii="Times New Roman" w:cs="Times New Roman" w:eastAsia="Times New Roman" w:hAnsi="Times New Roman"/>
          <w:sz w:val="20"/>
          <w:szCs w:val="20"/>
          <w:color w:val="454546"/>
        </w:rPr>
        <w:t>be able to secure sufficient manufacturing capacity.</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27</w:t>
      </w:r>
    </w:p>
    <w:p>
      <w:pPr>
        <w:sectPr>
          <w:pgSz w:w="12240" w:h="15840" w:orient="portrait"/>
          <w:cols w:equalWidth="0" w:num="1">
            <w:col w:w="10800"/>
          </w:cols>
          <w:pgMar w:left="720" w:top="976" w:right="720" w:bottom="175" w:gutter="0" w:footer="0" w:header="0"/>
          <w:type w:val="continuous"/>
        </w:sectPr>
      </w:pPr>
    </w:p>
    <w:bookmarkStart w:id="32" w:name="page33"/>
    <w:bookmarkEnd w:id="32"/>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Deterioration of the financial conditions of our customers could adversely affect our operating results.</w:t>
      </w:r>
    </w:p>
    <w:p>
      <w:pPr>
        <w:spacing w:after="0" w:line="23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Deterioration of the financial condition of our distributors or customers could adversely impact our collection of accounts receivable. For the fiscal year ended January 31, 2024, the customers representing 10% or more of revenue were WT and Chicony, which accounted for approximately 53% and 14% of total revenue, respectively. As of January 31, 2024, accounts receivable with WT and Chicony were approximately $10.3 million and $7.0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are subject to the cyclical nature of the semiconductor industry.</w:t>
      </w:r>
    </w:p>
    <w:p>
      <w:pPr>
        <w:spacing w:after="0" w:line="23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Most recently, some customers have indicated their intent to reduce their inventory levels as capacity shortages improve, which has and may continue to negatively impact such customers’ demand for our solutions in future periods and, in turn, harm our financial results.</w:t>
      </w:r>
    </w:p>
    <w:p>
      <w:pPr>
        <w:spacing w:after="0" w:line="193"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2"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experience difficulties in transitioning to new wafer fabrication process technologies or in achieving higher levels of design integration, which may result in reduced manufacturing yields, delays in product deliveries and increased costs.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28</w:t>
      </w:r>
    </w:p>
    <w:p>
      <w:pPr>
        <w:sectPr>
          <w:pgSz w:w="12240" w:h="15840" w:orient="portrait"/>
          <w:cols w:equalWidth="0" w:num="1">
            <w:col w:w="10800"/>
          </w:cols>
          <w:pgMar w:left="720" w:top="976" w:right="720" w:bottom="175" w:gutter="0" w:footer="0" w:header="0"/>
          <w:type w:val="continuous"/>
        </w:sectPr>
      </w:pPr>
    </w:p>
    <w:bookmarkStart w:id="33" w:name="page34"/>
    <w:bookmarkEnd w:id="33"/>
    <w:p>
      <w:pPr>
        <w:ind w:firstLine="490"/>
        <w:spacing w:after="0" w:line="243" w:lineRule="auto"/>
        <w:rPr>
          <w:sz w:val="20"/>
          <w:szCs w:val="20"/>
          <w:color w:val="auto"/>
        </w:rPr>
      </w:pPr>
      <w:r>
        <w:rPr>
          <w:rFonts w:ascii="Times New Roman" w:cs="Times New Roman" w:eastAsia="Times New Roman" w:hAnsi="Times New Roman"/>
          <w:sz w:val="20"/>
          <w:szCs w:val="20"/>
          <w:color w:val="454546"/>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Rapidly changing industry standards could make our video and image processing solutions obsolete, which would cause our operating results to suffer.</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93"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Pandemics, epidemics, or other widespread public health crises have had, and may in the future have, an adverse impact upon our business, results of operations, and financial condition.</w:t>
      </w:r>
    </w:p>
    <w:p>
      <w:pPr>
        <w:spacing w:after="0" w:line="24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A future pandemic, epidemic, health crisis, or other outbreak of disease, including the emergence of new COVID-19 variants, may negatively and materially impact our business, results of operations, and financial condition, due to:</w:t>
      </w:r>
    </w:p>
    <w:p>
      <w:pPr>
        <w:spacing w:after="0" w:line="63"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a global economic recession or depression that could significantly reduce demand and/or prices for our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reduced productivity in our product development, operations, marketing, sales, and other activities;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government mandates, guidance, or recommendations regarding shutdown, closures, or other restrictions;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disruptions to our supply chain;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disruption of normal ordering patterns of our customers;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higher rate of losses on our accounts receivable due to credit defaults; or</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5"/>
        </w:numPr>
        <w:rPr>
          <w:rFonts w:ascii="Arial" w:cs="Arial" w:eastAsia="Arial" w:hAnsi="Arial"/>
          <w:sz w:val="20"/>
          <w:szCs w:val="20"/>
          <w:color w:val="454546"/>
        </w:rPr>
      </w:pPr>
      <w:r>
        <w:rPr>
          <w:rFonts w:ascii="Times New Roman" w:cs="Times New Roman" w:eastAsia="Times New Roman" w:hAnsi="Times New Roman"/>
          <w:sz w:val="20"/>
          <w:szCs w:val="20"/>
          <w:color w:val="454546"/>
        </w:rPr>
        <w:t>volatility in our stock price.</w:t>
      </w:r>
    </w:p>
    <w:p>
      <w:pPr>
        <w:spacing w:after="0" w:line="200" w:lineRule="exact"/>
        <w:rPr>
          <w:sz w:val="20"/>
          <w:szCs w:val="20"/>
          <w:color w:val="auto"/>
        </w:rPr>
      </w:pPr>
    </w:p>
    <w:p>
      <w:pPr>
        <w:spacing w:after="0" w:line="25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454546"/>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As a result of the pandemic, from time to time government authorities imposed lockdowns and other restrictions. The pandemic impacted our workforce and the operations of our customers and suppliers. In response to the pandemic and related government measures, we implemented safety measures to protect our employees and contractors at our locations around the world.</w:t>
      </w:r>
    </w:p>
    <w:p>
      <w:pPr>
        <w:spacing w:after="0" w:line="19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454546"/>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remain unclear and difficult to predict.</w:t>
      </w:r>
    </w:p>
    <w:p>
      <w:pPr>
        <w:sectPr>
          <w:pgSz w:w="12240" w:h="15840" w:orient="portrait"/>
          <w:cols w:equalWidth="0" w:num="1">
            <w:col w:w="10760"/>
          </w:cols>
          <w:pgMar w:left="720" w:top="97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29</w:t>
      </w:r>
    </w:p>
    <w:p>
      <w:pPr>
        <w:sectPr>
          <w:pgSz w:w="12240" w:h="15840" w:orient="portrait"/>
          <w:cols w:equalWidth="0" w:num="1">
            <w:col w:w="10760"/>
          </w:cols>
          <w:pgMar w:left="720" w:top="976" w:right="760" w:bottom="175" w:gutter="0" w:footer="0" w:header="0"/>
          <w:type w:val="continuous"/>
        </w:sectPr>
      </w:pPr>
    </w:p>
    <w:bookmarkStart w:id="34" w:name="page35"/>
    <w:bookmarkEnd w:id="34"/>
    <w:p>
      <w:pPr>
        <w:jc w:val="both"/>
        <w:ind w:right="1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7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94" w:lineRule="exact"/>
        <w:rPr>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increased complexity and costs of managing international operations;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longer and more difficult collection of receivables from customers;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difficulties in enforcing contracts generally;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regional economic instability;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geopolitical instability and military conflicts, including the ongoing conflicts in Ukraine and the Middle East;</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limited protection of our intellectual property and other assets;</w:t>
      </w:r>
    </w:p>
    <w:p>
      <w:pPr>
        <w:spacing w:after="0" w:line="133" w:lineRule="exact"/>
        <w:rPr>
          <w:rFonts w:ascii="Arial" w:cs="Arial" w:eastAsia="Arial" w:hAnsi="Arial"/>
          <w:sz w:val="20"/>
          <w:szCs w:val="20"/>
          <w:color w:val="454546"/>
        </w:rPr>
      </w:pPr>
    </w:p>
    <w:p>
      <w:pPr>
        <w:ind w:left="980" w:right="280" w:hanging="491"/>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compliance with local laws and regulations and unanticipated changes in local laws and regulations, including tax laws and regulations;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trade and foreign exchange restrictions and higher tariffs;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travel restrictions;</w:t>
      </w:r>
    </w:p>
    <w:p>
      <w:pPr>
        <w:spacing w:after="0" w:line="133" w:lineRule="exact"/>
        <w:rPr>
          <w:rFonts w:ascii="Arial" w:cs="Arial" w:eastAsia="Arial" w:hAnsi="Arial"/>
          <w:sz w:val="20"/>
          <w:szCs w:val="20"/>
          <w:color w:val="454546"/>
        </w:rPr>
      </w:pPr>
    </w:p>
    <w:p>
      <w:pPr>
        <w:ind w:left="980" w:right="240" w:hanging="491"/>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timing and availability of import and export licenses and other governmental approvals, permits and licenses, including export classification requirements;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foreign currency exchange fluctuations relating to our international operating activities;</w:t>
      </w:r>
    </w:p>
    <w:p>
      <w:pPr>
        <w:spacing w:after="0" w:line="133" w:lineRule="exact"/>
        <w:rPr>
          <w:rFonts w:ascii="Arial" w:cs="Arial" w:eastAsia="Arial" w:hAnsi="Arial"/>
          <w:sz w:val="20"/>
          <w:szCs w:val="20"/>
          <w:color w:val="454546"/>
        </w:rPr>
      </w:pPr>
    </w:p>
    <w:p>
      <w:pPr>
        <w:ind w:left="980" w:hanging="491"/>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restrictions imposed by the U.S. government on our ability to do business with certain companies or in certain countries as a result of international political conflicts;</w:t>
      </w:r>
    </w:p>
    <w:p>
      <w:pPr>
        <w:spacing w:after="0" w:line="64" w:lineRule="exact"/>
        <w:rPr>
          <w:rFonts w:ascii="Arial" w:cs="Arial" w:eastAsia="Arial" w:hAnsi="Arial"/>
          <w:sz w:val="20"/>
          <w:szCs w:val="20"/>
          <w:color w:val="454546"/>
        </w:rPr>
      </w:pPr>
    </w:p>
    <w:p>
      <w:pPr>
        <w:ind w:left="980" w:right="200" w:hanging="491"/>
        <w:spacing w:after="0" w:line="276" w:lineRule="auto"/>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transportation delays and other consequences of limited local infrastructure, and disruptions, such as large-scale outages or interruptions of service from utilities or telecommunications providers;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heightened risk of terrorist acts;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local business and cultural factors that differ from standards and practices in the U.S.;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differing employment practices and labor relations;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regional health issues, pandemics, and natural disasters;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6"/>
        </w:numPr>
        <w:rPr>
          <w:rFonts w:ascii="Arial" w:cs="Arial" w:eastAsia="Arial" w:hAnsi="Arial"/>
          <w:sz w:val="20"/>
          <w:szCs w:val="20"/>
          <w:color w:val="454546"/>
        </w:rPr>
      </w:pPr>
      <w:r>
        <w:rPr>
          <w:rFonts w:ascii="Times New Roman" w:cs="Times New Roman" w:eastAsia="Times New Roman" w:hAnsi="Times New Roman"/>
          <w:sz w:val="20"/>
          <w:szCs w:val="20"/>
          <w:color w:val="454546"/>
        </w:rPr>
        <w:t>work stoppages.</w:t>
      </w:r>
    </w:p>
    <w:p>
      <w:pPr>
        <w:spacing w:after="0" w:line="229"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454546"/>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ectPr>
          <w:pgSz w:w="12240" w:h="15840" w:orient="portrait"/>
          <w:cols w:equalWidth="0" w:num="1">
            <w:col w:w="10780"/>
          </w:cols>
          <w:pgMar w:left="720" w:top="120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30</w:t>
      </w:r>
    </w:p>
    <w:p>
      <w:pPr>
        <w:sectPr>
          <w:pgSz w:w="12240" w:h="15840" w:orient="portrait"/>
          <w:cols w:equalWidth="0" w:num="1">
            <w:col w:w="10780"/>
          </w:cols>
          <w:pgMar w:left="720" w:top="1206" w:right="740" w:bottom="175" w:gutter="0" w:footer="0" w:header="0"/>
          <w:type w:val="continuous"/>
        </w:sectPr>
      </w:pPr>
    </w:p>
    <w:bookmarkStart w:id="35" w:name="page36"/>
    <w:bookmarkEnd w:id="35"/>
    <w:p>
      <w:pPr>
        <w:ind w:right="6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The complexity of calculating our tax provision may result in errors that could result in restatements of our financial statements.</w:t>
      </w:r>
    </w:p>
    <w:p>
      <w:pPr>
        <w:spacing w:after="0" w:line="15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Climate change and climate change-related policies and regulations may have a long-term impact on our business.</w:t>
      </w:r>
    </w:p>
    <w:p>
      <w:pPr>
        <w:spacing w:after="0" w:line="23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454546"/>
        </w:rPr>
        <w:t>Global climate change is causing, and is projected to continue to cause, an increase in the frequency and intensity of certain natural disasters and adverse weather, such as drought, wildfires, severe storms, sea-level rise, flooding, heat waves and cold waves, occurring more frequently 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w:t>
      </w:r>
    </w:p>
    <w:p>
      <w:pPr>
        <w:spacing w:after="0" w:line="190" w:lineRule="exact"/>
        <w:rPr>
          <w:sz w:val="20"/>
          <w:szCs w:val="20"/>
          <w:color w:val="auto"/>
        </w:rPr>
      </w:pPr>
    </w:p>
    <w:p>
      <w:pPr>
        <w:ind w:right="160" w:firstLine="490"/>
        <w:spacing w:after="0" w:line="254" w:lineRule="auto"/>
        <w:rPr>
          <w:sz w:val="20"/>
          <w:szCs w:val="20"/>
          <w:color w:val="auto"/>
        </w:rPr>
      </w:pPr>
      <w:r>
        <w:rPr>
          <w:rFonts w:ascii="Times New Roman" w:cs="Times New Roman" w:eastAsia="Times New Roman" w:hAnsi="Times New Roman"/>
          <w:sz w:val="20"/>
          <w:szCs w:val="20"/>
          <w:color w:val="454546"/>
        </w:rPr>
        <w:t>The increasing concern over climate change could also result in shifting customer preferences. If we fail to manage changes in customer expectations in an effective manner, demand for our products could diminish, and our financial performance could</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454546"/>
        </w:rPr>
        <w:t>suffer. Additionally, new laws or regulations enacted to address climate change that are more stringent than current legal or regulatory requirements may increase our compliance burdens and costs, including indirect costs that are passed on to us from our customers or suppliers. Climate change also may reduce the availability or increase the cost of insurance for negative impacts of natural disasters by contributing to an increase in the frequency and severity of such natural disasters. Ultimately, the impacts of climate change, whether involving physical risks (such as disruptions resulting from climate-related events) or transition risks (such as regulatory changes, changes in market dynamics or increased operating costs, including the cost of insurance) are expected to be widespread and unpredictable and may materially adversely affect our business and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Financial Performance or Results</w:t>
      </w:r>
    </w:p>
    <w:p>
      <w:pPr>
        <w:spacing w:after="0" w:line="23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Fluctuations in our operating results on a quarterly and annual basis could cause the market price of our ordinary shares to decline.</w:t>
      </w:r>
    </w:p>
    <w:p>
      <w:pPr>
        <w:spacing w:after="0" w:line="15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lingering effects of pandemics,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Factors that may affect our operating results include:</w:t>
      </w:r>
    </w:p>
    <w:p>
      <w:pPr>
        <w:spacing w:after="0" w:line="134" w:lineRule="exact"/>
        <w:rPr>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demand, sales cycles, product mix, and prices for our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the forecasting, scheduling, rescheduling or cancellation of orders by our customers;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shifts in consumer or manufacturer preferences and any resultant change in demand for our customers’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the competitive dynamics of our markets, including new entrants or pricing pressures;</w:t>
      </w:r>
    </w:p>
    <w:p>
      <w:pPr>
        <w:spacing w:after="0" w:line="133" w:lineRule="exact"/>
        <w:rPr>
          <w:rFonts w:ascii="Arial" w:cs="Arial" w:eastAsia="Arial" w:hAnsi="Arial"/>
          <w:sz w:val="20"/>
          <w:szCs w:val="20"/>
          <w:color w:val="454546"/>
        </w:rPr>
      </w:pPr>
    </w:p>
    <w:p>
      <w:pPr>
        <w:ind w:left="980" w:right="320" w:hanging="491"/>
        <w:spacing w:after="0" w:line="276" w:lineRule="auto"/>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delays in our customers’ ability to manufacture and ship products that incorporate our solutions caused by internal and external factors beyond our control;</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successfully define, design and release new solutions in a timely manner that meet our customers’ needs;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7"/>
        </w:numPr>
        <w:rPr>
          <w:rFonts w:ascii="Arial" w:cs="Arial" w:eastAsia="Arial" w:hAnsi="Arial"/>
          <w:sz w:val="20"/>
          <w:szCs w:val="20"/>
          <w:color w:val="454546"/>
        </w:rPr>
      </w:pPr>
      <w:r>
        <w:rPr>
          <w:rFonts w:ascii="Times New Roman" w:cs="Times New Roman" w:eastAsia="Times New Roman" w:hAnsi="Times New Roman"/>
          <w:sz w:val="20"/>
          <w:szCs w:val="20"/>
          <w:color w:val="454546"/>
        </w:rPr>
        <w:t>timely availability of adequate manufacturing capacity from our manufacturing subcontractors;</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31</w:t>
      </w:r>
    </w:p>
    <w:p>
      <w:pPr>
        <w:sectPr>
          <w:pgSz w:w="12240" w:h="15840" w:orient="portrait"/>
          <w:cols w:equalWidth="0" w:num="1">
            <w:col w:w="10780"/>
          </w:cols>
          <w:pgMar w:left="720" w:top="976" w:right="740" w:bottom="175" w:gutter="0" w:footer="0" w:header="0"/>
          <w:type w:val="continuous"/>
        </w:sectPr>
      </w:pPr>
    </w:p>
    <w:bookmarkStart w:id="36" w:name="page37"/>
    <w:bookmarkEnd w:id="36"/>
    <w:p>
      <w:pPr>
        <w:ind w:left="980" w:right="220" w:hanging="491"/>
        <w:spacing w:after="0" w:line="276" w:lineRule="auto"/>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manufacturing costs, including wafer, test and assembly costs, mask costs, manufacturing yields and product quality and reliability;</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the timing of product announcements by our competitors or by us;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incurrence of research and development and related new products expenditures;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write-downs of inventory for excess quantities and technological obsolescence;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impairment of investment or other asset values;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future accounting pronouncements and changes in accounting policies;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volatility in our share price, which may lead to higher stock-based compensation expense;</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volatility in our effective tax rate;</w:t>
      </w:r>
    </w:p>
    <w:p>
      <w:pPr>
        <w:spacing w:after="0" w:line="133" w:lineRule="exact"/>
        <w:rPr>
          <w:rFonts w:ascii="Arial" w:cs="Arial" w:eastAsia="Arial" w:hAnsi="Arial"/>
          <w:sz w:val="20"/>
          <w:szCs w:val="20"/>
          <w:color w:val="454546"/>
        </w:rPr>
      </w:pPr>
    </w:p>
    <w:p>
      <w:pPr>
        <w:ind w:left="980" w:right="40" w:hanging="491"/>
        <w:spacing w:after="0" w:line="258" w:lineRule="auto"/>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81" w:lineRule="exact"/>
        <w:rPr>
          <w:rFonts w:ascii="Arial" w:cs="Arial" w:eastAsia="Arial" w:hAnsi="Arial"/>
          <w:sz w:val="20"/>
          <w:szCs w:val="20"/>
          <w:color w:val="454546"/>
        </w:rPr>
      </w:pPr>
    </w:p>
    <w:p>
      <w:pPr>
        <w:ind w:left="980" w:hanging="491"/>
        <w:spacing w:after="0"/>
        <w:tabs>
          <w:tab w:leader="none" w:pos="980" w:val="left"/>
        </w:tabs>
        <w:numPr>
          <w:ilvl w:val="0"/>
          <w:numId w:val="18"/>
        </w:numPr>
        <w:rPr>
          <w:rFonts w:ascii="Arial" w:cs="Arial" w:eastAsia="Arial" w:hAnsi="Arial"/>
          <w:sz w:val="20"/>
          <w:szCs w:val="20"/>
          <w:color w:val="454546"/>
        </w:rPr>
      </w:pPr>
      <w:r>
        <w:rPr>
          <w:rFonts w:ascii="Times New Roman" w:cs="Times New Roman" w:eastAsia="Times New Roman" w:hAnsi="Times New Roman"/>
          <w:sz w:val="20"/>
          <w:szCs w:val="20"/>
          <w:color w:val="454546"/>
        </w:rPr>
        <w:t>costs associated with litigation, especially related to intellectual property.</w:t>
      </w:r>
    </w:p>
    <w:p>
      <w:pPr>
        <w:spacing w:after="0" w:line="22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96"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we do not generate revenue growth, we may not be able to execute our business plan and our operating results could suffer.</w:t>
      </w:r>
    </w:p>
    <w:p>
      <w:pPr>
        <w:spacing w:after="0" w:line="15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may have difficulty accurately predicting our future revenue and appropriately budgeting our expenses.</w:t>
      </w:r>
    </w:p>
    <w:p>
      <w:pPr>
        <w:spacing w:after="0" w:line="23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and declines in our cash reserves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9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to financial accounting standards may affect our results of operations and could cause us to change our business practices.</w:t>
      </w:r>
    </w:p>
    <w:p>
      <w:pPr>
        <w:sectPr>
          <w:pgSz w:w="12240" w:h="15840" w:orient="portrait"/>
          <w:cols w:equalWidth="0" w:num="1">
            <w:col w:w="10800"/>
          </w:cols>
          <w:pgMar w:left="720" w:top="99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32</w:t>
      </w:r>
    </w:p>
    <w:p>
      <w:pPr>
        <w:sectPr>
          <w:pgSz w:w="12240" w:h="15840" w:orient="portrait"/>
          <w:cols w:equalWidth="0" w:num="1">
            <w:col w:w="10800"/>
          </w:cols>
          <w:pgMar w:left="720" w:top="990" w:right="720" w:bottom="175" w:gutter="0" w:footer="0" w:header="0"/>
          <w:type w:val="continuous"/>
        </w:sectPr>
      </w:pPr>
    </w:p>
    <w:bookmarkStart w:id="37" w:name="page38"/>
    <w:bookmarkEnd w:id="37"/>
    <w:p>
      <w:pPr>
        <w:ind w:right="40" w:firstLine="490"/>
        <w:spacing w:after="0" w:line="247" w:lineRule="auto"/>
        <w:rPr>
          <w:sz w:val="20"/>
          <w:szCs w:val="20"/>
          <w:color w:val="auto"/>
        </w:rPr>
      </w:pPr>
      <w:r>
        <w:rPr>
          <w:rFonts w:ascii="Times New Roman" w:cs="Times New Roman" w:eastAsia="Times New Roman" w:hAnsi="Times New Roman"/>
          <w:sz w:val="20"/>
          <w:szCs w:val="20"/>
          <w:color w:val="454546"/>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9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79% and 86% of our total revenue in fiscal years 2024, 2023 and 2022, respectively. Certain prior year amounts of revenue by geographic region have been adjusted to reflect the appropriate bill-to location for the related revenue. These adjustments did not impact the total revenues in any of the years presented.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3"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454546"/>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 -period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9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cannot predict our future capital needs, and we may not be able to obtain additional financing to fund our operations.</w:t>
      </w:r>
    </w:p>
    <w:p>
      <w:pPr>
        <w:spacing w:after="0" w:line="23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6"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marketable securities portfolio could experience a decline in market value or otherwise become illiquid, which could materially and adversely affect our financial results.</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33</w:t>
      </w:r>
    </w:p>
    <w:p>
      <w:pPr>
        <w:sectPr>
          <w:pgSz w:w="12240" w:h="15840" w:orient="portrait"/>
          <w:cols w:equalWidth="0" w:num="1">
            <w:col w:w="10780"/>
          </w:cols>
          <w:pgMar w:left="720" w:top="976" w:right="740" w:bottom="175" w:gutter="0" w:footer="0" w:header="0"/>
          <w:type w:val="continuous"/>
        </w:sectPr>
      </w:pPr>
    </w:p>
    <w:bookmarkStart w:id="38" w:name="page39"/>
    <w:bookmarkEnd w:id="38"/>
    <w:p>
      <w:pPr>
        <w:ind w:right="60" w:firstLine="490"/>
        <w:spacing w:after="0" w:line="242" w:lineRule="auto"/>
        <w:rPr>
          <w:sz w:val="20"/>
          <w:szCs w:val="20"/>
          <w:color w:val="auto"/>
        </w:rPr>
      </w:pPr>
      <w:r>
        <w:rPr>
          <w:rFonts w:ascii="Times New Roman" w:cs="Times New Roman" w:eastAsia="Times New Roman" w:hAnsi="Times New Roman"/>
          <w:sz w:val="20"/>
          <w:szCs w:val="20"/>
          <w:color w:val="454546"/>
        </w:rPr>
        <w:t>As of January 31, 2024, we had approximately $106.1 million in money market funds and debt security investments and $7.0 million in fixed deposit accounts. The debt security investments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Dependence on Third Parties</w:t>
      </w:r>
    </w:p>
    <w:p>
      <w:pPr>
        <w:spacing w:after="0" w:line="23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201"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6"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customers incorporate components supplied by multiple third parties, and a supply shortage or delay in delivery of these components could delay orders for our solutions by our customers.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34</w:t>
      </w:r>
    </w:p>
    <w:p>
      <w:pPr>
        <w:sectPr>
          <w:pgSz w:w="12240" w:h="15840" w:orient="portrait"/>
          <w:cols w:equalWidth="0" w:num="1">
            <w:col w:w="10800"/>
          </w:cols>
          <w:pgMar w:left="720" w:top="976" w:right="720" w:bottom="175" w:gutter="0" w:footer="0" w:header="0"/>
          <w:type w:val="continuous"/>
        </w:sectPr>
      </w:pPr>
    </w:p>
    <w:bookmarkStart w:id="39" w:name="page40"/>
    <w:bookmarkEnd w:id="39"/>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9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7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90"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We sell a significant percentage of our solutions through a single distributor, WT, which serves as our non-exclusive sales representative and fulfillment partner in Asia other than Japan. Approximately 53%, 57% and 62% of our revenue was derived from sales through WT for the fiscal years ended January 31, 2024, 2023 and 2022, respectively.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are subject to risks associated with our distributors' product inventories.</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35</w:t>
      </w:r>
    </w:p>
    <w:p>
      <w:pPr>
        <w:sectPr>
          <w:pgSz w:w="12240" w:h="15840" w:orient="portrait"/>
          <w:cols w:equalWidth="0" w:num="1">
            <w:col w:w="10780"/>
          </w:cols>
          <w:pgMar w:left="720" w:top="976" w:right="740" w:bottom="175" w:gutter="0" w:footer="0" w:header="0"/>
          <w:type w:val="continuous"/>
        </w:sectPr>
      </w:pPr>
    </w:p>
    <w:bookmarkStart w:id="40" w:name="page41"/>
    <w:bookmarkEnd w:id="40"/>
    <w:p>
      <w:pPr>
        <w:ind w:firstLine="490"/>
        <w:spacing w:after="0" w:line="246" w:lineRule="auto"/>
        <w:rPr>
          <w:sz w:val="20"/>
          <w:szCs w:val="20"/>
          <w:color w:val="auto"/>
        </w:rPr>
      </w:pPr>
      <w:r>
        <w:rPr>
          <w:rFonts w:ascii="Times New Roman" w:cs="Times New Roman" w:eastAsia="Times New Roman" w:hAnsi="Times New Roman"/>
          <w:sz w:val="20"/>
          <w:szCs w:val="20"/>
          <w:color w:val="454546"/>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9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454546"/>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96"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our foundry vendors do not achieve satisfactory yields or quality, our reputation and customer relationships could be harmed.</w:t>
      </w:r>
    </w:p>
    <w:p>
      <w:pPr>
        <w:spacing w:after="0" w:line="15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9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454546"/>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92"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36</w:t>
      </w:r>
    </w:p>
    <w:p>
      <w:pPr>
        <w:sectPr>
          <w:pgSz w:w="12240" w:h="15840" w:orient="portrait"/>
          <w:cols w:equalWidth="0" w:num="1">
            <w:col w:w="10800"/>
          </w:cols>
          <w:pgMar w:left="720" w:top="976" w:right="720" w:bottom="175" w:gutter="0" w:footer="0" w:header="0"/>
          <w:type w:val="continuous"/>
        </w:sectPr>
      </w:pPr>
    </w:p>
    <w:bookmarkStart w:id="41" w:name="page42"/>
    <w:bookmarkEnd w:id="41"/>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98"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Legal and Regulatory Environment</w:t>
      </w:r>
    </w:p>
    <w:p>
      <w:pPr>
        <w:spacing w:after="0" w:line="234"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19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w:t>
      </w:r>
    </w:p>
    <w:p>
      <w:pPr>
        <w:sectPr>
          <w:pgSz w:w="12240" w:h="15840" w:orient="portrait"/>
          <w:cols w:equalWidth="0" w:num="1">
            <w:col w:w="10780"/>
          </w:cols>
          <w:pgMar w:left="720" w:top="976" w:right="740" w:bottom="175"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37</w:t>
      </w:r>
    </w:p>
    <w:p>
      <w:pPr>
        <w:sectPr>
          <w:pgSz w:w="12240" w:h="15840" w:orient="portrait"/>
          <w:cols w:equalWidth="0" w:num="1">
            <w:col w:w="10780"/>
          </w:cols>
          <w:pgMar w:left="720" w:top="976" w:right="740" w:bottom="175" w:gutter="0" w:footer="0" w:header="0"/>
          <w:type w:val="continuous"/>
        </w:sectPr>
      </w:pPr>
    </w:p>
    <w:bookmarkStart w:id="42" w:name="page43"/>
    <w:bookmarkEnd w:id="42"/>
    <w:p>
      <w:pPr>
        <w:ind w:right="240"/>
        <w:spacing w:after="0" w:line="277" w:lineRule="auto"/>
        <w:rPr>
          <w:sz w:val="20"/>
          <w:szCs w:val="20"/>
          <w:color w:val="auto"/>
        </w:rPr>
      </w:pPr>
      <w:r>
        <w:rPr>
          <w:rFonts w:ascii="Times New Roman" w:cs="Times New Roman" w:eastAsia="Times New Roman" w:hAnsi="Times New Roman"/>
          <w:sz w:val="20"/>
          <w:szCs w:val="20"/>
          <w:color w:val="454546"/>
        </w:rPr>
        <w:t>Further, our business and performance are subject to economic conditions, and our suppliers, distributors, and customers may suffer their own financial and economic challenges.</w:t>
      </w:r>
    </w:p>
    <w:p>
      <w:pPr>
        <w:spacing w:after="0" w:line="15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We have significant business operations in Taiwan, including 343 employees as of January 31, 2024,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Our ability to sell our products to several China customers has been restricted.</w:t>
      </w:r>
    </w:p>
    <w:p>
      <w:pPr>
        <w:spacing w:after="0" w:line="23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Several of our customers, including Hangzhou Hikvision Digital Technology Co., Ltd, or Hikvision, Zhejiang Dahua Technology Co., Ltd., or Dahua, and affiliates of Shenzhen Dajiang Baiwang Technology Co., Ltd., have been added to the Entity List of the Bureau of Industry and Security, or BIS, of the U.S. Department of Commerce, or Commerce,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203"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38</w:t>
      </w:r>
    </w:p>
    <w:p>
      <w:pPr>
        <w:sectPr>
          <w:pgSz w:w="12240" w:h="15840" w:orient="portrait"/>
          <w:cols w:equalWidth="0" w:num="1">
            <w:col w:w="10800"/>
          </w:cols>
          <w:pgMar w:left="720" w:top="976" w:right="720" w:bottom="175" w:gutter="0" w:footer="0" w:header="0"/>
          <w:type w:val="continuous"/>
        </w:sectPr>
      </w:pPr>
    </w:p>
    <w:bookmarkStart w:id="43" w:name="page44"/>
    <w:bookmarkEnd w:id="43"/>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We are subject to warranty and product liability claims and to product recalls.</w:t>
      </w:r>
    </w:p>
    <w:p>
      <w:pPr>
        <w:spacing w:after="0" w:line="23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96" w:lineRule="exact"/>
        <w:rPr>
          <w:sz w:val="20"/>
          <w:szCs w:val="20"/>
          <w:color w:val="auto"/>
        </w:rPr>
      </w:pPr>
    </w:p>
    <w:p>
      <w:pPr>
        <w:ind w:right="8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governmental laws, regulations and other legal obligations related to privacy, data protection and cybersecurity.</w:t>
      </w:r>
    </w:p>
    <w:p>
      <w:pPr>
        <w:spacing w:after="0" w:line="15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201"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454546"/>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19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ectPr>
          <w:pgSz w:w="12240" w:h="15840" w:orient="portrait"/>
          <w:cols w:equalWidth="0" w:num="1">
            <w:col w:w="10800"/>
          </w:cols>
          <w:pgMar w:left="720" w:top="120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39</w:t>
      </w:r>
    </w:p>
    <w:p>
      <w:pPr>
        <w:sectPr>
          <w:pgSz w:w="12240" w:h="15840" w:orient="portrait"/>
          <w:cols w:equalWidth="0" w:num="1">
            <w:col w:w="10800"/>
          </w:cols>
          <w:pgMar w:left="720" w:top="1206" w:right="720" w:bottom="175" w:gutter="0" w:footer="0" w:header="0"/>
          <w:type w:val="continuous"/>
        </w:sectPr>
      </w:pPr>
    </w:p>
    <w:bookmarkStart w:id="44" w:name="page45"/>
    <w:bookmarkEnd w:id="44"/>
    <w:p>
      <w:pPr>
        <w:ind w:right="4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96" w:lineRule="exact"/>
        <w:rPr>
          <w:sz w:val="20"/>
          <w:szCs w:val="20"/>
          <w:color w:val="auto"/>
        </w:rPr>
      </w:pPr>
    </w:p>
    <w:p>
      <w:pPr>
        <w:ind w:right="9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454546"/>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ectPr>
          <w:pgSz w:w="12240" w:h="15840" w:orient="portrait"/>
          <w:cols w:equalWidth="0" w:num="1">
            <w:col w:w="10780"/>
          </w:cols>
          <w:pgMar w:left="720" w:top="120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40</w:t>
      </w:r>
    </w:p>
    <w:p>
      <w:pPr>
        <w:sectPr>
          <w:pgSz w:w="12240" w:h="15840" w:orient="portrait"/>
          <w:cols w:equalWidth="0" w:num="1">
            <w:col w:w="10780"/>
          </w:cols>
          <w:pgMar w:left="720" w:top="1206" w:right="740" w:bottom="175" w:gutter="0" w:footer="0" w:header="0"/>
          <w:type w:val="continuous"/>
        </w:sectPr>
      </w:pPr>
    </w:p>
    <w:bookmarkStart w:id="45" w:name="page46"/>
    <w:bookmarkEnd w:id="45"/>
    <w:p>
      <w:pPr>
        <w:ind w:right="1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92"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We have identified a material weakness in our internal control over financial reporting. Failure to achieve and maintain effective internal control over financial reporting in accordance with Section 404 of the Sarbanes-Oxley Act of 2002 could materially and adversely affect our business, results of operations, financial condition, and stock price.</w:t>
      </w:r>
    </w:p>
    <w:p>
      <w:pPr>
        <w:spacing w:after="0" w:line="178"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454546"/>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w:t>
      </w:r>
    </w:p>
    <w:p>
      <w:pPr>
        <w:spacing w:after="0" w:line="16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In connection with the preparation of our consolidated financial statements, a material weakness was identified in our internal control over financial reporting as of January 31, 2024.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our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9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 xml:space="preserve">The material weakness did not result in a material misstatement to the current fiscal year’s consolidated financial statements. As a result of this material weakness, our management concluded that our internal control over financial reporting was not effective based on the framework in </w:t>
      </w:r>
      <w:r>
        <w:rPr>
          <w:rFonts w:ascii="Times New Roman" w:cs="Times New Roman" w:eastAsia="Times New Roman" w:hAnsi="Times New Roman"/>
          <w:sz w:val="20"/>
          <w:szCs w:val="20"/>
          <w:i w:val="1"/>
          <w:iCs w:val="1"/>
          <w:color w:val="454546"/>
        </w:rPr>
        <w:t>Internal Control-Integrated Framework (2013)</w:t>
      </w:r>
      <w:r>
        <w:rPr>
          <w:rFonts w:ascii="Times New Roman" w:cs="Times New Roman" w:eastAsia="Times New Roman" w:hAnsi="Times New Roman"/>
          <w:sz w:val="20"/>
          <w:szCs w:val="20"/>
          <w:color w:val="454546"/>
        </w:rPr>
        <w:t>, issued by the Committee of Sponsoring Organizations of the Treadway Commission. We are actively engaged in implementing a remediation plan designed to address this material weakness. If our remedial measures are insufficient to address the material weakness, or if additional material weaknesses or significant deficiencies in our internal control are discovered or occur in the future, our consolidated financial statements may contain material misstatements and we could be required to restate our financial results.</w:t>
      </w:r>
    </w:p>
    <w:p>
      <w:pPr>
        <w:spacing w:after="0" w:line="19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Even if this material weakness is quickly remedied, or if we or our auditors discover an additional material weakness in our internal controls, the market’s confidence in our financial statements could decline and our stock price may be harmed. In addition, our failure to maintain effective controls over financial reporting could subject us to sanctions or investigations by The Nasdaq Global Select Market, the SEC, or other regulatory authorities. Irrespective of compliance with Section 404, this and any other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90"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effective tax rates or adverse outcomes resulting from examination of our income tax returns could adversely affect our results.</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41</w:t>
      </w:r>
    </w:p>
    <w:p>
      <w:pPr>
        <w:sectPr>
          <w:pgSz w:w="12240" w:h="15840" w:orient="portrait"/>
          <w:cols w:equalWidth="0" w:num="1">
            <w:col w:w="10780"/>
          </w:cols>
          <w:pgMar w:left="720" w:top="976" w:right="740" w:bottom="175" w:gutter="0" w:footer="0" w:header="0"/>
          <w:type w:val="continuous"/>
        </w:sectPr>
      </w:pPr>
    </w:p>
    <w:bookmarkStart w:id="46" w:name="page47"/>
    <w:bookmarkEnd w:id="46"/>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93"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454546"/>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7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 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which has been implemented into the domestic laws of some jurisdictions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197"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454546"/>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454546"/>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42</w:t>
      </w:r>
    </w:p>
    <w:p>
      <w:pPr>
        <w:sectPr>
          <w:pgSz w:w="12240" w:h="15840" w:orient="portrait"/>
          <w:cols w:equalWidth="0" w:num="1">
            <w:col w:w="10800"/>
          </w:cols>
          <w:pgMar w:left="720" w:top="976" w:right="720" w:bottom="175" w:gutter="0" w:footer="0" w:header="0"/>
          <w:type w:val="continuous"/>
        </w:sectPr>
      </w:pPr>
    </w:p>
    <w:bookmarkStart w:id="47" w:name="page48"/>
    <w:bookmarkEnd w:id="47"/>
    <w:p>
      <w:pPr>
        <w:ind w:firstLine="490"/>
        <w:spacing w:after="0" w:line="246" w:lineRule="auto"/>
        <w:rPr>
          <w:sz w:val="20"/>
          <w:szCs w:val="20"/>
          <w:color w:val="auto"/>
        </w:rPr>
      </w:pPr>
      <w:r>
        <w:rPr>
          <w:rFonts w:ascii="Times New Roman" w:cs="Times New Roman" w:eastAsia="Times New Roman" w:hAnsi="Times New Roman"/>
          <w:sz w:val="20"/>
          <w:szCs w:val="20"/>
          <w:color w:val="454546"/>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0" w:lineRule="exact"/>
        <w:rPr>
          <w:sz w:val="20"/>
          <w:szCs w:val="20"/>
          <w:color w:val="auto"/>
        </w:rPr>
      </w:pPr>
    </w:p>
    <w:p>
      <w:pPr>
        <w:ind w:right="7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may be classified as a passive foreign investment company which could result in adverse U.S. federal income tax consequences for U.S. holders of our ordinary shares.</w:t>
      </w:r>
    </w:p>
    <w:p>
      <w:pPr>
        <w:spacing w:after="0" w:line="15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Based on the current and anticipated valuation of our assets and the composition of our income and assets, we do not expect to be considered a passive foreign investment company, or PFIC, for U.S. federal income tax purposes for our 2024 fiscal year or the foreseeable future. However, a separate determination must be made at the close of each taxable year as to whether we are a PFIC for that taxable year, and we cannot assure you that we will not be a PFIC for our 2025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201"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Changes in our United States federal income tax classification, or that of our subsidiaries, could result in adverse tax consequences to our 10% or greater U.S. shareholders.</w:t>
      </w:r>
    </w:p>
    <w:p>
      <w:pPr>
        <w:spacing w:after="0" w:line="159"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 Tax Act may have changed the consequences to U.S. shareholders that own, or are considered to own, as a result of certain attribution rules, 10% or more of the voting power or value of the stock of a non-U.S. corporation (a 10% U.S. shareholder) under the U.S. federal income tax law applicable to owners of U.S. controlled foreign corporations, or CFCs.</w:t>
      </w:r>
    </w:p>
    <w:p>
      <w:pPr>
        <w:spacing w:after="0" w:line="17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Act’s revision to the U.S. federal income tax law applicable to owners of CFCs.</w:t>
      </w:r>
    </w:p>
    <w:p>
      <w:pPr>
        <w:sectPr>
          <w:pgSz w:w="12240" w:h="15840" w:orient="portrait"/>
          <w:cols w:equalWidth="0" w:num="1">
            <w:col w:w="10760"/>
          </w:cols>
          <w:pgMar w:left="720" w:top="120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43</w:t>
      </w:r>
    </w:p>
    <w:p>
      <w:pPr>
        <w:sectPr>
          <w:pgSz w:w="12240" w:h="15840" w:orient="portrait"/>
          <w:cols w:equalWidth="0" w:num="1">
            <w:col w:w="10760"/>
          </w:cols>
          <w:pgMar w:left="720" w:top="1206" w:right="760" w:bottom="17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454546"/>
        </w:rPr>
        <w:t>Risks Related to Our Intellectual Property</w:t>
      </w:r>
    </w:p>
    <w:p>
      <w:pPr>
        <w:spacing w:after="0" w:line="23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454546"/>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97"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454546"/>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9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96" w:lineRule="exact"/>
        <w:rPr>
          <w:sz w:val="20"/>
          <w:szCs w:val="20"/>
          <w:color w:val="auto"/>
        </w:rPr>
      </w:pPr>
    </w:p>
    <w:p>
      <w:pPr>
        <w:ind w:left="980" w:hanging="491"/>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stop selling products or using technology that contain the allegedly infringing intellectual property;</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incur significant legal expenses;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pay substantial damages to the party whose intellectual property rights we may be found to be infringing;</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redesign those products that contain the allegedly infringing intellectual property;</w:t>
      </w:r>
    </w:p>
    <w:p>
      <w:pPr>
        <w:spacing w:after="0" w:line="133" w:lineRule="exact"/>
        <w:rPr>
          <w:rFonts w:ascii="Arial" w:cs="Arial" w:eastAsia="Arial" w:hAnsi="Arial"/>
          <w:sz w:val="20"/>
          <w:szCs w:val="20"/>
          <w:color w:val="454546"/>
        </w:rPr>
      </w:pPr>
    </w:p>
    <w:p>
      <w:pPr>
        <w:ind w:left="980" w:right="840" w:hanging="491"/>
        <w:spacing w:after="0" w:line="276" w:lineRule="auto"/>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attempt to obtain a license to the relevant intellectual property from third parties, which may not be available on reasonable terms or at all; or</w:t>
      </w:r>
    </w:p>
    <w:p>
      <w:pPr>
        <w:spacing w:after="0" w:line="64" w:lineRule="exact"/>
        <w:rPr>
          <w:rFonts w:ascii="Arial" w:cs="Arial" w:eastAsia="Arial" w:hAnsi="Arial"/>
          <w:sz w:val="20"/>
          <w:szCs w:val="20"/>
          <w:color w:val="454546"/>
        </w:rPr>
      </w:pPr>
    </w:p>
    <w:p>
      <w:pPr>
        <w:ind w:left="980" w:right="260" w:hanging="491"/>
        <w:spacing w:after="0" w:line="276" w:lineRule="auto"/>
        <w:tabs>
          <w:tab w:leader="none" w:pos="980" w:val="left"/>
        </w:tabs>
        <w:numPr>
          <w:ilvl w:val="0"/>
          <w:numId w:val="19"/>
        </w:numPr>
        <w:rPr>
          <w:rFonts w:ascii="Arial" w:cs="Arial" w:eastAsia="Arial" w:hAnsi="Arial"/>
          <w:sz w:val="20"/>
          <w:szCs w:val="20"/>
          <w:color w:val="454546"/>
        </w:rPr>
      </w:pPr>
      <w:r>
        <w:rPr>
          <w:rFonts w:ascii="Times New Roman" w:cs="Times New Roman" w:eastAsia="Times New Roman" w:hAnsi="Times New Roman"/>
          <w:sz w:val="20"/>
          <w:szCs w:val="20"/>
          <w:color w:val="454546"/>
        </w:rPr>
        <w:t>lose the opportunity to license our technology to others or to collect royalty payments based upon successful protection and assertion of our intellectual property against others.</w:t>
      </w:r>
    </w:p>
    <w:p>
      <w:pPr>
        <w:spacing w:after="0" w:line="160"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454546"/>
        </w:rPr>
        <w:t>Any significant impairment of our intellectual property rights from any litigation we face could harm our business and our ability to compete.</w:t>
      </w:r>
    </w:p>
    <w:p>
      <w:pPr>
        <w:sectPr>
          <w:pgSz w:w="12240" w:h="15840" w:orient="portrait"/>
          <w:cols w:equalWidth="0" w:num="1">
            <w:col w:w="10780"/>
          </w:cols>
          <w:pgMar w:left="720" w:top="1202" w:right="740" w:bottom="175"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44</w:t>
      </w:r>
    </w:p>
    <w:p>
      <w:pPr>
        <w:sectPr>
          <w:pgSz w:w="12240" w:h="15840" w:orient="portrait"/>
          <w:cols w:equalWidth="0" w:num="1">
            <w:col w:w="10780"/>
          </w:cols>
          <w:pgMar w:left="720" w:top="1202" w:right="740" w:bottom="175" w:gutter="0" w:footer="0" w:header="0"/>
          <w:type w:val="continuous"/>
        </w:sectPr>
      </w:pPr>
    </w:p>
    <w:bookmarkStart w:id="49" w:name="page50"/>
    <w:bookmarkEnd w:id="49"/>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454546"/>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93" w:lineRule="exact"/>
        <w:rPr>
          <w:sz w:val="20"/>
          <w:szCs w:val="20"/>
          <w:color w:val="auto"/>
        </w:rPr>
      </w:pPr>
    </w:p>
    <w:p>
      <w:pPr>
        <w:ind w:right="10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9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454546"/>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Ownership of Our Ordinary Shares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The market price of our ordinary shares may be volatile, which could cause the value of your investment to decline.</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market price of our ordinary shares has historically been highly volatile, and has been particularly volatile in recent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years. For example, since February 1, 2020, the trading price of our common stock ranged from a low of $36.02 to a high of $227.59</w:t>
      </w:r>
    </w:p>
    <w:p>
      <w:pPr>
        <w:spacing w:after="0"/>
        <w:rPr>
          <w:sz w:val="20"/>
          <w:szCs w:val="20"/>
          <w:color w:val="auto"/>
        </w:rPr>
      </w:pPr>
      <w:r>
        <w:rPr>
          <w:rFonts w:ascii="Times New Roman" w:cs="Times New Roman" w:eastAsia="Times New Roman" w:hAnsi="Times New Roman"/>
          <w:sz w:val="20"/>
          <w:szCs w:val="20"/>
          <w:color w:val="454546"/>
        </w:rPr>
        <w:t>and was $52.56 at the close of trading on January 31, 2024. The trading price of our ordinary shares is likely to remain volatile and</w:t>
      </w:r>
    </w:p>
    <w:p>
      <w:pPr>
        <w:spacing w:after="0"/>
        <w:rPr>
          <w:sz w:val="20"/>
          <w:szCs w:val="20"/>
          <w:color w:val="auto"/>
        </w:rPr>
      </w:pPr>
      <w:r>
        <w:rPr>
          <w:rFonts w:ascii="Times New Roman" w:cs="Times New Roman" w:eastAsia="Times New Roman" w:hAnsi="Times New Roman"/>
          <w:sz w:val="20"/>
          <w:szCs w:val="20"/>
          <w:color w:val="454546"/>
        </w:rPr>
        <w:t>could be subject to wide fluctuations in price in response to various factors, some of which are beyond our control. These factors</w:t>
      </w:r>
    </w:p>
    <w:p>
      <w:pPr>
        <w:spacing w:after="0"/>
        <w:rPr>
          <w:sz w:val="20"/>
          <w:szCs w:val="20"/>
          <w:color w:val="auto"/>
        </w:rPr>
      </w:pPr>
      <w:r>
        <w:rPr>
          <w:rFonts w:ascii="Times New Roman" w:cs="Times New Roman" w:eastAsia="Times New Roman" w:hAnsi="Times New Roman"/>
          <w:sz w:val="20"/>
          <w:szCs w:val="20"/>
          <w:color w:val="454546"/>
        </w:rPr>
        <w:t>include:</w:t>
      </w:r>
    </w:p>
    <w:p>
      <w:pPr>
        <w:spacing w:after="0" w:line="106" w:lineRule="exact"/>
        <w:rPr>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financial estimates, including our ability to meet our future revenue and operating profit or loss projections;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our operating results or those of other semiconductor or comparable companies;</w:t>
      </w:r>
    </w:p>
    <w:p>
      <w:pPr>
        <w:spacing w:after="0" w:line="133" w:lineRule="exact"/>
        <w:rPr>
          <w:rFonts w:ascii="Arial" w:cs="Arial" w:eastAsia="Arial" w:hAnsi="Arial"/>
          <w:sz w:val="20"/>
          <w:szCs w:val="20"/>
          <w:color w:val="454546"/>
        </w:rPr>
      </w:pPr>
    </w:p>
    <w:p>
      <w:pPr>
        <w:ind w:left="980" w:right="180" w:hanging="491"/>
        <w:spacing w:after="0" w:line="276" w:lineRule="auto"/>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fluctuations in the economic performance or market valuations of companies perceived by investors to be comparable to us;</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economic developments in the semiconductor industry as a whole;</w:t>
      </w:r>
    </w:p>
    <w:p>
      <w:pPr>
        <w:spacing w:after="0" w:line="133" w:lineRule="exact"/>
        <w:rPr>
          <w:rFonts w:ascii="Arial" w:cs="Arial" w:eastAsia="Arial" w:hAnsi="Arial"/>
          <w:sz w:val="20"/>
          <w:szCs w:val="20"/>
          <w:color w:val="454546"/>
        </w:rPr>
      </w:pPr>
    </w:p>
    <w:p>
      <w:pPr>
        <w:ind w:left="980" w:right="580" w:hanging="491"/>
        <w:spacing w:after="0" w:line="276" w:lineRule="auto"/>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general economic conditions, including conditions related to the banking industry or caused by pandemics and high inflation, and slow or negative market growth;</w:t>
      </w:r>
    </w:p>
    <w:p>
      <w:pPr>
        <w:spacing w:after="0" w:line="64" w:lineRule="exact"/>
        <w:rPr>
          <w:rFonts w:ascii="Arial" w:cs="Arial" w:eastAsia="Arial" w:hAnsi="Arial"/>
          <w:sz w:val="20"/>
          <w:szCs w:val="20"/>
          <w:color w:val="454546"/>
        </w:rPr>
      </w:pPr>
    </w:p>
    <w:p>
      <w:pPr>
        <w:ind w:left="980" w:hanging="491"/>
        <w:spacing w:after="0"/>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trade and other geopolitical activities affecting markets we address;</w:t>
      </w:r>
    </w:p>
    <w:p>
      <w:pPr>
        <w:spacing w:after="0" w:line="133" w:lineRule="exact"/>
        <w:rPr>
          <w:rFonts w:ascii="Arial" w:cs="Arial" w:eastAsia="Arial" w:hAnsi="Arial"/>
          <w:sz w:val="20"/>
          <w:szCs w:val="20"/>
          <w:color w:val="454546"/>
        </w:rPr>
      </w:pPr>
    </w:p>
    <w:p>
      <w:pPr>
        <w:ind w:left="980" w:right="640" w:hanging="491"/>
        <w:spacing w:after="0" w:line="276" w:lineRule="auto"/>
        <w:tabs>
          <w:tab w:leader="none" w:pos="980" w:val="left"/>
        </w:tabs>
        <w:numPr>
          <w:ilvl w:val="0"/>
          <w:numId w:val="20"/>
        </w:numPr>
        <w:rPr>
          <w:rFonts w:ascii="Arial" w:cs="Arial" w:eastAsia="Arial" w:hAnsi="Arial"/>
          <w:sz w:val="20"/>
          <w:szCs w:val="20"/>
          <w:color w:val="454546"/>
        </w:rPr>
      </w:pPr>
      <w:r>
        <w:rPr>
          <w:rFonts w:ascii="Times New Roman" w:cs="Times New Roman" w:eastAsia="Times New Roman" w:hAnsi="Times New Roman"/>
          <w:sz w:val="20"/>
          <w:szCs w:val="20"/>
          <w:color w:val="454546"/>
        </w:rPr>
        <w:t>announcements by us or our competitors of acquisitions, new products, significant contracts or orders, commercial relationships or capital commitments;</w:t>
      </w:r>
    </w:p>
    <w:p>
      <w:pPr>
        <w:sectPr>
          <w:pgSz w:w="12240" w:h="15840" w:orient="portrait"/>
          <w:cols w:equalWidth="0" w:num="1">
            <w:col w:w="10800"/>
          </w:cols>
          <w:pgMar w:left="720" w:top="1206" w:right="720" w:bottom="175"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45</w:t>
      </w:r>
    </w:p>
    <w:p>
      <w:pPr>
        <w:sectPr>
          <w:pgSz w:w="12240" w:h="15840" w:orient="portrait"/>
          <w:cols w:equalWidth="0" w:num="1">
            <w:col w:w="10800"/>
          </w:cols>
          <w:pgMar w:left="720" w:top="1206" w:right="720" w:bottom="175" w:gutter="0" w:footer="0" w:header="0"/>
          <w:type w:val="continuous"/>
        </w:sectPr>
      </w:pPr>
    </w:p>
    <w:bookmarkStart w:id="50" w:name="page51"/>
    <w:bookmarkEnd w:id="50"/>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develop and market new and enhanced solutions on a timely basis;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the demand for our customers’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commencement of or our involvement in litigation;</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disruption to our operations;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any major change in our board of directors or management;</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political or social conditions in the markets where we sell our products;</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governmental regulations; and</w:t>
      </w:r>
    </w:p>
    <w:p>
      <w:pPr>
        <w:spacing w:after="0" w:line="133" w:lineRule="exact"/>
        <w:rPr>
          <w:rFonts w:ascii="Arial" w:cs="Arial" w:eastAsia="Arial" w:hAnsi="Arial"/>
          <w:sz w:val="20"/>
          <w:szCs w:val="20"/>
          <w:color w:val="454546"/>
        </w:rPr>
      </w:pPr>
    </w:p>
    <w:p>
      <w:pPr>
        <w:ind w:left="980" w:hanging="491"/>
        <w:spacing w:after="0"/>
        <w:tabs>
          <w:tab w:leader="none" w:pos="980" w:val="left"/>
        </w:tabs>
        <w:numPr>
          <w:ilvl w:val="0"/>
          <w:numId w:val="21"/>
        </w:numPr>
        <w:rPr>
          <w:rFonts w:ascii="Arial" w:cs="Arial" w:eastAsia="Arial" w:hAnsi="Arial"/>
          <w:sz w:val="20"/>
          <w:szCs w:val="20"/>
          <w:color w:val="454546"/>
        </w:rPr>
      </w:pPr>
      <w:r>
        <w:rPr>
          <w:rFonts w:ascii="Times New Roman" w:cs="Times New Roman" w:eastAsia="Times New Roman" w:hAnsi="Times New Roman"/>
          <w:sz w:val="20"/>
          <w:szCs w:val="20"/>
          <w:color w:val="454546"/>
        </w:rPr>
        <w:t>changes in earnings estimates or recommendations by securities analysts.</w:t>
      </w:r>
    </w:p>
    <w:p>
      <w:pPr>
        <w:spacing w:after="0" w:line="22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6"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454546"/>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92"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454546"/>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The price of our ordinary shares could decrease as a result of shares being sold in the market.</w:t>
      </w:r>
    </w:p>
    <w:p>
      <w:pPr>
        <w:spacing w:after="0" w:line="23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9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We do not intend to pay dividends on our ordinary shares and, consequently, a shareholder’s ability to achieve a return on its investment will depend on appreciation in the price of our ordinary shares.</w:t>
      </w:r>
    </w:p>
    <w:p>
      <w:pPr>
        <w:spacing w:after="0" w:line="15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ectPr>
          <w:pgSz w:w="12240" w:h="15840" w:orient="portrait"/>
          <w:cols w:equalWidth="0" w:num="1">
            <w:col w:w="10800"/>
          </w:cols>
          <w:pgMar w:left="720" w:top="990" w:right="720" w:bottom="175"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46</w:t>
      </w:r>
    </w:p>
    <w:p>
      <w:pPr>
        <w:sectPr>
          <w:pgSz w:w="12240" w:h="15840" w:orient="portrait"/>
          <w:cols w:equalWidth="0" w:num="1">
            <w:col w:w="10800"/>
          </w:cols>
          <w:pgMar w:left="720" w:top="990" w:right="720" w:bottom="175" w:gutter="0" w:footer="0" w:header="0"/>
          <w:type w:val="continuous"/>
        </w:sectPr>
      </w:pPr>
    </w:p>
    <w:bookmarkStart w:id="51" w:name="page52"/>
    <w:bookmarkEnd w:id="51"/>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800" w:firstLine="490"/>
        <w:spacing w:after="0" w:line="277" w:lineRule="auto"/>
        <w:rPr>
          <w:sz w:val="20"/>
          <w:szCs w:val="20"/>
          <w:color w:val="auto"/>
        </w:rPr>
      </w:pPr>
      <w:r>
        <w:rPr>
          <w:rFonts w:ascii="Times New Roman" w:cs="Times New Roman" w:eastAsia="Times New Roman" w:hAnsi="Times New Roman"/>
          <w:sz w:val="20"/>
          <w:szCs w:val="20"/>
          <w:color w:val="454546"/>
        </w:rPr>
        <w:t>Provisions of our memorandum and articles of association and Cayman Islands law may have the effect of delaying or preventing a change of control or changes in our management. These provisions include the following:</w:t>
      </w:r>
    </w:p>
    <w:p>
      <w:pPr>
        <w:spacing w:after="0" w:line="63" w:lineRule="exact"/>
        <w:rPr>
          <w:sz w:val="20"/>
          <w:szCs w:val="20"/>
          <w:color w:val="auto"/>
        </w:rPr>
      </w:pPr>
    </w:p>
    <w:p>
      <w:pPr>
        <w:ind w:left="980" w:hanging="491"/>
        <w:spacing w:after="0"/>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division of our board of directors into three classes;</w:t>
      </w:r>
    </w:p>
    <w:p>
      <w:pPr>
        <w:spacing w:after="0" w:line="133" w:lineRule="exact"/>
        <w:rPr>
          <w:rFonts w:ascii="Arial" w:cs="Arial" w:eastAsia="Arial" w:hAnsi="Arial"/>
          <w:sz w:val="20"/>
          <w:szCs w:val="20"/>
          <w:color w:val="454546"/>
        </w:rPr>
      </w:pPr>
    </w:p>
    <w:p>
      <w:pPr>
        <w:ind w:left="980" w:right="80" w:hanging="491"/>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right of our board of directors to elect a director to fill a vacancy created by the expansion of our board of directors or due to the resignation or departure of an existing board member;</w:t>
      </w:r>
    </w:p>
    <w:p>
      <w:pPr>
        <w:spacing w:after="0" w:line="64" w:lineRule="exact"/>
        <w:rPr>
          <w:rFonts w:ascii="Arial" w:cs="Arial" w:eastAsia="Arial" w:hAnsi="Arial"/>
          <w:sz w:val="20"/>
          <w:szCs w:val="20"/>
          <w:color w:val="454546"/>
        </w:rPr>
      </w:pPr>
    </w:p>
    <w:p>
      <w:pPr>
        <w:ind w:left="980" w:right="780" w:hanging="491"/>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prohibition of cumulative voting in the election of directors which would otherwise allow less than a majority of shareholders to elect director candidates;</w:t>
      </w:r>
    </w:p>
    <w:p>
      <w:pPr>
        <w:spacing w:after="0" w:line="64" w:lineRule="exact"/>
        <w:rPr>
          <w:rFonts w:ascii="Arial" w:cs="Arial" w:eastAsia="Arial" w:hAnsi="Arial"/>
          <w:sz w:val="20"/>
          <w:szCs w:val="20"/>
          <w:color w:val="454546"/>
        </w:rPr>
      </w:pPr>
    </w:p>
    <w:p>
      <w:pPr>
        <w:ind w:left="980" w:right="140" w:hanging="491"/>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requirement for the advance notice of nominations for election to our board of directors or for proposing matters that can be acted upon at a shareholders’ meeting;</w:t>
      </w:r>
    </w:p>
    <w:p>
      <w:pPr>
        <w:spacing w:after="0" w:line="64" w:lineRule="exact"/>
        <w:rPr>
          <w:rFonts w:ascii="Arial" w:cs="Arial" w:eastAsia="Arial" w:hAnsi="Arial"/>
          <w:sz w:val="20"/>
          <w:szCs w:val="20"/>
          <w:color w:val="454546"/>
        </w:rPr>
      </w:pPr>
    </w:p>
    <w:p>
      <w:pPr>
        <w:ind w:left="980" w:hanging="491"/>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81" w:lineRule="exact"/>
        <w:rPr>
          <w:rFonts w:ascii="Arial" w:cs="Arial" w:eastAsia="Arial" w:hAnsi="Arial"/>
          <w:sz w:val="20"/>
          <w:szCs w:val="20"/>
          <w:color w:val="454546"/>
        </w:rPr>
      </w:pPr>
    </w:p>
    <w:p>
      <w:pPr>
        <w:ind w:left="980" w:right="20" w:hanging="491"/>
        <w:spacing w:after="0" w:line="276"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elimination of the rights of shareholders to call a special meeting of shareholders and to take action by written consent in lieu of a meeting; and</w:t>
      </w:r>
    </w:p>
    <w:p>
      <w:pPr>
        <w:spacing w:after="0" w:line="64" w:lineRule="exact"/>
        <w:rPr>
          <w:rFonts w:ascii="Arial" w:cs="Arial" w:eastAsia="Arial" w:hAnsi="Arial"/>
          <w:sz w:val="20"/>
          <w:szCs w:val="20"/>
          <w:color w:val="454546"/>
        </w:rPr>
      </w:pPr>
    </w:p>
    <w:p>
      <w:pPr>
        <w:ind w:left="980" w:right="260" w:hanging="491"/>
        <w:spacing w:after="0" w:line="258" w:lineRule="auto"/>
        <w:tabs>
          <w:tab w:leader="none" w:pos="980" w:val="left"/>
        </w:tabs>
        <w:numPr>
          <w:ilvl w:val="0"/>
          <w:numId w:val="22"/>
        </w:numPr>
        <w:rPr>
          <w:rFonts w:ascii="Arial" w:cs="Arial" w:eastAsia="Arial" w:hAnsi="Arial"/>
          <w:sz w:val="20"/>
          <w:szCs w:val="20"/>
          <w:color w:val="454546"/>
        </w:rPr>
      </w:pPr>
      <w:r>
        <w:rPr>
          <w:rFonts w:ascii="Times New Roman" w:cs="Times New Roman" w:eastAsia="Times New Roman" w:hAnsi="Times New Roman"/>
          <w:sz w:val="20"/>
          <w:szCs w:val="20"/>
          <w:color w:val="454546"/>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7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Holders of our ordinary shares may face difficulties in protecting their interests because we are incorporated under Cayman Islands law.</w:t>
      </w:r>
    </w:p>
    <w:p>
      <w:pPr>
        <w:spacing w:after="0" w:line="15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Subject to limited exceptions, under Cayman Islands law, a minority shareholder may not bring a derivative action against the board of directors.</w:t>
      </w:r>
    </w:p>
    <w:p>
      <w:pPr>
        <w:sectPr>
          <w:pgSz w:w="12240" w:h="15840" w:orient="portrait"/>
          <w:cols w:equalWidth="0" w:num="1">
            <w:col w:w="10760"/>
          </w:cols>
          <w:pgMar w:left="720" w:top="120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47</w:t>
      </w:r>
    </w:p>
    <w:p>
      <w:pPr>
        <w:sectPr>
          <w:pgSz w:w="12240" w:h="15840" w:orient="portrait"/>
          <w:cols w:equalWidth="0" w:num="1">
            <w:col w:w="10760"/>
          </w:cols>
          <w:pgMar w:left="720" w:top="1206" w:right="760" w:bottom="175" w:gutter="0" w:footer="0" w:header="0"/>
          <w:type w:val="continuous"/>
        </w:sectPr>
      </w:pPr>
    </w:p>
    <w:bookmarkStart w:id="52" w:name="page53"/>
    <w:bookmarkEnd w:id="52"/>
    <w:p>
      <w:pPr>
        <w:ind w:right="10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General Risk Factors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If our operations are interrupted, our business and reputation could suffer.</w:t>
      </w:r>
    </w:p>
    <w:p>
      <w:pPr>
        <w:spacing w:after="0" w:line="23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Our operations and those of our manufacturers are vulnerable to interruption caused by technical breakdowns, computer hardware and software malfunctions, software viruses, infrastructure failures, pandemics,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8"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1C. CYBERSECURITY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 Management and Strategy</w:t>
      </w:r>
    </w:p>
    <w:p>
      <w:pPr>
        <w:spacing w:after="0" w:line="25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We have established policies and processes for assessing, identifying, and managing material risks from cybersecurity threats. We have designed and implemented an Incident Response Plan for cybersecurity and related processes that are overseen by our IT and management team. Our information security management system is ISO 27001 certified. In addition, our cybersecurity program leverages industry frameworks, including certain of those established by the National Institute of Standards and Technology (NIST).</w:t>
      </w:r>
    </w:p>
    <w:p>
      <w:pPr>
        <w:sectPr>
          <w:pgSz w:w="12240" w:h="15840" w:orient="portrait"/>
          <w:cols w:equalWidth="0" w:num="1">
            <w:col w:w="10780"/>
          </w:cols>
          <w:pgMar w:left="720" w:top="120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48</w:t>
      </w:r>
    </w:p>
    <w:p>
      <w:pPr>
        <w:sectPr>
          <w:pgSz w:w="12240" w:h="15840" w:orient="portrait"/>
          <w:cols w:equalWidth="0" w:num="1">
            <w:col w:w="10780"/>
          </w:cols>
          <w:pgMar w:left="720" w:top="1206" w:right="740" w:bottom="175" w:gutter="0" w:footer="0" w:header="0"/>
          <w:type w:val="continuous"/>
        </w:sectPr>
      </w:pPr>
    </w:p>
    <w:bookmarkStart w:id="53" w:name="page54"/>
    <w:bookmarkEnd w:id="53"/>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periodic risk assessments to identify cybersecurity threats, as well as assessments in the event of a material change in our business practices that may affect our information systems that are vulnerable to such cybersecurity threats. These risk assessments include identification of reasonably foreseeable internal and external risks, the likelihood and potential damage that could result from such risks, and the sufficiency of existing procedures, systems, and safeguards in place to manage such risks. Our cybersecurity risk management program is integrated into our overall risk management scheme by seeking to identify and mitigate those cybersecurity threats that are more likely to lead to a material impact on our business.</w:t>
      </w:r>
    </w:p>
    <w:p>
      <w:pPr>
        <w:spacing w:after="0" w:line="192"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454546"/>
        </w:rPr>
        <w:t>Our cybersecurity risk management program also seeks to manage cybersecurity risks associated with our use of third-party service providers through risk assessments and contractual obligations on such service providers.</w:t>
      </w:r>
    </w:p>
    <w:p>
      <w:pPr>
        <w:spacing w:after="0" w:line="18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454546"/>
        </w:rPr>
        <w:t>Our IT management team, with oversight from our Board of Directors and Nominating and Corporate Governance Committee as well as members of our management team, including our Chief Operating Officer, Chief Financial Officer and General Counsel, are primarily responsible for assessing and managing our material risks from cybersecurity threats.</w:t>
      </w:r>
    </w:p>
    <w:p>
      <w:pPr>
        <w:spacing w:after="0" w:line="202"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We also engage consultants or other third parties in connection with our risk assessment processes. These service providers assist us in designing and implementing our cybersecurity policies and procedures, as well as in monitoring and testing our safeguards.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Governance</w:t>
      </w:r>
    </w:p>
    <w:p>
      <w:pPr>
        <w:spacing w:after="0" w:line="238" w:lineRule="exact"/>
        <w:rPr>
          <w:sz w:val="20"/>
          <w:szCs w:val="20"/>
          <w:color w:val="auto"/>
        </w:rPr>
      </w:pPr>
    </w:p>
    <w:p>
      <w:pPr>
        <w:jc w:val="both"/>
        <w:ind w:right="260" w:firstLine="490"/>
        <w:spacing w:after="0" w:line="252" w:lineRule="auto"/>
        <w:rPr>
          <w:sz w:val="20"/>
          <w:szCs w:val="20"/>
          <w:color w:val="auto"/>
        </w:rPr>
      </w:pPr>
      <w:r>
        <w:rPr>
          <w:rFonts w:ascii="Times New Roman" w:cs="Times New Roman" w:eastAsia="Times New Roman" w:hAnsi="Times New Roman"/>
          <w:sz w:val="20"/>
          <w:szCs w:val="20"/>
          <w:color w:val="454546"/>
        </w:rPr>
        <w:t>Our Board considers cybersecurity risk as part of its overall risk oversight function and has delegated to the Nominating and Corporate Governance Committee oversight of cybersecurity matters and other policies and internal controls regarding information security risks. The Nominating and Corporate Governance Committee oversees management’s implementation of our cybersecurity risk management program.</w:t>
      </w:r>
    </w:p>
    <w:p>
      <w:pPr>
        <w:spacing w:after="0" w:line="245"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The Board of Directors and the Nominating and Corporate Governance Committee receive presentations and reports on cybersecurity, which address a range of topics including recent developments, evolving standards, the threat environment, cybersecurity systems testing and vulnerability assessments, and the Company’s practices and policies to manage risks. Management reports to the Nominating and Corporate Governance Committee on cybersecurity matters and materials risks, if any, from cybersecurity threats. Our Nominating and Corporate Governance Committee provides updates to the Board of Directors on such reports. The Nominating and Corporate Governance Committee also receives notice of any significant cybersecurity incidents, as well as ongoing updates regarding any such incident until it has been addressed.</w:t>
      </w:r>
    </w:p>
    <w:p>
      <w:pPr>
        <w:spacing w:after="0" w:line="19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Our management team, including our IT management team,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Operating Officer, Chief Financial Officer and General Counsel. Our IT management team supervises both our internal cybersecurity personnel and any retained external cybersecurity consultants. Our Senior Director of IT has served in various roles in information technology and information security for over 25 years.</w:t>
      </w:r>
    </w:p>
    <w:p>
      <w:pPr>
        <w:spacing w:after="0" w:line="19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Our cybersecurity incident response plan is designed to escalate certain cybersecurity incidents to a team of business leaders, including, but not limited to, our Chief Operating Officer, Chief Financial Officer and General Counsel. This team of business leaders works with our incident response team to help determine the severity of the impact of a cybersecurity incident, as well as to help mitigate and remediate cybersecurity incidents of which they are notified.</w:t>
      </w:r>
    </w:p>
    <w:p>
      <w:pPr>
        <w:spacing w:after="0" w:line="245"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454546"/>
        </w:rPr>
        <w:t>As part of our overall risk management system, we provide periodic mandatory training for personnel regarding cybersecurity threats as a means to equip our employees with information and tools to address cybersecurity threats, and to communicate our information security policies, processes and practices. We also perform periodic email phishing tests to evaluate and maintain cybersecurity awareness among our employees.</w:t>
      </w:r>
    </w:p>
    <w:p>
      <w:pPr>
        <w:spacing w:after="0" w:line="245"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As of the date of this Annual Report on Form 10-K, we are not aware of any risks from cybersecurity threats, including as a result of any previous cybersecurity incidents, that have materially affected the Company, its business strategy, results of operations or financial condition. As cybersecurity threats become more sophisticated, it is reasonably likely that we will be required to expend greater resources to continue to modify and enhance our protective measures. For additional information concerning risks related to cybersecurity, see Item 1A of this report, “</w:t>
      </w:r>
      <w:r>
        <w:rPr>
          <w:rFonts w:ascii="Times New Roman" w:cs="Times New Roman" w:eastAsia="Times New Roman" w:hAnsi="Times New Roman"/>
          <w:sz w:val="20"/>
          <w:szCs w:val="20"/>
          <w:i w:val="1"/>
          <w:iCs w:val="1"/>
          <w:color w:val="454546"/>
        </w:rPr>
        <w:t>Risk Factors – Risks Related to Our Business and Our Industry – A breach of our security</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systems may have a material adverse effect on our business</w:t>
      </w:r>
      <w:r>
        <w:rPr>
          <w:rFonts w:ascii="Times New Roman" w:cs="Times New Roman" w:eastAsia="Times New Roman" w:hAnsi="Times New Roman"/>
          <w:sz w:val="20"/>
          <w:szCs w:val="20"/>
          <w:color w:val="454546"/>
        </w:rPr>
        <w:t>.”</w:t>
      </w:r>
    </w:p>
    <w:p>
      <w:pPr>
        <w:sectPr>
          <w:pgSz w:w="12240" w:h="15840" w:orient="portrait"/>
          <w:cols w:equalWidth="0" w:num="1">
            <w:col w:w="10800"/>
          </w:cols>
          <w:pgMar w:left="720" w:top="976" w:right="720" w:bottom="175"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49</w:t>
      </w:r>
    </w:p>
    <w:p>
      <w:pPr>
        <w:sectPr>
          <w:pgSz w:w="12240" w:h="15840" w:orient="portrait"/>
          <w:cols w:equalWidth="0" w:num="1">
            <w:col w:w="10800"/>
          </w:cols>
          <w:pgMar w:left="720" w:top="976" w:right="72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454546"/>
        </w:rPr>
        <w:t>ITEM 2. PROPERTIES</w:t>
      </w:r>
    </w:p>
    <w:p>
      <w:pPr>
        <w:spacing w:after="0" w:line="124"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454546"/>
        </w:rPr>
        <w:t>Our corporate headquarters are located in Santa Clara, California. These facilities accommodate our sales, marketing, research and development, finance, and administration activities. Outside of Santa Clara, California, we lease some facilities in other U.S. locations that are used for research and development and marketing activities. Outside of the United States, we also lease facilities in various international locations that are used for research and development, sales, business development, operations and administrative support. Our lease obligations primarily consist of operating leases with lease periods expiring between fiscal years 2025 to 2028.</w:t>
      </w:r>
    </w:p>
    <w:p>
      <w:pPr>
        <w:spacing w:after="0" w:line="6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We believe that our existing facilities are well maintained and in good operating condition, and are sufficient for our needs for the foreseeable future. The following table lists our major locations and primary usage as of January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Approximate</w:t>
            </w:r>
          </w:p>
        </w:tc>
        <w:tc>
          <w:tcPr>
            <w:tcW w:w="260" w:type="dxa"/>
            <w:vAlign w:val="bottom"/>
          </w:tcPr>
          <w:p>
            <w:pPr>
              <w:spacing w:after="0"/>
              <w:rPr>
                <w:sz w:val="16"/>
                <w:szCs w:val="16"/>
                <w:color w:val="auto"/>
              </w:rPr>
            </w:pPr>
          </w:p>
        </w:tc>
        <w:tc>
          <w:tcPr>
            <w:tcW w:w="6780" w:type="dxa"/>
            <w:vAlign w:val="bottom"/>
          </w:tcPr>
          <w:p>
            <w:pPr>
              <w:spacing w:after="0"/>
              <w:rPr>
                <w:sz w:val="16"/>
                <w:szCs w:val="16"/>
                <w:color w:val="auto"/>
              </w:rPr>
            </w:pPr>
          </w:p>
        </w:tc>
      </w:tr>
      <w:tr>
        <w:trPr>
          <w:trHeight w:val="184"/>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Square</w:t>
            </w:r>
          </w:p>
        </w:tc>
        <w:tc>
          <w:tcPr>
            <w:tcW w:w="260" w:type="dxa"/>
            <w:vAlign w:val="bottom"/>
          </w:tcPr>
          <w:p>
            <w:pPr>
              <w:spacing w:after="0"/>
              <w:rPr>
                <w:sz w:val="15"/>
                <w:szCs w:val="15"/>
                <w:color w:val="auto"/>
              </w:rPr>
            </w:pPr>
          </w:p>
        </w:tc>
        <w:tc>
          <w:tcPr>
            <w:tcW w:w="6780" w:type="dxa"/>
            <w:vAlign w:val="bottom"/>
          </w:tcPr>
          <w:p>
            <w:pPr>
              <w:spacing w:after="0"/>
              <w:rPr>
                <w:sz w:val="15"/>
                <w:szCs w:val="15"/>
                <w:color w:val="auto"/>
              </w:rPr>
            </w:pPr>
          </w:p>
        </w:tc>
      </w:tr>
      <w:tr>
        <w:trPr>
          <w:trHeight w:val="203"/>
        </w:trPr>
        <w:tc>
          <w:tcPr>
            <w:tcW w:w="2300" w:type="dxa"/>
            <w:vAlign w:val="bottom"/>
            <w:tcBorders>
              <w:bottom w:val="single" w:sz="8" w:color="454546"/>
            </w:tcBorders>
          </w:tcPr>
          <w:p>
            <w:pPr>
              <w:ind w:left="580"/>
              <w:spacing w:after="0"/>
              <w:rPr>
                <w:sz w:val="20"/>
                <w:szCs w:val="20"/>
                <w:color w:val="auto"/>
              </w:rPr>
            </w:pPr>
            <w:r>
              <w:rPr>
                <w:rFonts w:ascii="Times New Roman" w:cs="Times New Roman" w:eastAsia="Times New Roman" w:hAnsi="Times New Roman"/>
                <w:sz w:val="16"/>
                <w:szCs w:val="16"/>
                <w:b w:val="1"/>
                <w:bCs w:val="1"/>
                <w:color w:val="454546"/>
              </w:rPr>
              <w:t>Major Locations</w:t>
            </w:r>
          </w:p>
        </w:tc>
        <w:tc>
          <w:tcPr>
            <w:tcW w:w="100" w:type="dxa"/>
            <w:vAlign w:val="bottom"/>
            <w:tcBorders>
              <w:bottom w:val="single" w:sz="8" w:color="E5E6E7"/>
            </w:tcBorders>
          </w:tcPr>
          <w:p>
            <w:pPr>
              <w:spacing w:after="0"/>
              <w:rPr>
                <w:sz w:val="17"/>
                <w:szCs w:val="17"/>
                <w:color w:val="auto"/>
              </w:rPr>
            </w:pPr>
          </w:p>
        </w:tc>
        <w:tc>
          <w:tcPr>
            <w:tcW w:w="136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Footage</w:t>
            </w:r>
          </w:p>
        </w:tc>
        <w:tc>
          <w:tcPr>
            <w:tcW w:w="260" w:type="dxa"/>
            <w:vAlign w:val="bottom"/>
            <w:tcBorders>
              <w:bottom w:val="single" w:sz="8" w:color="E5E6E7"/>
            </w:tcBorders>
          </w:tcPr>
          <w:p>
            <w:pPr>
              <w:spacing w:after="0"/>
              <w:rPr>
                <w:sz w:val="17"/>
                <w:szCs w:val="17"/>
                <w:color w:val="auto"/>
              </w:rPr>
            </w:pPr>
          </w:p>
        </w:tc>
        <w:tc>
          <w:tcPr>
            <w:tcW w:w="6780" w:type="dxa"/>
            <w:vAlign w:val="bottom"/>
            <w:tcBorders>
              <w:bottom w:val="single" w:sz="8" w:color="454546"/>
            </w:tcBorders>
          </w:tcPr>
          <w:p>
            <w:pPr>
              <w:ind w:left="3180"/>
              <w:spacing w:after="0"/>
              <w:rPr>
                <w:sz w:val="20"/>
                <w:szCs w:val="20"/>
                <w:color w:val="auto"/>
              </w:rPr>
            </w:pPr>
            <w:r>
              <w:rPr>
                <w:rFonts w:ascii="Times New Roman" w:cs="Times New Roman" w:eastAsia="Times New Roman" w:hAnsi="Times New Roman"/>
                <w:sz w:val="16"/>
                <w:szCs w:val="16"/>
                <w:b w:val="1"/>
                <w:bCs w:val="1"/>
                <w:color w:val="454546"/>
              </w:rPr>
              <w:t>Usage</w:t>
            </w:r>
          </w:p>
        </w:tc>
      </w:tr>
      <w:tr>
        <w:trPr>
          <w:trHeight w:val="220"/>
        </w:trPr>
        <w:tc>
          <w:tcPr>
            <w:tcW w:w="23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United States:</w:t>
            </w:r>
          </w:p>
        </w:tc>
        <w:tc>
          <w:tcPr>
            <w:tcW w:w="100" w:type="dxa"/>
            <w:vAlign w:val="bottom"/>
            <w:shd w:val="clear" w:color="auto" w:fill="E5E6E7"/>
          </w:tcPr>
          <w:p>
            <w:pPr>
              <w:spacing w:after="0"/>
              <w:rPr>
                <w:sz w:val="19"/>
                <w:szCs w:val="19"/>
                <w:color w:val="auto"/>
              </w:rPr>
            </w:pPr>
          </w:p>
        </w:tc>
        <w:tc>
          <w:tcPr>
            <w:tcW w:w="136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19"/>
                <w:szCs w:val="19"/>
                <w:color w:val="auto"/>
              </w:rPr>
            </w:pPr>
          </w:p>
        </w:tc>
      </w:tr>
      <w:tr>
        <w:trPr>
          <w:trHeight w:val="211"/>
        </w:trPr>
        <w:tc>
          <w:tcPr>
            <w:tcW w:w="23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Santa Clara, California</w:t>
            </w:r>
          </w:p>
        </w:tc>
        <w:tc>
          <w:tcPr>
            <w:tcW w:w="10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454546"/>
              </w:rPr>
              <w:t>61,700</w:t>
            </w:r>
          </w:p>
        </w:tc>
        <w:tc>
          <w:tcPr>
            <w:tcW w:w="260" w:type="dxa"/>
            <w:vAlign w:val="bottom"/>
          </w:tcPr>
          <w:p>
            <w:pPr>
              <w:spacing w:after="0"/>
              <w:rPr>
                <w:sz w:val="18"/>
                <w:szCs w:val="18"/>
                <w:color w:val="auto"/>
              </w:rPr>
            </w:pPr>
          </w:p>
        </w:tc>
        <w:tc>
          <w:tcPr>
            <w:tcW w:w="67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54546"/>
              </w:rPr>
              <w:t>Corporate Headquarters; Sales; Marketing; Research and Development; Finance;</w:t>
            </w:r>
          </w:p>
        </w:tc>
      </w:tr>
      <w:tr>
        <w:trPr>
          <w:trHeight w:val="249"/>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80" w:type="dxa"/>
            <w:vAlign w:val="bottom"/>
          </w:tcPr>
          <w:p>
            <w:pPr>
              <w:ind w:left="140"/>
              <w:spacing w:after="0"/>
              <w:rPr>
                <w:sz w:val="20"/>
                <w:szCs w:val="20"/>
                <w:color w:val="auto"/>
              </w:rPr>
            </w:pPr>
            <w:r>
              <w:rPr>
                <w:rFonts w:ascii="Times New Roman" w:cs="Times New Roman" w:eastAsia="Times New Roman" w:hAnsi="Times New Roman"/>
                <w:sz w:val="20"/>
                <w:szCs w:val="20"/>
                <w:color w:val="454546"/>
              </w:rPr>
              <w:t>Administration</w:t>
            </w:r>
          </w:p>
        </w:tc>
      </w:tr>
      <w:tr>
        <w:trPr>
          <w:trHeight w:val="230"/>
        </w:trPr>
        <w:tc>
          <w:tcPr>
            <w:tcW w:w="2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Wixom, Michigan</w:t>
            </w:r>
          </w:p>
        </w:tc>
        <w:tc>
          <w:tcPr>
            <w:tcW w:w="14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2,700</w:t>
            </w: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Business Development</w:t>
            </w:r>
          </w:p>
        </w:tc>
      </w:tr>
      <w:tr>
        <w:trPr>
          <w:trHeight w:val="230"/>
        </w:trPr>
        <w:tc>
          <w:tcPr>
            <w:tcW w:w="23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Beavercreek, Ohio</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16,000</w:t>
            </w:r>
          </w:p>
        </w:tc>
        <w:tc>
          <w:tcPr>
            <w:tcW w:w="26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20"/>
                <w:szCs w:val="20"/>
                <w:color w:val="454546"/>
              </w:rPr>
              <w:t>Research and Development</w:t>
            </w:r>
          </w:p>
        </w:tc>
      </w:tr>
      <w:tr>
        <w:trPr>
          <w:trHeight w:val="230"/>
        </w:trPr>
        <w:tc>
          <w:tcPr>
            <w:tcW w:w="23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Asia Pacific:</w:t>
            </w:r>
          </w:p>
        </w:tc>
        <w:tc>
          <w:tcPr>
            <w:tcW w:w="100" w:type="dxa"/>
            <w:vAlign w:val="bottom"/>
            <w:shd w:val="clear" w:color="auto" w:fill="E5E6E7"/>
          </w:tcPr>
          <w:p>
            <w:pPr>
              <w:spacing w:after="0"/>
              <w:rPr>
                <w:sz w:val="20"/>
                <w:szCs w:val="20"/>
                <w:color w:val="auto"/>
              </w:rPr>
            </w:pPr>
          </w:p>
        </w:tc>
        <w:tc>
          <w:tcPr>
            <w:tcW w:w="136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6780" w:type="dxa"/>
            <w:vAlign w:val="bottom"/>
            <w:shd w:val="clear" w:color="auto" w:fill="E5E6E7"/>
          </w:tcPr>
          <w:p>
            <w:pPr>
              <w:spacing w:after="0"/>
              <w:rPr>
                <w:sz w:val="20"/>
                <w:szCs w:val="20"/>
                <w:color w:val="auto"/>
              </w:rPr>
            </w:pPr>
          </w:p>
        </w:tc>
      </w:tr>
      <w:tr>
        <w:trPr>
          <w:trHeight w:val="230"/>
        </w:trPr>
        <w:tc>
          <w:tcPr>
            <w:tcW w:w="23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Hsinchu, Taiwan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86,700</w:t>
            </w:r>
          </w:p>
        </w:tc>
        <w:tc>
          <w:tcPr>
            <w:tcW w:w="2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20"/>
                <w:szCs w:val="20"/>
                <w:color w:val="454546"/>
              </w:rPr>
              <w:t>Research and Development; Business Development; Operations; Administration</w:t>
            </w:r>
          </w:p>
        </w:tc>
      </w:tr>
      <w:tr>
        <w:trPr>
          <w:trHeight w:val="230"/>
        </w:trPr>
        <w:tc>
          <w:tcPr>
            <w:tcW w:w="2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Shanghai, China</w:t>
            </w:r>
          </w:p>
        </w:tc>
        <w:tc>
          <w:tcPr>
            <w:tcW w:w="14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31,600</w:t>
            </w: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Research and Development; Business Development</w:t>
            </w:r>
          </w:p>
        </w:tc>
      </w:tr>
      <w:tr>
        <w:trPr>
          <w:trHeight w:val="230"/>
        </w:trPr>
        <w:tc>
          <w:tcPr>
            <w:tcW w:w="23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Shenzhen, China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19,200</w:t>
            </w:r>
          </w:p>
        </w:tc>
        <w:tc>
          <w:tcPr>
            <w:tcW w:w="2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20"/>
                <w:szCs w:val="20"/>
                <w:color w:val="454546"/>
              </w:rPr>
              <w:t>Research and Development; Business Development</w:t>
            </w:r>
          </w:p>
        </w:tc>
      </w:tr>
      <w:tr>
        <w:trPr>
          <w:trHeight w:val="230"/>
        </w:trPr>
        <w:tc>
          <w:tcPr>
            <w:tcW w:w="2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Kowloon, Hong Kong</w:t>
            </w:r>
          </w:p>
        </w:tc>
        <w:tc>
          <w:tcPr>
            <w:tcW w:w="14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9,000</w:t>
            </w: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Sales; Warehousing</w:t>
            </w:r>
          </w:p>
        </w:tc>
      </w:tr>
      <w:tr>
        <w:trPr>
          <w:trHeight w:val="230"/>
        </w:trPr>
        <w:tc>
          <w:tcPr>
            <w:tcW w:w="23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Shin-Yokohama, Japan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1,300</w:t>
            </w:r>
          </w:p>
        </w:tc>
        <w:tc>
          <w:tcPr>
            <w:tcW w:w="26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20"/>
                <w:szCs w:val="20"/>
                <w:color w:val="454546"/>
              </w:rPr>
              <w:t>Business Development</w:t>
            </w:r>
          </w:p>
        </w:tc>
      </w:tr>
      <w:tr>
        <w:trPr>
          <w:trHeight w:val="230"/>
        </w:trPr>
        <w:tc>
          <w:tcPr>
            <w:tcW w:w="23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SeongNam, South Korea</w:t>
            </w:r>
          </w:p>
        </w:tc>
        <w:tc>
          <w:tcPr>
            <w:tcW w:w="14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1,500</w:t>
            </w: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Business Development</w:t>
            </w:r>
          </w:p>
        </w:tc>
      </w:tr>
      <w:tr>
        <w:trPr>
          <w:trHeight w:val="269"/>
        </w:trPr>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780" w:type="dxa"/>
            <w:vAlign w:val="bottom"/>
          </w:tcPr>
          <w:p>
            <w:pPr>
              <w:spacing w:after="0"/>
              <w:rPr>
                <w:sz w:val="23"/>
                <w:szCs w:val="23"/>
                <w:color w:val="auto"/>
              </w:rPr>
            </w:pPr>
          </w:p>
        </w:tc>
      </w:tr>
      <w:tr>
        <w:trPr>
          <w:trHeight w:val="230"/>
        </w:trPr>
        <w:tc>
          <w:tcPr>
            <w:tcW w:w="23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Europe:</w:t>
            </w:r>
          </w:p>
        </w:tc>
        <w:tc>
          <w:tcPr>
            <w:tcW w:w="100" w:type="dxa"/>
            <w:vAlign w:val="bottom"/>
            <w:shd w:val="clear" w:color="auto" w:fill="E5E6E7"/>
          </w:tcPr>
          <w:p>
            <w:pPr>
              <w:spacing w:after="0"/>
              <w:rPr>
                <w:sz w:val="19"/>
                <w:szCs w:val="19"/>
                <w:color w:val="auto"/>
              </w:rPr>
            </w:pPr>
          </w:p>
        </w:tc>
        <w:tc>
          <w:tcPr>
            <w:tcW w:w="136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6780" w:type="dxa"/>
            <w:vAlign w:val="bottom"/>
            <w:shd w:val="clear" w:color="auto" w:fill="E5E6E7"/>
          </w:tcPr>
          <w:p>
            <w:pPr>
              <w:spacing w:after="0"/>
              <w:rPr>
                <w:sz w:val="19"/>
                <w:szCs w:val="19"/>
                <w:color w:val="auto"/>
              </w:rPr>
            </w:pPr>
          </w:p>
        </w:tc>
      </w:tr>
      <w:tr>
        <w:trPr>
          <w:trHeight w:val="266"/>
        </w:trPr>
        <w:tc>
          <w:tcPr>
            <w:tcW w:w="23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Parma, Italy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12,100</w:t>
            </w:r>
          </w:p>
        </w:tc>
        <w:tc>
          <w:tcPr>
            <w:tcW w:w="260" w:type="dxa"/>
            <w:vAlign w:val="bottom"/>
          </w:tcPr>
          <w:p>
            <w:pPr>
              <w:spacing w:after="0"/>
              <w:rPr>
                <w:sz w:val="23"/>
                <w:szCs w:val="2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20"/>
                <w:szCs w:val="20"/>
                <w:color w:val="454546"/>
              </w:rPr>
              <w:t>Research and Development</w:t>
            </w: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3. LEGAL PROCEEDINGS</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454546"/>
        </w:rPr>
        <w:t>We are not engaged in any material legal proceedings at this time. However, from time to time, we may be subject to commercial disputes, employment issues, intellectual property claims and litigation, in the ordinary course of our business. Refer to Note 15, Commitments and Contingencies within Notes to Consolidated Financial Statements for further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ectPr>
          <w:pgSz w:w="12240" w:h="15840" w:orient="portrait"/>
          <w:cols w:equalWidth="0" w:num="1">
            <w:col w:w="10800"/>
          </w:cols>
          <w:pgMar w:left="720" w:top="14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50</w:t>
      </w:r>
    </w:p>
    <w:p>
      <w:pPr>
        <w:sectPr>
          <w:pgSz w:w="12240" w:h="15840" w:orient="portrait"/>
          <w:cols w:equalWidth="0" w:num="1">
            <w:col w:w="10800"/>
          </w:cols>
          <w:pgMar w:left="720" w:top="1432" w:right="720" w:bottom="175" w:gutter="0" w:footer="0" w:header="0"/>
          <w:type w:val="continuous"/>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20"/>
          <w:szCs w:val="20"/>
          <w:b w:val="1"/>
          <w:bCs w:val="1"/>
          <w:color w:val="454546"/>
        </w:rPr>
        <w:t>PART II</w:t>
      </w:r>
    </w:p>
    <w:p>
      <w:pPr>
        <w:spacing w:after="0" w:line="24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b w:val="1"/>
          <w:bCs w:val="1"/>
          <w:color w:val="454546"/>
        </w:rPr>
        <w:t>ITEM 5. MARKET FOR REGISTRANT’S COMMON EQUITY, RELATED STOCKHOLDER MATTERS AND ISSUER PURCHASES OF EQUITY SECURITIES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Market Information</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454546"/>
        </w:rPr>
        <w:t>Our ordinary shares are traded on the NASDAQ Global Select Market under the symbol “AMBA”. On March 22, 2024, there were 26 shareholders of record holding our ordinary shares. We cannot estimate the number of beneficial owners since many brokers and other institutions hold our shares on behalf of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Share Performance Graph</w:t>
      </w:r>
    </w:p>
    <w:p>
      <w:pPr>
        <w:spacing w:after="0" w:line="124"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The following graph shows a comparison from February 1, 2019 through January 31, 2024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858000" cy="3228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extLst>
                    </a:blip>
                    <a:srcRect/>
                    <a:stretch>
                      <a:fillRect/>
                    </a:stretch>
                  </pic:blipFill>
                  <pic:spPr bwMode="auto">
                    <a:xfrm>
                      <a:off x="0" y="0"/>
                      <a:ext cx="6858000" cy="322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Dividends</w:t>
      </w:r>
    </w:p>
    <w:p>
      <w:pPr>
        <w:spacing w:after="0" w:line="124"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454546"/>
        </w:rPr>
        <w:t>We have never declared or paid any cash dividends on our ordinary shares and do not currently intend to do so in the foreseeable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Securities Authorized for Issuance under Equity Compensation Plans</w:t>
      </w:r>
    </w:p>
    <w:p>
      <w:pPr>
        <w:spacing w:after="0" w:line="12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For information about our equity compensation plans, see Note 12, “Employee Benefits and Stock-based Compensation” of the Notes to Consolidated Financial Statements included in this report.</w:t>
      </w:r>
    </w:p>
    <w:p>
      <w:pPr>
        <w:sectPr>
          <w:pgSz w:w="12240" w:h="15840" w:orient="portrait"/>
          <w:cols w:equalWidth="0" w:num="1">
            <w:col w:w="10740"/>
          </w:cols>
          <w:pgMar w:left="720" w:top="972"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51</w:t>
      </w:r>
    </w:p>
    <w:p>
      <w:pPr>
        <w:sectPr>
          <w:pgSz w:w="12240" w:h="15840" w:orient="portrait"/>
          <w:cols w:equalWidth="0" w:num="1">
            <w:col w:w="10740"/>
          </w:cols>
          <w:pgMar w:left="720" w:top="972" w:right="78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454546"/>
        </w:rPr>
        <w:t>Purchases of Equity Securities by the Issuer</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There were no shares repurchased in fiscal years 2024, 2023 and 2022. On May 26, 2023, our Board of Directors approved an extension of the existing share repurchase program for an additional twelve months through June 30, 2024. As of January 31, 2024, there was approximately $ 49.0 million available for repurchases through June 30, 2024.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will be recorded as authorized but unissued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Sales of Unregistered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52</w:t>
      </w:r>
    </w:p>
    <w:p>
      <w:pPr>
        <w:sectPr>
          <w:pgSz w:w="12240" w:h="15840" w:orient="portrait"/>
          <w:cols w:equalWidth="0" w:num="1">
            <w:col w:w="10800"/>
          </w:cols>
          <w:pgMar w:left="720" w:top="972" w:right="72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9"/>
          <w:szCs w:val="19"/>
          <w:b w:val="1"/>
          <w:bCs w:val="1"/>
          <w:color w:val="454546"/>
        </w:rPr>
        <w:t>ITEM 6. [RESERVED]</w:t>
      </w:r>
    </w:p>
    <w:p>
      <w:pPr>
        <w:sectPr>
          <w:pgSz w:w="12240" w:h="15840" w:orient="portrait"/>
          <w:cols w:equalWidth="0" w:num="1">
            <w:col w:w="10080"/>
          </w:cols>
          <w:pgMar w:left="720" w:top="97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454546"/>
        </w:rPr>
        <w:t>53</w:t>
      </w:r>
    </w:p>
    <w:p>
      <w:pPr>
        <w:sectPr>
          <w:pgSz w:w="12240" w:h="15840" w:orient="portrait"/>
          <w:cols w:equalWidth="0" w:num="1">
            <w:col w:w="10080"/>
          </w:cols>
          <w:pgMar w:left="720" w:top="972" w:right="1440" w:bottom="175" w:gutter="0" w:footer="0" w:header="0"/>
          <w:type w:val="continuous"/>
        </w:sectPr>
      </w:pPr>
    </w:p>
    <w:bookmarkStart w:id="58" w:name="page59"/>
    <w:bookmarkEnd w:id="58"/>
    <w:p>
      <w:pPr>
        <w:ind w:right="1000"/>
        <w:spacing w:after="0" w:line="286" w:lineRule="auto"/>
        <w:rPr>
          <w:sz w:val="20"/>
          <w:szCs w:val="20"/>
          <w:color w:val="auto"/>
        </w:rPr>
      </w:pPr>
      <w:r>
        <w:rPr>
          <w:rFonts w:ascii="Times New Roman" w:cs="Times New Roman" w:eastAsia="Times New Roman" w:hAnsi="Times New Roman"/>
          <w:sz w:val="20"/>
          <w:szCs w:val="20"/>
          <w:b w:val="1"/>
          <w:bCs w:val="1"/>
          <w:color w:val="454546"/>
        </w:rPr>
        <w:t>ITEM 7. MANAGEMENT’S DISCUSSION AND ANALYSIS OF FINANCIAL CONDITION AND 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2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edge inference AI,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 party, neural networks and/or classical CV algorithms to our CVflow-based SoCs. Our latest third generation CVflow technology enables us to address incremental and computationally intense AI applications for deep fusion, deep planning, and large language models (LLMs), as well as efficiently process transformer AI networks.</w:t>
      </w:r>
    </w:p>
    <w:p>
      <w:pPr>
        <w:spacing w:after="0" w:line="93"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Our SoC designs fully integrate AI,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80" w:lineRule="exact"/>
        <w:rPr>
          <w:sz w:val="20"/>
          <w:szCs w:val="20"/>
          <w:color w:val="auto"/>
        </w:rPr>
      </w:pPr>
    </w:p>
    <w:p>
      <w:pPr>
        <w:ind w:right="20" w:firstLine="540"/>
        <w:spacing w:after="0" w:line="245" w:lineRule="auto"/>
        <w:rPr>
          <w:sz w:val="20"/>
          <w:szCs w:val="20"/>
          <w:color w:val="auto"/>
        </w:rPr>
      </w:pPr>
      <w:r>
        <w:rPr>
          <w:rFonts w:ascii="Times New Roman" w:cs="Times New Roman" w:eastAsia="Times New Roman" w:hAnsi="Times New Roman"/>
          <w:sz w:val="20"/>
          <w:szCs w:val="20"/>
          <w:color w:val="454546"/>
        </w:rPr>
        <w:t>Our development efforts are focused on SoCs that provide human viewing, computer vision and radar detection functionalities.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202"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 cycles will typically be longer than 24 months in the OEM automotive and industrial and robotics markets, as new product introductions occur less frequently in these markets.</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54</w:t>
      </w:r>
    </w:p>
    <w:p>
      <w:pPr>
        <w:sectPr>
          <w:pgSz w:w="12240" w:h="15840" w:orient="portrait"/>
          <w:cols w:equalWidth="0" w:num="1">
            <w:col w:w="10800"/>
          </w:cols>
          <w:pgMar w:left="720" w:top="972" w:right="720" w:bottom="175" w:gutter="0" w:footer="0" w:header="0"/>
          <w:type w:val="continuous"/>
        </w:sectPr>
      </w:pPr>
    </w:p>
    <w:bookmarkStart w:id="59" w:name="page60"/>
    <w:bookmarkEnd w:id="59"/>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Fiscal Year 2024 Financial Highlights and Trends</w:t>
      </w:r>
    </w:p>
    <w:p>
      <w:pPr>
        <w:spacing w:after="0" w:line="134" w:lineRule="exact"/>
        <w:rPr>
          <w:sz w:val="20"/>
          <w:szCs w:val="20"/>
          <w:color w:val="auto"/>
        </w:rPr>
      </w:pPr>
    </w:p>
    <w:p>
      <w:pPr>
        <w:ind w:left="980" w:right="140" w:hanging="491"/>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We recorded revenue of $226.5 million in fiscal year 2024, a decrease of 32.9% as compared to fiscal year 2023. The decrease in revenue was primarily attributable to lower product unit shipments as a result of customer inventory level reduction efforts. The decreased revenue from lower product shipments was partially offset by continued adoption of our CV-based solutions, which have higher average selling prices than non-CV solutions.</w:t>
      </w:r>
    </w:p>
    <w:p>
      <w:pPr>
        <w:spacing w:after="0" w:line="87" w:lineRule="exact"/>
        <w:rPr>
          <w:rFonts w:ascii="Arial" w:cs="Arial" w:eastAsia="Arial" w:hAnsi="Arial"/>
          <w:sz w:val="20"/>
          <w:szCs w:val="20"/>
          <w:color w:val="454546"/>
        </w:rPr>
      </w:pPr>
    </w:p>
    <w:p>
      <w:pPr>
        <w:ind w:left="980" w:right="20" w:hanging="491"/>
        <w:spacing w:after="0" w:line="249"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We recorded a loss from operations of $154.6 million in fiscal year 2024, as compared to a loss from operations of $74.3 million in fiscal year 2023. The increased loss from operations was primarily due to a decrease in revenue and gross profit, as well as an increase in operating expenses. The increase in operating expenses primarily related to higher chip tape-out costs from our foundries associated with the progress, complexity and number of chips in development, increased engineering-related expenses for supporting our CV-based and radar solutions, as well as increased personnel costs.</w:t>
      </w:r>
    </w:p>
    <w:p>
      <w:pPr>
        <w:spacing w:after="0" w:line="90" w:lineRule="exact"/>
        <w:rPr>
          <w:rFonts w:ascii="Arial" w:cs="Arial" w:eastAsia="Arial" w:hAnsi="Arial"/>
          <w:sz w:val="20"/>
          <w:szCs w:val="20"/>
          <w:color w:val="454546"/>
        </w:rPr>
      </w:pPr>
    </w:p>
    <w:p>
      <w:pPr>
        <w:ind w:left="980" w:right="100" w:hanging="491"/>
        <w:spacing w:after="0" w:line="252" w:lineRule="auto"/>
        <w:tabs>
          <w:tab w:leader="none" w:pos="980" w:val="left"/>
        </w:tabs>
        <w:numPr>
          <w:ilvl w:val="0"/>
          <w:numId w:val="23"/>
        </w:numPr>
        <w:rPr>
          <w:rFonts w:ascii="Arial" w:cs="Arial" w:eastAsia="Arial" w:hAnsi="Arial"/>
          <w:sz w:val="20"/>
          <w:szCs w:val="20"/>
          <w:color w:val="454546"/>
        </w:rPr>
      </w:pPr>
      <w:r>
        <w:rPr>
          <w:rFonts w:ascii="Times New Roman" w:cs="Times New Roman" w:eastAsia="Times New Roman" w:hAnsi="Times New Roman"/>
          <w:sz w:val="20"/>
          <w:szCs w:val="20"/>
          <w:color w:val="454546"/>
        </w:rPr>
        <w:t>We generated cash flows from operating activities of $19.0 million in fiscal year 2024, as compared to $44.1 million in fiscal year 2023. The lower cash flows from operating activities were primarily attributable to higher net loss adjusted for certain non-cash items, partially offset by increased working capital as a result of better management on accounts receivable and liabilities, and decreased inventory purchase due to lower demand from customers.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Factors Affecting Our Performance</w:t>
      </w:r>
    </w:p>
    <w:p>
      <w:pPr>
        <w:spacing w:after="0" w:line="23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i w:val="1"/>
          <w:iCs w:val="1"/>
          <w:color w:val="454546"/>
        </w:rPr>
        <w:t xml:space="preserve">Impact of Global Supply Chain Conditions on Our Business. </w:t>
      </w:r>
      <w:r>
        <w:rPr>
          <w:rFonts w:ascii="Times New Roman" w:cs="Times New Roman" w:eastAsia="Times New Roman" w:hAnsi="Times New Roman"/>
          <w:sz w:val="20"/>
          <w:szCs w:val="20"/>
          <w:color w:val="454546"/>
        </w:rPr>
        <w:t>Uncertainty in customer demand as well as the worldwide</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economy, in general, have increased volatility in our sales and revenues. Some customers have indicated they are reducing their inventory levels, as some component lead times contract toward normal levels, which has reduced and may continue to reduce demand for our products. Uncertain market demand may be exacerbating these customers’ inventory reduction efforts. Supply chain issues can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We believe that our customers are making progress with their inventory reduction efforts, and we expect conditions to return to more stability in future periods.</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i w:val="1"/>
          <w:iCs w:val="1"/>
          <w:color w:val="454546"/>
        </w:rPr>
        <w:t>Ability to Capitalize on AI and Computer Vision Trends</w:t>
      </w:r>
      <w:r>
        <w:rPr>
          <w:rFonts w:ascii="Times New Roman" w:cs="Times New Roman" w:eastAsia="Times New Roman" w:hAnsi="Times New Roman"/>
          <w:sz w:val="20"/>
          <w:szCs w:val="20"/>
          <w:color w:val="454546"/>
        </w:rPr>
        <w:t>. We expect that AI and computer vision functionality will become an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increasingly important 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Ability to Develop and Introduce New or Enhanced Solutions</w:t>
      </w:r>
      <w:r>
        <w:rPr>
          <w:rFonts w:ascii="Times New Roman" w:cs="Times New Roman" w:eastAsia="Times New Roman" w:hAnsi="Times New Roman"/>
          <w:sz w:val="20"/>
          <w:szCs w:val="20"/>
          <w:color w:val="454546"/>
        </w:rPr>
        <w:t>. We operate in a dynamic environment characterized by rapidly</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changing technologies 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20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i w:val="1"/>
          <w:iCs w:val="1"/>
          <w:color w:val="454546"/>
        </w:rPr>
        <w:t>Pricing, Product Cost and Margin</w:t>
      </w:r>
      <w:r>
        <w:rPr>
          <w:rFonts w:ascii="Times New Roman" w:cs="Times New Roman" w:eastAsia="Times New Roman" w:hAnsi="Times New Roman"/>
          <w:sz w:val="20"/>
          <w:szCs w:val="20"/>
          <w:color w:val="454546"/>
        </w:rPr>
        <w:t>. Our pricing and margins depend on the volumes and features of the solutions we provide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our customers. 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55</w:t>
      </w:r>
    </w:p>
    <w:p>
      <w:pPr>
        <w:sectPr>
          <w:pgSz w:w="12240" w:h="15840" w:orient="portrait"/>
          <w:cols w:equalWidth="0" w:num="1">
            <w:col w:w="10800"/>
          </w:cols>
          <w:pgMar w:left="720" w:top="976" w:right="720" w:bottom="175" w:gutter="0" w:footer="0" w:header="0"/>
          <w:type w:val="continuous"/>
        </w:sectPr>
      </w:pPr>
    </w:p>
    <w:bookmarkStart w:id="60" w:name="page61"/>
    <w:bookmarkEnd w:id="60"/>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8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454546"/>
        </w:rPr>
        <w:t>Continued Concentration of Revenue by End Market</w:t>
      </w:r>
      <w:r>
        <w:rPr>
          <w:rFonts w:ascii="Times New Roman" w:cs="Times New Roman" w:eastAsia="Times New Roman" w:hAnsi="Times New Roman"/>
          <w:sz w:val="20"/>
          <w:szCs w:val="20"/>
          <w:color w:val="454546"/>
        </w:rPr>
        <w:t>. Historically, our revenue has been significantly concentrated in a small</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number of end 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203"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i w:val="1"/>
          <w:iCs w:val="1"/>
          <w:color w:val="454546"/>
        </w:rPr>
        <w:t>Sales Volume</w:t>
      </w:r>
      <w:r>
        <w:rPr>
          <w:rFonts w:ascii="Times New Roman" w:cs="Times New Roman" w:eastAsia="Times New Roman" w:hAnsi="Times New Roman"/>
          <w:sz w:val="20"/>
          <w:szCs w:val="20"/>
          <w:color w:val="454546"/>
        </w:rPr>
        <w:t>. A typical design win that successfully launches into the marketplace can generate a wide range of sales volumes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for our solutions, 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2"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i w:val="1"/>
          <w:iCs w:val="1"/>
          <w:color w:val="454546"/>
        </w:rPr>
        <w:t xml:space="preserve">Customer Product Life Cycle. </w:t>
      </w:r>
      <w:r>
        <w:rPr>
          <w:rFonts w:ascii="Times New Roman" w:cs="Times New Roman" w:eastAsia="Times New Roman" w:hAnsi="Times New Roman"/>
          <w:sz w:val="20"/>
          <w:szCs w:val="20"/>
          <w:color w:val="454546"/>
        </w:rPr>
        <w:t>We estimate our customers’ product life cycles based on the customer, type of product and end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market. We typically 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sets forth our historical operating results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2500" w:type="dxa"/>
            <w:vAlign w:val="bottom"/>
            <w:tcBorders>
              <w:bottom w:val="single" w:sz="8" w:color="454546"/>
            </w:tcBorders>
            <w:gridSpan w:val="8"/>
          </w:tcPr>
          <w:p>
            <w:pPr>
              <w:jc w:val="center"/>
              <w:ind w:left="483"/>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2"/>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80" w:type="dxa"/>
            <w:vAlign w:val="bottom"/>
            <w:gridSpan w:val="7"/>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(dollars in thousands)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Revenue</w:t>
            </w:r>
          </w:p>
        </w:tc>
        <w:tc>
          <w:tcPr>
            <w:tcW w:w="3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226,474</w:t>
            </w:r>
          </w:p>
        </w:tc>
        <w:tc>
          <w:tcPr>
            <w:tcW w:w="140" w:type="dxa"/>
            <w:vAlign w:val="bottom"/>
            <w:shd w:val="clear" w:color="auto" w:fill="E5E6E7"/>
          </w:tcPr>
          <w:p>
            <w:pPr>
              <w:spacing w:after="0"/>
              <w:rPr>
                <w:sz w:val="19"/>
                <w:szCs w:val="19"/>
                <w:color w:val="auto"/>
              </w:rPr>
            </w:pPr>
          </w:p>
        </w:tc>
        <w:tc>
          <w:tcPr>
            <w:tcW w:w="3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337,606</w:t>
            </w:r>
          </w:p>
        </w:tc>
        <w:tc>
          <w:tcPr>
            <w:tcW w:w="120" w:type="dxa"/>
            <w:vAlign w:val="bottom"/>
            <w:shd w:val="clear" w:color="auto" w:fill="E5E6E7"/>
          </w:tcPr>
          <w:p>
            <w:pPr>
              <w:spacing w:after="0"/>
              <w:rPr>
                <w:sz w:val="19"/>
                <w:szCs w:val="19"/>
                <w:color w:val="auto"/>
              </w:rPr>
            </w:pPr>
          </w:p>
        </w:tc>
        <w:tc>
          <w:tcPr>
            <w:tcW w:w="3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331,856</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Cost of revenue</w:t>
            </w:r>
          </w:p>
        </w:tc>
        <w:tc>
          <w:tcPr>
            <w:tcW w:w="120" w:type="dxa"/>
            <w:vAlign w:val="bottom"/>
            <w:tcBorders>
              <w:bottom w:val="single" w:sz="8" w:color="E5E6E7"/>
            </w:tcBorders>
          </w:tcPr>
          <w:p>
            <w:pPr>
              <w:spacing w:after="0"/>
              <w:rPr>
                <w:sz w:val="19"/>
                <w:szCs w:val="19"/>
                <w:color w:val="auto"/>
              </w:rPr>
            </w:pPr>
          </w:p>
        </w:tc>
        <w:tc>
          <w:tcPr>
            <w:tcW w:w="20" w:type="dxa"/>
            <w:vAlign w:val="bottom"/>
            <w:tcBorders>
              <w:bottom w:val="single" w:sz="8" w:color="E5E6E7"/>
            </w:tcBorders>
          </w:tcPr>
          <w:p>
            <w:pPr>
              <w:spacing w:after="0"/>
              <w:rPr>
                <w:sz w:val="19"/>
                <w:szCs w:val="19"/>
                <w:color w:val="auto"/>
              </w:rPr>
            </w:pPr>
          </w:p>
        </w:tc>
        <w:tc>
          <w:tcPr>
            <w:tcW w:w="180" w:type="dxa"/>
            <w:vAlign w:val="bottom"/>
            <w:tcBorders>
              <w:bottom w:val="single" w:sz="8" w:color="454546"/>
            </w:tcBorders>
          </w:tcPr>
          <w:p>
            <w:pPr>
              <w:spacing w:after="0"/>
              <w:rPr>
                <w:sz w:val="19"/>
                <w:szCs w:val="19"/>
                <w:color w:val="auto"/>
              </w:rPr>
            </w:pPr>
          </w:p>
        </w:tc>
        <w:tc>
          <w:tcPr>
            <w:tcW w:w="8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89,657</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128,672</w:t>
            </w:r>
          </w:p>
        </w:tc>
        <w:tc>
          <w:tcPr>
            <w:tcW w:w="12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7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123,724</w:t>
            </w:r>
          </w:p>
        </w:tc>
        <w:tc>
          <w:tcPr>
            <w:tcW w:w="80" w:type="dxa"/>
            <w:vAlign w:val="bottom"/>
            <w:tcBorders>
              <w:bottom w:val="single" w:sz="8" w:color="E5E6E7"/>
            </w:tcBorders>
          </w:tcPr>
          <w:p>
            <w:pPr>
              <w:spacing w:after="0"/>
              <w:rPr>
                <w:sz w:val="19"/>
                <w:szCs w:val="19"/>
                <w:color w:val="auto"/>
              </w:rPr>
            </w:pPr>
          </w:p>
        </w:tc>
      </w:tr>
      <w:tr>
        <w:trPr>
          <w:trHeight w:val="220"/>
        </w:trPr>
        <w:tc>
          <w:tcPr>
            <w:tcW w:w="496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Gross profit</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136,817</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208,934</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208,132</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454546"/>
              </w:rPr>
              <w:t>Operating expenses: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215,052</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204,946</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167,337</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Selling, general and administrative</w:t>
            </w:r>
          </w:p>
        </w:tc>
        <w:tc>
          <w:tcPr>
            <w:tcW w:w="120" w:type="dxa"/>
            <w:vAlign w:val="bottom"/>
            <w:tcBorders>
              <w:bottom w:val="single" w:sz="8" w:color="E5E6E7"/>
            </w:tcBorders>
          </w:tcPr>
          <w:p>
            <w:pPr>
              <w:spacing w:after="0"/>
              <w:rPr>
                <w:sz w:val="19"/>
                <w:szCs w:val="19"/>
                <w:color w:val="auto"/>
              </w:rPr>
            </w:pPr>
          </w:p>
        </w:tc>
        <w:tc>
          <w:tcPr>
            <w:tcW w:w="20" w:type="dxa"/>
            <w:vAlign w:val="bottom"/>
            <w:tcBorders>
              <w:bottom w:val="single" w:sz="8" w:color="E5E6E7"/>
            </w:tcBorders>
          </w:tcPr>
          <w:p>
            <w:pPr>
              <w:spacing w:after="0"/>
              <w:rPr>
                <w:sz w:val="19"/>
                <w:szCs w:val="19"/>
                <w:color w:val="auto"/>
              </w:rPr>
            </w:pPr>
          </w:p>
        </w:tc>
        <w:tc>
          <w:tcPr>
            <w:tcW w:w="180" w:type="dxa"/>
            <w:vAlign w:val="bottom"/>
            <w:tcBorders>
              <w:bottom w:val="single" w:sz="8" w:color="454546"/>
            </w:tcBorders>
          </w:tcPr>
          <w:p>
            <w:pPr>
              <w:spacing w:after="0"/>
              <w:rPr>
                <w:sz w:val="19"/>
                <w:szCs w:val="19"/>
                <w:color w:val="auto"/>
              </w:rPr>
            </w:pPr>
          </w:p>
        </w:tc>
        <w:tc>
          <w:tcPr>
            <w:tcW w:w="8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76,325</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78,244</w:t>
            </w:r>
          </w:p>
        </w:tc>
        <w:tc>
          <w:tcPr>
            <w:tcW w:w="12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7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70,438</w:t>
            </w:r>
          </w:p>
        </w:tc>
        <w:tc>
          <w:tcPr>
            <w:tcW w:w="80" w:type="dxa"/>
            <w:vAlign w:val="bottom"/>
            <w:tcBorders>
              <w:bottom w:val="single" w:sz="8" w:color="E5E6E7"/>
            </w:tcBorders>
          </w:tcPr>
          <w:p>
            <w:pPr>
              <w:spacing w:after="0"/>
              <w:rPr>
                <w:sz w:val="19"/>
                <w:szCs w:val="19"/>
                <w:color w:val="auto"/>
              </w:rPr>
            </w:pPr>
          </w:p>
        </w:tc>
      </w:tr>
      <w:tr>
        <w:trPr>
          <w:trHeight w:val="220"/>
        </w:trPr>
        <w:tc>
          <w:tcPr>
            <w:tcW w:w="4960" w:type="dxa"/>
            <w:vAlign w:val="bottom"/>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operating expenses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291,377</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283,190</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237,775</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454546"/>
              </w:rPr>
              <w:t>Loss from operations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(154,560)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(74,256)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(29,643)</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6,030</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3,318</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1,002</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454546"/>
              </w:rPr>
              <w:t>Loss before income taxes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(148,530)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(70,938)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(28,641)</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Provision (benefit) for income taxes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20,887</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(5,552)</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(2,230)</w:t>
            </w:r>
          </w:p>
        </w:tc>
      </w:tr>
      <w:tr>
        <w:trPr>
          <w:trHeight w:val="220"/>
        </w:trPr>
        <w:tc>
          <w:tcPr>
            <w:tcW w:w="4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454546"/>
              </w:rPr>
              <w:t>Net loss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454546"/>
              <w:bottom w:val="single" w:sz="8" w:color="454546"/>
            </w:tcBorders>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(169,417</w:t>
            </w:r>
          </w:p>
        </w:tc>
        <w:tc>
          <w:tcPr>
            <w:tcW w:w="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w w:val="89"/>
              </w:rPr>
              <w:t>)</w:t>
            </w:r>
          </w:p>
        </w:tc>
        <w:tc>
          <w:tcPr>
            <w:tcW w:w="60" w:type="dxa"/>
            <w:vAlign w:val="bottom"/>
          </w:tcPr>
          <w:p>
            <w:pPr>
              <w:spacing w:after="0"/>
              <w:rPr>
                <w:sz w:val="19"/>
                <w:szCs w:val="19"/>
                <w:color w:val="auto"/>
              </w:rPr>
            </w:pPr>
          </w:p>
        </w:tc>
        <w:tc>
          <w:tcPr>
            <w:tcW w:w="240" w:type="dxa"/>
            <w:vAlign w:val="bottom"/>
            <w:tcBorders>
              <w:top w:val="single" w:sz="8" w:color="454546"/>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(65,386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454546"/>
                <w:w w:val="74"/>
              </w:rPr>
              <w:t>)</w:t>
            </w:r>
          </w:p>
        </w:tc>
        <w:tc>
          <w:tcPr>
            <w:tcW w:w="80" w:type="dxa"/>
            <w:vAlign w:val="bottom"/>
          </w:tcPr>
          <w:p>
            <w:pPr>
              <w:spacing w:after="0"/>
              <w:rPr>
                <w:sz w:val="19"/>
                <w:szCs w:val="19"/>
                <w:color w:val="auto"/>
              </w:rPr>
            </w:pPr>
          </w:p>
        </w:tc>
        <w:tc>
          <w:tcPr>
            <w:tcW w:w="240" w:type="dxa"/>
            <w:vAlign w:val="bottom"/>
            <w:tcBorders>
              <w:top w:val="single" w:sz="8" w:color="454546"/>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(26,411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454546"/>
                <w:w w:val="74"/>
              </w:rPr>
              <w:t>)</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56</w:t>
      </w:r>
    </w:p>
    <w:p>
      <w:pPr>
        <w:sectPr>
          <w:pgSz w:w="12240" w:h="15840" w:orient="portrait"/>
          <w:cols w:equalWidth="0" w:num="1">
            <w:col w:w="10780"/>
          </w:cols>
          <w:pgMar w:left="720" w:top="976" w:right="740" w:bottom="175" w:gutter="0" w:footer="0" w:header="0"/>
          <w:type w:val="continuous"/>
        </w:sectPr>
      </w:pPr>
    </w:p>
    <w:bookmarkStart w:id="61" w:name="page62"/>
    <w:bookmarkEnd w:id="61"/>
    <w:p>
      <w:pPr>
        <w:ind w:right="68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 sets forth our historical operating results as a percentage of revenue of each line item for the periods indicated:</w:t>
      </w:r>
    </w:p>
    <w:p>
      <w:pPr>
        <w:spacing w:after="0" w:line="17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454546"/>
        </w:rPr>
        <w:t>Year Ended January 31,</w:t>
      </w:r>
    </w:p>
    <w:p>
      <w:pPr>
        <w:spacing w:after="0" w:line="19"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4880" w:type="dxa"/>
            <w:vAlign w:val="bottom"/>
            <w:tcBorders>
              <w:bottom w:val="single" w:sz="8" w:color="E5E6E7"/>
            </w:tcBorders>
            <w:gridSpan w:val="2"/>
          </w:tcPr>
          <w:p>
            <w:pPr>
              <w:spacing w:after="0"/>
              <w:rPr>
                <w:sz w:val="16"/>
                <w:szCs w:val="16"/>
                <w:color w:val="auto"/>
              </w:rPr>
            </w:pPr>
          </w:p>
        </w:tc>
        <w:tc>
          <w:tcPr>
            <w:tcW w:w="680" w:type="dxa"/>
            <w:vAlign w:val="bottom"/>
            <w:tcBorders>
              <w:top w:val="single" w:sz="8" w:color="454546"/>
              <w:bottom w:val="single" w:sz="8" w:color="454546"/>
            </w:tcBorders>
          </w:tcPr>
          <w:p>
            <w:pPr>
              <w:jc w:val="right"/>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320" w:type="dxa"/>
            <w:vAlign w:val="bottom"/>
            <w:tcBorders>
              <w:top w:val="single" w:sz="8" w:color="454546"/>
              <w:bottom w:val="single" w:sz="8" w:color="454546"/>
            </w:tcBorders>
          </w:tcPr>
          <w:p>
            <w:pPr>
              <w:spacing w:after="0"/>
              <w:rPr>
                <w:sz w:val="16"/>
                <w:szCs w:val="16"/>
                <w:color w:val="auto"/>
              </w:rPr>
            </w:pPr>
          </w:p>
        </w:tc>
        <w:tc>
          <w:tcPr>
            <w:tcW w:w="240" w:type="dxa"/>
            <w:vAlign w:val="bottom"/>
            <w:tcBorders>
              <w:top w:val="single" w:sz="8" w:color="454546"/>
              <w:bottom w:val="single" w:sz="8" w:color="E5E6E7"/>
            </w:tcBorders>
          </w:tcPr>
          <w:p>
            <w:pPr>
              <w:spacing w:after="0"/>
              <w:rPr>
                <w:sz w:val="16"/>
                <w:szCs w:val="16"/>
                <w:color w:val="auto"/>
              </w:rPr>
            </w:pPr>
          </w:p>
        </w:tc>
        <w:tc>
          <w:tcPr>
            <w:tcW w:w="1020" w:type="dxa"/>
            <w:vAlign w:val="bottom"/>
            <w:tcBorders>
              <w:top w:val="single" w:sz="8" w:color="454546"/>
              <w:bottom w:val="single" w:sz="8" w:color="454546"/>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240" w:type="dxa"/>
            <w:vAlign w:val="bottom"/>
            <w:tcBorders>
              <w:top w:val="single" w:sz="8" w:color="454546"/>
              <w:bottom w:val="single" w:sz="8" w:color="E5E6E7"/>
            </w:tcBorders>
          </w:tcPr>
          <w:p>
            <w:pPr>
              <w:spacing w:after="0"/>
              <w:rPr>
                <w:sz w:val="16"/>
                <w:szCs w:val="16"/>
                <w:color w:val="auto"/>
              </w:rPr>
            </w:pPr>
          </w:p>
        </w:tc>
        <w:tc>
          <w:tcPr>
            <w:tcW w:w="1020" w:type="dxa"/>
            <w:vAlign w:val="bottom"/>
            <w:tcBorders>
              <w:top w:val="single" w:sz="8" w:color="454546"/>
              <w:bottom w:val="single" w:sz="8" w:color="454546"/>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454546"/>
              </w:rPr>
              <w:t>2022</w:t>
            </w:r>
          </w:p>
        </w:tc>
        <w:tc>
          <w:tcPr>
            <w:tcW w:w="240" w:type="dxa"/>
            <w:vAlign w:val="bottom"/>
            <w:tcBorders>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Revenue</w:t>
            </w:r>
          </w:p>
        </w:tc>
        <w:tc>
          <w:tcPr>
            <w:tcW w:w="8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99"/>
              </w:rPr>
              <w:t>100</w:t>
            </w:r>
          </w:p>
        </w:tc>
        <w:tc>
          <w:tcPr>
            <w:tcW w:w="2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100</w:t>
            </w:r>
          </w:p>
        </w:tc>
        <w:tc>
          <w:tcPr>
            <w:tcW w:w="2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100</w:t>
            </w:r>
          </w:p>
        </w:tc>
        <w:tc>
          <w:tcPr>
            <w:tcW w:w="2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69"/>
        </w:trPr>
        <w:tc>
          <w:tcPr>
            <w:tcW w:w="556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Cost of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38</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800" w:type="dxa"/>
            <w:vAlign w:val="bottom"/>
            <w:tcBorders>
              <w:top w:val="single" w:sz="8" w:color="E5E6E7"/>
            </w:tcBorders>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Gross profit</w:t>
            </w:r>
          </w:p>
        </w:tc>
        <w:tc>
          <w:tcPr>
            <w:tcW w:w="80" w:type="dxa"/>
            <w:vAlign w:val="bottom"/>
            <w:tcBorders>
              <w:top w:val="single" w:sz="8" w:color="E5E6E7"/>
            </w:tcBorders>
            <w:shd w:val="clear" w:color="auto" w:fill="E5E6E7"/>
          </w:tcPr>
          <w:p>
            <w:pPr>
              <w:spacing w:after="0"/>
              <w:rPr>
                <w:sz w:val="19"/>
                <w:szCs w:val="19"/>
                <w:color w:val="auto"/>
              </w:rPr>
            </w:pPr>
          </w:p>
        </w:tc>
        <w:tc>
          <w:tcPr>
            <w:tcW w:w="680" w:type="dxa"/>
            <w:vAlign w:val="bottom"/>
            <w:tcBorders>
              <w:top w:val="single" w:sz="8" w:color="454546"/>
            </w:tcBorders>
            <w:shd w:val="clear" w:color="auto" w:fill="E5E6E7"/>
          </w:tcPr>
          <w:p>
            <w:pPr>
              <w:spacing w:after="0"/>
              <w:rPr>
                <w:sz w:val="19"/>
                <w:szCs w:val="19"/>
                <w:color w:val="auto"/>
              </w:rPr>
            </w:pPr>
          </w:p>
        </w:tc>
        <w:tc>
          <w:tcPr>
            <w:tcW w:w="32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60</w:t>
            </w:r>
          </w:p>
        </w:tc>
        <w:tc>
          <w:tcPr>
            <w:tcW w:w="240" w:type="dxa"/>
            <w:vAlign w:val="bottom"/>
            <w:tcBorders>
              <w:top w:val="single" w:sz="8" w:color="E5E6E7"/>
            </w:tcBorders>
            <w:shd w:val="clear" w:color="auto" w:fill="E5E6E7"/>
          </w:tcPr>
          <w:p>
            <w:pPr>
              <w:spacing w:after="0"/>
              <w:rPr>
                <w:sz w:val="19"/>
                <w:szCs w:val="19"/>
                <w:color w:val="auto"/>
              </w:rPr>
            </w:pPr>
          </w:p>
        </w:tc>
        <w:tc>
          <w:tcPr>
            <w:tcW w:w="102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62</w:t>
            </w:r>
          </w:p>
        </w:tc>
        <w:tc>
          <w:tcPr>
            <w:tcW w:w="240" w:type="dxa"/>
            <w:vAlign w:val="bottom"/>
            <w:tcBorders>
              <w:top w:val="single" w:sz="8" w:color="E5E6E7"/>
            </w:tcBorders>
            <w:shd w:val="clear" w:color="auto" w:fill="E5E6E7"/>
          </w:tcPr>
          <w:p>
            <w:pPr>
              <w:spacing w:after="0"/>
              <w:rPr>
                <w:sz w:val="19"/>
                <w:szCs w:val="19"/>
                <w:color w:val="auto"/>
              </w:rPr>
            </w:pPr>
          </w:p>
        </w:tc>
        <w:tc>
          <w:tcPr>
            <w:tcW w:w="102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63</w:t>
            </w:r>
          </w:p>
        </w:tc>
        <w:tc>
          <w:tcPr>
            <w:tcW w:w="24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56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Operating expenses:</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760" w:type="dxa"/>
            <w:vAlign w:val="bottom"/>
            <w:gridSpan w:val="2"/>
            <w:shd w:val="clear" w:color="auto" w:fill="E5E6E7"/>
          </w:tcPr>
          <w:p>
            <w:pPr>
              <w:spacing w:after="0"/>
              <w:rPr>
                <w:sz w:val="19"/>
                <w:szCs w:val="19"/>
                <w:color w:val="auto"/>
              </w:rPr>
            </w:pPr>
          </w:p>
        </w:tc>
        <w:tc>
          <w:tcPr>
            <w:tcW w:w="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95</w:t>
            </w:r>
          </w:p>
        </w:tc>
        <w:tc>
          <w:tcPr>
            <w:tcW w:w="240" w:type="dxa"/>
            <w:vAlign w:val="bottom"/>
            <w:shd w:val="clear" w:color="auto" w:fill="E5E6E7"/>
          </w:tcPr>
          <w:p>
            <w:pPr>
              <w:spacing w:after="0"/>
              <w:rPr>
                <w:sz w:val="19"/>
                <w:szCs w:val="19"/>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61</w:t>
            </w:r>
          </w:p>
        </w:tc>
        <w:tc>
          <w:tcPr>
            <w:tcW w:w="240" w:type="dxa"/>
            <w:vAlign w:val="bottom"/>
            <w:shd w:val="clear" w:color="auto" w:fill="E5E6E7"/>
          </w:tcPr>
          <w:p>
            <w:pPr>
              <w:spacing w:after="0"/>
              <w:rPr>
                <w:sz w:val="19"/>
                <w:szCs w:val="19"/>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50</w:t>
            </w:r>
          </w:p>
        </w:tc>
        <w:tc>
          <w:tcPr>
            <w:tcW w:w="24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5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454546"/>
              </w:rPr>
              <w:t>Selling, general and administrative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800" w:type="dxa"/>
            <w:vAlign w:val="bottom"/>
            <w:tcBorders>
              <w:top w:val="single" w:sz="8" w:color="E5E6E7"/>
            </w:tcBorders>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operating expenses</w:t>
            </w:r>
          </w:p>
        </w:tc>
        <w:tc>
          <w:tcPr>
            <w:tcW w:w="80" w:type="dxa"/>
            <w:vAlign w:val="bottom"/>
            <w:tcBorders>
              <w:top w:val="single" w:sz="8" w:color="E5E6E7"/>
            </w:tcBorders>
            <w:shd w:val="clear" w:color="auto" w:fill="E5E6E7"/>
          </w:tcPr>
          <w:p>
            <w:pPr>
              <w:spacing w:after="0"/>
              <w:rPr>
                <w:sz w:val="19"/>
                <w:szCs w:val="19"/>
                <w:color w:val="auto"/>
              </w:rPr>
            </w:pPr>
          </w:p>
        </w:tc>
        <w:tc>
          <w:tcPr>
            <w:tcW w:w="680" w:type="dxa"/>
            <w:vAlign w:val="bottom"/>
            <w:tcBorders>
              <w:top w:val="single" w:sz="8" w:color="454546"/>
              <w:bottom w:val="single" w:sz="8" w:color="454546"/>
            </w:tcBorders>
            <w:shd w:val="clear" w:color="auto" w:fill="E5E6E7"/>
          </w:tcPr>
          <w:p>
            <w:pPr>
              <w:spacing w:after="0"/>
              <w:rPr>
                <w:sz w:val="19"/>
                <w:szCs w:val="19"/>
                <w:color w:val="auto"/>
              </w:rPr>
            </w:pPr>
          </w:p>
        </w:tc>
        <w:tc>
          <w:tcPr>
            <w:tcW w:w="3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99"/>
              </w:rPr>
              <w:t>129</w:t>
            </w:r>
          </w:p>
        </w:tc>
        <w:tc>
          <w:tcPr>
            <w:tcW w:w="240" w:type="dxa"/>
            <w:vAlign w:val="bottom"/>
            <w:tcBorders>
              <w:top w:val="single" w:sz="8" w:color="E5E6E7"/>
            </w:tcBorders>
            <w:shd w:val="clear" w:color="auto" w:fill="E5E6E7"/>
          </w:tcPr>
          <w:p>
            <w:pPr>
              <w:spacing w:after="0"/>
              <w:rPr>
                <w:sz w:val="19"/>
                <w:szCs w:val="19"/>
                <w:color w:val="auto"/>
              </w:rPr>
            </w:pPr>
          </w:p>
        </w:tc>
        <w:tc>
          <w:tcPr>
            <w:tcW w:w="10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84</w:t>
            </w:r>
          </w:p>
        </w:tc>
        <w:tc>
          <w:tcPr>
            <w:tcW w:w="240" w:type="dxa"/>
            <w:vAlign w:val="bottom"/>
            <w:tcBorders>
              <w:top w:val="single" w:sz="8" w:color="E5E6E7"/>
            </w:tcBorders>
            <w:shd w:val="clear" w:color="auto" w:fill="E5E6E7"/>
          </w:tcPr>
          <w:p>
            <w:pPr>
              <w:spacing w:after="0"/>
              <w:rPr>
                <w:sz w:val="19"/>
                <w:szCs w:val="19"/>
                <w:color w:val="auto"/>
              </w:rPr>
            </w:pPr>
          </w:p>
        </w:tc>
        <w:tc>
          <w:tcPr>
            <w:tcW w:w="10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71</w:t>
            </w:r>
          </w:p>
        </w:tc>
        <w:tc>
          <w:tcPr>
            <w:tcW w:w="24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5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454546"/>
              </w:rPr>
              <w:t>Loss from operations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(69)</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(22)</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(8)</w:t>
            </w:r>
          </w:p>
        </w:tc>
        <w:tc>
          <w:tcPr>
            <w:tcW w:w="0" w:type="dxa"/>
            <w:vAlign w:val="bottom"/>
          </w:tcPr>
          <w:p>
            <w:pPr>
              <w:spacing w:after="0"/>
              <w:rPr>
                <w:sz w:val="1"/>
                <w:szCs w:val="1"/>
                <w:color w:val="auto"/>
              </w:rPr>
            </w:pPr>
          </w:p>
        </w:tc>
      </w:tr>
      <w:tr>
        <w:trPr>
          <w:trHeight w:val="230"/>
        </w:trPr>
        <w:tc>
          <w:tcPr>
            <w:tcW w:w="4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80" w:type="dxa"/>
            <w:vAlign w:val="bottom"/>
            <w:shd w:val="clear" w:color="auto" w:fill="E5E6E7"/>
          </w:tcPr>
          <w:p>
            <w:pPr>
              <w:spacing w:after="0"/>
              <w:rPr>
                <w:sz w:val="19"/>
                <w:szCs w:val="19"/>
                <w:color w:val="auto"/>
              </w:rPr>
            </w:pPr>
          </w:p>
        </w:tc>
        <w:tc>
          <w:tcPr>
            <w:tcW w:w="680" w:type="dxa"/>
            <w:vAlign w:val="bottom"/>
            <w:tcBorders>
              <w:bottom w:val="single" w:sz="8" w:color="454546"/>
            </w:tcBorders>
            <w:shd w:val="clear" w:color="auto" w:fill="E5E6E7"/>
          </w:tcPr>
          <w:p>
            <w:pPr>
              <w:spacing w:after="0"/>
              <w:rPr>
                <w:sz w:val="19"/>
                <w:szCs w:val="19"/>
                <w:color w:val="auto"/>
              </w:rPr>
            </w:pPr>
          </w:p>
        </w:tc>
        <w:tc>
          <w:tcPr>
            <w:tcW w:w="3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240" w:type="dxa"/>
            <w:vAlign w:val="bottom"/>
            <w:shd w:val="clear" w:color="auto" w:fill="E5E6E7"/>
          </w:tcPr>
          <w:p>
            <w:pPr>
              <w:spacing w:after="0"/>
              <w:rPr>
                <w:sz w:val="19"/>
                <w:szCs w:val="19"/>
                <w:color w:val="auto"/>
              </w:rPr>
            </w:pPr>
          </w:p>
        </w:tc>
        <w:tc>
          <w:tcPr>
            <w:tcW w:w="10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w:t>
            </w:r>
          </w:p>
        </w:tc>
        <w:tc>
          <w:tcPr>
            <w:tcW w:w="240" w:type="dxa"/>
            <w:vAlign w:val="bottom"/>
            <w:shd w:val="clear" w:color="auto" w:fill="E5E6E7"/>
          </w:tcPr>
          <w:p>
            <w:pPr>
              <w:spacing w:after="0"/>
              <w:rPr>
                <w:sz w:val="19"/>
                <w:szCs w:val="19"/>
                <w:color w:val="auto"/>
              </w:rPr>
            </w:pPr>
          </w:p>
        </w:tc>
        <w:tc>
          <w:tcPr>
            <w:tcW w:w="10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5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454546"/>
              </w:rPr>
              <w:t>Loss before income taxes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(66)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(21)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(8)</w:t>
            </w:r>
          </w:p>
        </w:tc>
        <w:tc>
          <w:tcPr>
            <w:tcW w:w="0" w:type="dxa"/>
            <w:vAlign w:val="bottom"/>
          </w:tcPr>
          <w:p>
            <w:pPr>
              <w:spacing w:after="0"/>
              <w:rPr>
                <w:sz w:val="1"/>
                <w:szCs w:val="1"/>
                <w:color w:val="auto"/>
              </w:rPr>
            </w:pPr>
          </w:p>
        </w:tc>
      </w:tr>
      <w:tr>
        <w:trPr>
          <w:trHeight w:val="230"/>
        </w:trPr>
        <w:tc>
          <w:tcPr>
            <w:tcW w:w="4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Provision (benefit) for income taxes</w:t>
            </w:r>
          </w:p>
        </w:tc>
        <w:tc>
          <w:tcPr>
            <w:tcW w:w="8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w:t>
            </w:r>
          </w:p>
        </w:tc>
        <w:tc>
          <w:tcPr>
            <w:tcW w:w="240" w:type="dxa"/>
            <w:vAlign w:val="bottom"/>
            <w:shd w:val="clear" w:color="auto" w:fill="E5E6E7"/>
          </w:tcPr>
          <w:p>
            <w:pPr>
              <w:spacing w:after="0"/>
              <w:rPr>
                <w:sz w:val="19"/>
                <w:szCs w:val="19"/>
                <w:color w:val="auto"/>
              </w:rPr>
            </w:pPr>
          </w:p>
        </w:tc>
        <w:tc>
          <w:tcPr>
            <w:tcW w:w="12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(2)</w:t>
            </w:r>
          </w:p>
        </w:tc>
        <w:tc>
          <w:tcPr>
            <w:tcW w:w="126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454546"/>
              </w:rPr>
              <w:t>Net loss</w:t>
            </w:r>
          </w:p>
        </w:tc>
        <w:tc>
          <w:tcPr>
            <w:tcW w:w="80" w:type="dxa"/>
            <w:vAlign w:val="bottom"/>
          </w:tcPr>
          <w:p>
            <w:pPr>
              <w:spacing w:after="0" w:line="20" w:lineRule="exact"/>
              <w:rPr>
                <w:sz w:val="1"/>
                <w:szCs w:val="1"/>
                <w:color w:val="auto"/>
              </w:rPr>
            </w:pPr>
          </w:p>
        </w:tc>
        <w:tc>
          <w:tcPr>
            <w:tcW w:w="680" w:type="dxa"/>
            <w:vAlign w:val="bottom"/>
            <w:shd w:val="clear" w:color="auto" w:fill="454546"/>
          </w:tcPr>
          <w:p>
            <w:pPr>
              <w:spacing w:after="0" w:line="20" w:lineRule="exact"/>
              <w:rPr>
                <w:sz w:val="1"/>
                <w:szCs w:val="1"/>
                <w:color w:val="auto"/>
              </w:rPr>
            </w:pPr>
          </w:p>
        </w:tc>
        <w:tc>
          <w:tcPr>
            <w:tcW w:w="320" w:type="dxa"/>
            <w:vAlign w:val="bottom"/>
            <w:shd w:val="clear" w:color="auto" w:fill="45454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45454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45454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(75)%</w:t>
            </w:r>
          </w:p>
        </w:tc>
        <w:tc>
          <w:tcPr>
            <w:tcW w:w="12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(19)%</w:t>
            </w:r>
          </w:p>
        </w:tc>
        <w:tc>
          <w:tcPr>
            <w:tcW w:w="12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454546"/>
              <w:bottom w:val="single" w:sz="8" w:color="454546"/>
            </w:tcBorders>
          </w:tcPr>
          <w:p>
            <w:pPr>
              <w:spacing w:after="0" w:line="20" w:lineRule="exact"/>
              <w:rPr>
                <w:sz w:val="1"/>
                <w:szCs w:val="1"/>
                <w:color w:val="auto"/>
              </w:rPr>
            </w:pPr>
          </w:p>
        </w:tc>
        <w:tc>
          <w:tcPr>
            <w:tcW w:w="320" w:type="dxa"/>
            <w:vAlign w:val="bottom"/>
            <w:tcBorders>
              <w:top w:val="single" w:sz="8" w:color="454546"/>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454546"/>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454546"/>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Revenue</w:t>
      </w:r>
    </w:p>
    <w:p>
      <w:pPr>
        <w:spacing w:after="0" w:line="120"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454546"/>
        </w:rPr>
        <w:t>We derive substantially all of our revenue from the sale of HD and Ultra HD video and image processing SoC solutions to IoT OEMs, IoT ODMs, automotive OEMs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We derived a substantial portion of our revenue from sales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206"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9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Cost of Revenue and Gross Margin</w:t>
      </w:r>
    </w:p>
    <w:p>
      <w:pPr>
        <w:spacing w:after="0" w:line="24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97"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57</w:t>
      </w:r>
    </w:p>
    <w:p>
      <w:pPr>
        <w:sectPr>
          <w:pgSz w:w="12240" w:h="15840" w:orient="portrait"/>
          <w:cols w:equalWidth="0" w:num="1">
            <w:col w:w="10800"/>
          </w:cols>
          <w:pgMar w:left="720" w:top="976" w:right="720" w:bottom="175" w:gutter="0" w:footer="0" w:header="0"/>
          <w:type w:val="continuous"/>
        </w:sectPr>
      </w:pPr>
    </w:p>
    <w:bookmarkStart w:id="62" w:name="page63"/>
    <w:bookmarkEnd w:id="62"/>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w:t>
      </w:r>
    </w:p>
    <w:p>
      <w:pPr>
        <w:spacing w:after="0" w:line="120" w:lineRule="exact"/>
        <w:rPr>
          <w:sz w:val="20"/>
          <w:szCs w:val="20"/>
          <w:color w:val="auto"/>
        </w:rPr>
      </w:pPr>
    </w:p>
    <w:p>
      <w:pPr>
        <w:ind w:right="220" w:firstLine="490"/>
        <w:spacing w:after="0" w:line="261" w:lineRule="auto"/>
        <w:rPr>
          <w:sz w:val="20"/>
          <w:szCs w:val="20"/>
          <w:color w:val="auto"/>
        </w:rPr>
      </w:pPr>
      <w:r>
        <w:rPr>
          <w:rFonts w:ascii="Times New Roman" w:cs="Times New Roman" w:eastAsia="Times New Roman" w:hAnsi="Times New Roman"/>
          <w:sz w:val="19"/>
          <w:szCs w:val="19"/>
          <w:color w:val="454546"/>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Selling, General and Administrative</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Other Income, Net</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454546"/>
        </w:rPr>
        <w:t>Other income, net, consists primarily of interest income and yields from our cash deposits and debt security investments, realized gains and losses from equity and debt security investments, subsidies granted by foreign governments, as well as gains and losses from foreign currency transactions and remeasurements.</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Provision (Benefit) for Income Taxes</w:t>
      </w:r>
    </w:p>
    <w:p>
      <w:pPr>
        <w:spacing w:after="0" w:line="120" w:lineRule="exact"/>
        <w:rPr>
          <w:sz w:val="20"/>
          <w:szCs w:val="20"/>
          <w:color w:val="auto"/>
        </w:rPr>
      </w:pPr>
    </w:p>
    <w:p>
      <w:pPr>
        <w:ind w:firstLine="460"/>
        <w:spacing w:after="0" w:line="244" w:lineRule="auto"/>
        <w:rPr>
          <w:sz w:val="20"/>
          <w:szCs w:val="20"/>
          <w:color w:val="auto"/>
        </w:rPr>
      </w:pPr>
      <w:r>
        <w:rPr>
          <w:rFonts w:ascii="Times New Roman" w:cs="Times New Roman" w:eastAsia="Times New Roman" w:hAnsi="Times New Roman"/>
          <w:sz w:val="20"/>
          <w:szCs w:val="20"/>
          <w:color w:val="454546"/>
        </w:rPr>
        <w:t>We are incorporated and domiciled in the Cayman Islands and also conduct business in several countries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8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80" w:lineRule="exact"/>
        <w:rPr>
          <w:sz w:val="20"/>
          <w:szCs w:val="20"/>
          <w:color w:val="auto"/>
        </w:rPr>
      </w:pPr>
    </w:p>
    <w:p>
      <w:pPr>
        <w:ind w:firstLine="460"/>
        <w:spacing w:after="0" w:line="246" w:lineRule="auto"/>
        <w:rPr>
          <w:sz w:val="20"/>
          <w:szCs w:val="20"/>
          <w:color w:val="auto"/>
        </w:rPr>
      </w:pPr>
      <w:r>
        <w:rPr>
          <w:rFonts w:ascii="Times New Roman" w:cs="Times New Roman" w:eastAsia="Times New Roman" w:hAnsi="Times New Roman"/>
          <w:sz w:val="20"/>
          <w:szCs w:val="20"/>
          <w:color w:val="454546"/>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 Consequently, in the fourth quarter of fiscal year 2024, we recorded an additional valuation allowance of $ 22.7 million on certain U.S. deferred tax assets resulting from our evaluation of cumulative taxable income and future projections in the U.S., and determined that it was more likely than not that these assets will be unrealizable in the future.</w:t>
      </w:r>
    </w:p>
    <w:p>
      <w:pPr>
        <w:spacing w:after="0" w:line="320" w:lineRule="exact"/>
        <w:rPr>
          <w:sz w:val="20"/>
          <w:szCs w:val="20"/>
          <w:color w:val="auto"/>
        </w:rPr>
      </w:pPr>
    </w:p>
    <w:p>
      <w:pPr>
        <w:ind w:left="500" w:right="4300"/>
        <w:spacing w:after="0" w:line="403" w:lineRule="auto"/>
        <w:rPr>
          <w:sz w:val="20"/>
          <w:szCs w:val="20"/>
          <w:color w:val="auto"/>
        </w:rPr>
      </w:pPr>
      <w:r>
        <w:rPr>
          <w:rFonts w:ascii="Times New Roman" w:cs="Times New Roman" w:eastAsia="Times New Roman" w:hAnsi="Times New Roman"/>
          <w:sz w:val="20"/>
          <w:szCs w:val="20"/>
          <w:b w:val="1"/>
          <w:bCs w:val="1"/>
          <w:i w:val="1"/>
          <w:iCs w:val="1"/>
          <w:color w:val="454546"/>
        </w:rPr>
        <w:t>Comparison of the Fiscal Years Ended January 31, 2024, 2023 and 2022 Revenue</w:t>
      </w:r>
    </w:p>
    <w:p>
      <w:pPr>
        <w:sectPr>
          <w:pgSz w:w="12240" w:h="15840" w:orient="portrait"/>
          <w:cols w:equalWidth="0" w:num="1">
            <w:col w:w="10780"/>
          </w:cols>
          <w:pgMar w:left="720" w:top="9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58</w:t>
      </w:r>
    </w:p>
    <w:p>
      <w:pPr>
        <w:sectPr>
          <w:pgSz w:w="12240" w:h="15840" w:orient="portrait"/>
          <w:cols w:equalWidth="0" w:num="1">
            <w:col w:w="10780"/>
          </w:cols>
          <w:pgMar w:left="720" w:top="976" w:right="740" w:bottom="175"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7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Year Ended January 31,</w:t>
            </w:r>
          </w:p>
        </w:tc>
        <w:tc>
          <w:tcPr>
            <w:tcW w:w="200" w:type="dxa"/>
            <w:vAlign w:val="bottom"/>
          </w:tcPr>
          <w:p>
            <w:pPr>
              <w:spacing w:after="0"/>
              <w:rPr>
                <w:sz w:val="17"/>
                <w:szCs w:val="17"/>
                <w:color w:val="auto"/>
              </w:rPr>
            </w:pPr>
          </w:p>
        </w:tc>
        <w:tc>
          <w:tcPr>
            <w:tcW w:w="8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60" w:type="dxa"/>
            <w:vAlign w:val="bottom"/>
            <w:tcBorders>
              <w:bottom w:val="single" w:sz="8" w:color="454546"/>
            </w:tcBorders>
          </w:tcPr>
          <w:p>
            <w:pPr>
              <w:spacing w:after="0"/>
              <w:rPr>
                <w:sz w:val="17"/>
                <w:szCs w:val="17"/>
                <w:color w:val="auto"/>
              </w:rPr>
            </w:pPr>
          </w:p>
        </w:tc>
        <w:tc>
          <w:tcPr>
            <w:tcW w:w="1920" w:type="dxa"/>
            <w:vAlign w:val="bottom"/>
            <w:tcBorders>
              <w:bottom w:val="single" w:sz="8" w:color="454546"/>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560" w:type="dxa"/>
            <w:vAlign w:val="bottom"/>
            <w:tcBorders>
              <w:bottom w:val="single" w:sz="8" w:color="45454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top w:val="single" w:sz="8" w:color="454546"/>
            </w:tcBorders>
          </w:tcPr>
          <w:p>
            <w:pPr>
              <w:spacing w:after="0"/>
              <w:rPr>
                <w:sz w:val="15"/>
                <w:szCs w:val="15"/>
                <w:color w:val="auto"/>
              </w:rPr>
            </w:pPr>
          </w:p>
        </w:tc>
        <w:tc>
          <w:tcPr>
            <w:tcW w:w="74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200" w:type="dxa"/>
            <w:vAlign w:val="bottom"/>
          </w:tcPr>
          <w:p>
            <w:pPr>
              <w:spacing w:after="0"/>
              <w:rPr>
                <w:sz w:val="15"/>
                <w:szCs w:val="15"/>
                <w:color w:val="auto"/>
              </w:rPr>
            </w:pPr>
          </w:p>
        </w:tc>
        <w:tc>
          <w:tcPr>
            <w:tcW w:w="8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20" w:type="dxa"/>
            <w:vAlign w:val="bottom"/>
            <w:tcBorders>
              <w:top w:val="single" w:sz="8" w:color="454546"/>
            </w:tcBorders>
          </w:tcPr>
          <w:p>
            <w:pPr>
              <w:spacing w:after="0"/>
              <w:rPr>
                <w:sz w:val="15"/>
                <w:szCs w:val="15"/>
                <w:color w:val="auto"/>
              </w:rPr>
            </w:pPr>
          </w:p>
        </w:tc>
        <w:tc>
          <w:tcPr>
            <w:tcW w:w="160" w:type="dxa"/>
            <w:vAlign w:val="bottom"/>
            <w:tcBorders>
              <w:top w:val="single" w:sz="8" w:color="454546"/>
              <w:bottom w:val="single" w:sz="8" w:color="454546"/>
            </w:tcBorders>
          </w:tcPr>
          <w:p>
            <w:pPr>
              <w:spacing w:after="0"/>
              <w:rPr>
                <w:sz w:val="15"/>
                <w:szCs w:val="15"/>
                <w:color w:val="auto"/>
              </w:rPr>
            </w:pPr>
          </w:p>
        </w:tc>
        <w:tc>
          <w:tcPr>
            <w:tcW w:w="480" w:type="dxa"/>
            <w:vAlign w:val="bottom"/>
            <w:tcBorders>
              <w:top w:val="single" w:sz="8" w:color="454546"/>
              <w:bottom w:val="single" w:sz="8" w:color="454546"/>
            </w:tcBorders>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Borders>
              <w:top w:val="single" w:sz="8" w:color="454546"/>
            </w:tcBorders>
          </w:tcPr>
          <w:p>
            <w:pPr>
              <w:spacing w:after="0"/>
              <w:rPr>
                <w:sz w:val="15"/>
                <w:szCs w:val="15"/>
                <w:color w:val="auto"/>
              </w:rPr>
            </w:pPr>
          </w:p>
        </w:tc>
        <w:tc>
          <w:tcPr>
            <w:tcW w:w="180" w:type="dxa"/>
            <w:vAlign w:val="bottom"/>
            <w:tcBorders>
              <w:top w:val="single" w:sz="8" w:color="454546"/>
              <w:bottom w:val="single" w:sz="8" w:color="454546"/>
            </w:tcBorders>
          </w:tcPr>
          <w:p>
            <w:pPr>
              <w:spacing w:after="0"/>
              <w:rPr>
                <w:sz w:val="15"/>
                <w:szCs w:val="15"/>
                <w:color w:val="auto"/>
              </w:rPr>
            </w:pPr>
          </w:p>
        </w:tc>
        <w:tc>
          <w:tcPr>
            <w:tcW w:w="560" w:type="dxa"/>
            <w:vAlign w:val="bottom"/>
            <w:tcBorders>
              <w:top w:val="single" w:sz="8" w:color="454546"/>
              <w:bottom w:val="single" w:sz="8" w:color="454546"/>
            </w:tcBorders>
          </w:tcPr>
          <w:p>
            <w:pPr>
              <w:jc w:val="right"/>
              <w:ind w:right="21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center"/>
              <w:ind w:left="460"/>
              <w:spacing w:after="0" w:line="174" w:lineRule="exact"/>
              <w:rPr>
                <w:sz w:val="20"/>
                <w:szCs w:val="20"/>
                <w:color w:val="auto"/>
              </w:rPr>
            </w:pPr>
            <w:r>
              <w:rPr>
                <w:rFonts w:ascii="Times New Roman" w:cs="Times New Roman" w:eastAsia="Times New Roman" w:hAnsi="Times New Roman"/>
                <w:sz w:val="16"/>
                <w:szCs w:val="16"/>
                <w:b w:val="1"/>
                <w:bCs w:val="1"/>
                <w:color w:val="454546"/>
              </w:rPr>
              <w:t>(dollars in thousands)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Revenue</w:t>
            </w:r>
          </w:p>
        </w:tc>
        <w:tc>
          <w:tcPr>
            <w:tcW w:w="24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$226,474</w:t>
            </w:r>
          </w:p>
        </w:tc>
        <w:tc>
          <w:tcPr>
            <w:tcW w:w="960" w:type="dxa"/>
            <w:vAlign w:val="bottom"/>
            <w:gridSpan w:val="2"/>
            <w:shd w:val="clear" w:color="auto" w:fill="E5E6E7"/>
          </w:tcPr>
          <w:p>
            <w:pPr>
              <w:jc w:val="center"/>
              <w:ind w:left="120"/>
              <w:spacing w:after="0"/>
              <w:rPr>
                <w:sz w:val="20"/>
                <w:szCs w:val="20"/>
                <w:color w:val="auto"/>
              </w:rPr>
            </w:pPr>
            <w:r>
              <w:rPr>
                <w:rFonts w:ascii="Times New Roman" w:cs="Times New Roman" w:eastAsia="Times New Roman" w:hAnsi="Times New Roman"/>
                <w:sz w:val="20"/>
                <w:szCs w:val="20"/>
                <w:color w:val="454546"/>
                <w:w w:val="98"/>
              </w:rPr>
              <w:t>$337,606</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$331,856</w:t>
            </w:r>
          </w:p>
        </w:tc>
        <w:tc>
          <w:tcPr>
            <w:tcW w:w="1240" w:type="dxa"/>
            <w:vAlign w:val="bottom"/>
            <w:gridSpan w:val="3"/>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$(111,132)</w:t>
            </w:r>
          </w:p>
        </w:tc>
        <w:tc>
          <w:tcPr>
            <w:tcW w:w="160" w:type="dxa"/>
            <w:vAlign w:val="bottom"/>
            <w:shd w:val="clear" w:color="auto" w:fill="E5E6E7"/>
          </w:tcPr>
          <w:p>
            <w:pPr>
              <w:spacing w:after="0"/>
              <w:rPr>
                <w:sz w:val="19"/>
                <w:szCs w:val="19"/>
                <w:color w:val="auto"/>
              </w:rPr>
            </w:pPr>
          </w:p>
        </w:tc>
        <w:tc>
          <w:tcPr>
            <w:tcW w:w="780" w:type="dxa"/>
            <w:vAlign w:val="bottom"/>
            <w:gridSpan w:val="2"/>
            <w:shd w:val="clear" w:color="auto" w:fill="E5E6E7"/>
          </w:tcPr>
          <w:p>
            <w:pPr>
              <w:ind w:left="60"/>
              <w:spacing w:after="0"/>
              <w:rPr>
                <w:sz w:val="20"/>
                <w:szCs w:val="20"/>
                <w:color w:val="auto"/>
              </w:rPr>
            </w:pPr>
            <w:r>
              <w:rPr>
                <w:rFonts w:ascii="Times New Roman" w:cs="Times New Roman" w:eastAsia="Times New Roman" w:hAnsi="Times New Roman"/>
                <w:sz w:val="20"/>
                <w:szCs w:val="20"/>
                <w:color w:val="454546"/>
              </w:rPr>
              <w:t>(32.9)%</w:t>
            </w:r>
          </w:p>
        </w:tc>
        <w:tc>
          <w:tcPr>
            <w:tcW w:w="7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5,750</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1.7%</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460" w:firstLine="490"/>
        <w:spacing w:after="0" w:line="258" w:lineRule="auto"/>
        <w:rPr>
          <w:sz w:val="20"/>
          <w:szCs w:val="20"/>
          <w:color w:val="auto"/>
        </w:rPr>
      </w:pPr>
      <w:r>
        <w:rPr>
          <w:rFonts w:ascii="Times New Roman" w:cs="Times New Roman" w:eastAsia="Times New Roman" w:hAnsi="Times New Roman"/>
          <w:sz w:val="20"/>
          <w:szCs w:val="20"/>
          <w:color w:val="454546"/>
        </w:rPr>
        <w:t>Revenue decreased in fiscal year 2024, as compared to fiscal year 2023, primarily due to lower product unit shipments as a result of customer inventory level reduction efforts. The decreased revenue from lower product shipments was partially offset by continued adoption of our CV-based solutions, which have higher average selling prices than non-CV solutions.</w:t>
      </w:r>
    </w:p>
    <w:p>
      <w:pPr>
        <w:spacing w:after="0" w:line="178"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454546"/>
        </w:rPr>
        <w:t>Revenue increased in fiscal year 2023, as compared to fiscal year 2022, primarily due to continued adoption of our CV-based solutions, which have higher average selling prices, and increased NRE project services, partially offset by lower product unit shipments driven by customer inventory level reductions as a result of improved supply chain lead times across the semiconductor industry.</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200" w:type="dxa"/>
            <w:vAlign w:val="bottom"/>
            <w:gridSpan w:val="5"/>
            <w:vMerge w:val="restart"/>
          </w:tcPr>
          <w:p>
            <w:pPr>
              <w:jc w:val="center"/>
              <w:ind w:left="433"/>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454546"/>
            </w:tcBorders>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160" w:type="dxa"/>
            <w:vAlign w:val="bottom"/>
            <w:tcBorders>
              <w:bottom w:val="single" w:sz="8" w:color="454546"/>
            </w:tcBorders>
          </w:tcPr>
          <w:p>
            <w:pPr>
              <w:spacing w:after="0"/>
              <w:rPr>
                <w:sz w:val="17"/>
                <w:szCs w:val="17"/>
                <w:color w:val="auto"/>
              </w:rPr>
            </w:pPr>
          </w:p>
        </w:tc>
        <w:tc>
          <w:tcPr>
            <w:tcW w:w="920" w:type="dxa"/>
            <w:vAlign w:val="bottom"/>
            <w:tcBorders>
              <w:bottom w:val="single" w:sz="8" w:color="454546"/>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454546"/>
                <w:w w:val="95"/>
              </w:rPr>
              <w:t>Change</w:t>
            </w:r>
          </w:p>
        </w:tc>
        <w:tc>
          <w:tcPr>
            <w:tcW w:w="660" w:type="dxa"/>
            <w:vAlign w:val="bottom"/>
            <w:tcBorders>
              <w:bottom w:val="single" w:sz="8" w:color="454546"/>
            </w:tcBorders>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520" w:type="dxa"/>
            <w:vAlign w:val="bottom"/>
            <w:tcBorders>
              <w:bottom w:val="single" w:sz="8" w:color="454546"/>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2200" w:type="dxa"/>
            <w:vAlign w:val="bottom"/>
            <w:tcBorders>
              <w:bottom w:val="single" w:sz="8" w:color="454546"/>
            </w:tcBorders>
            <w:gridSpan w:val="5"/>
            <w:vMerge w:val="continue"/>
          </w:tcPr>
          <w:p>
            <w:pPr>
              <w:spacing w:after="0"/>
              <w:rPr>
                <w:sz w:val="15"/>
                <w:szCs w:val="15"/>
                <w:color w:val="auto"/>
              </w:rPr>
            </w:pPr>
          </w:p>
        </w:tc>
        <w:tc>
          <w:tcPr>
            <w:tcW w:w="520" w:type="dxa"/>
            <w:vAlign w:val="bottom"/>
            <w:tcBorders>
              <w:bottom w:val="single" w:sz="8" w:color="454546"/>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454546"/>
            </w:tcBorders>
            <w:gridSpan w:val="3"/>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500" w:type="dxa"/>
            <w:vAlign w:val="bottom"/>
            <w:tcBorders>
              <w:bottom w:val="single" w:sz="8" w:color="454546"/>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454546"/>
            </w:tcBorders>
          </w:tcPr>
          <w:p>
            <w:pPr>
              <w:spacing w:after="0"/>
              <w:rPr>
                <w:sz w:val="15"/>
                <w:szCs w:val="15"/>
                <w:color w:val="auto"/>
              </w:rPr>
            </w:pPr>
          </w:p>
        </w:tc>
        <w:tc>
          <w:tcPr>
            <w:tcW w:w="1000" w:type="dxa"/>
            <w:vAlign w:val="bottom"/>
            <w:tcBorders>
              <w:bottom w:val="single" w:sz="8" w:color="454546"/>
            </w:tcBorders>
            <w:gridSpan w:val="3"/>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20" w:type="dxa"/>
            <w:vAlign w:val="bottom"/>
            <w:tcBorders>
              <w:bottom w:val="single" w:sz="8" w:color="454546"/>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720" w:type="dxa"/>
            <w:vAlign w:val="bottom"/>
            <w:tcBorders>
              <w:bottom w:val="single" w:sz="8" w:color="454546"/>
            </w:tcBorders>
          </w:tcPr>
          <w:p>
            <w:pPr>
              <w:jc w:val="right"/>
              <w:ind w:right="113"/>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80" w:type="dxa"/>
            <w:vAlign w:val="bottom"/>
          </w:tcPr>
          <w:p>
            <w:pPr>
              <w:spacing w:after="0"/>
              <w:rPr>
                <w:sz w:val="15"/>
                <w:szCs w:val="15"/>
                <w:color w:val="auto"/>
              </w:rPr>
            </w:pPr>
          </w:p>
        </w:tc>
        <w:tc>
          <w:tcPr>
            <w:tcW w:w="720" w:type="dxa"/>
            <w:vAlign w:val="bottom"/>
            <w:tcBorders>
              <w:bottom w:val="single" w:sz="8" w:color="454546"/>
            </w:tcBorders>
          </w:tcPr>
          <w:p>
            <w:pPr>
              <w:jc w:val="right"/>
              <w:ind w:right="11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80" w:type="dxa"/>
            <w:vAlign w:val="bottom"/>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520" w:type="dxa"/>
            <w:vAlign w:val="bottom"/>
            <w:tcBorders>
              <w:bottom w:val="single" w:sz="8" w:color="454546"/>
            </w:tcBorders>
          </w:tcPr>
          <w:p>
            <w:pPr>
              <w:jc w:val="right"/>
              <w:ind w:right="113"/>
              <w:spacing w:after="0" w:line="174" w:lineRule="exact"/>
              <w:rPr>
                <w:sz w:val="20"/>
                <w:szCs w:val="20"/>
                <w:color w:val="auto"/>
              </w:rPr>
            </w:pPr>
            <w:r>
              <w:rPr>
                <w:rFonts w:ascii="Times New Roman" w:cs="Times New Roman" w:eastAsia="Times New Roman" w:hAnsi="Times New Roman"/>
                <w:sz w:val="16"/>
                <w:szCs w:val="16"/>
                <w:b w:val="1"/>
                <w:bCs w:val="1"/>
                <w:color w:val="454546"/>
                <w:w w:val="93"/>
              </w:rPr>
              <w:t>2022</w:t>
            </w:r>
          </w:p>
        </w:tc>
        <w:tc>
          <w:tcPr>
            <w:tcW w:w="280" w:type="dxa"/>
            <w:vAlign w:val="bottom"/>
          </w:tcPr>
          <w:p>
            <w:pPr>
              <w:spacing w:after="0"/>
              <w:rPr>
                <w:sz w:val="15"/>
                <w:szCs w:val="15"/>
                <w:color w:val="auto"/>
              </w:rPr>
            </w:pPr>
          </w:p>
        </w:tc>
        <w:tc>
          <w:tcPr>
            <w:tcW w:w="740" w:type="dxa"/>
            <w:vAlign w:val="bottom"/>
            <w:tcBorders>
              <w:bottom w:val="single" w:sz="8" w:color="454546"/>
            </w:tcBorders>
          </w:tcPr>
          <w:p>
            <w:pPr>
              <w:jc w:val="right"/>
              <w:ind w:right="13"/>
              <w:spacing w:after="0" w:line="174" w:lineRule="exact"/>
              <w:rPr>
                <w:sz w:val="20"/>
                <w:szCs w:val="20"/>
                <w:color w:val="auto"/>
              </w:rPr>
            </w:pPr>
            <w:r>
              <w:rPr>
                <w:rFonts w:ascii="Times New Roman" w:cs="Times New Roman" w:eastAsia="Times New Roman" w:hAnsi="Times New Roman"/>
                <w:sz w:val="16"/>
                <w:szCs w:val="16"/>
                <w:b w:val="1"/>
                <w:bCs w:val="1"/>
                <w:color w:val="454546"/>
              </w:rPr>
              <w:t>Amount</w:t>
            </w:r>
          </w:p>
        </w:tc>
        <w:tc>
          <w:tcPr>
            <w:tcW w:w="200" w:type="dxa"/>
            <w:vAlign w:val="bottom"/>
          </w:tcPr>
          <w:p>
            <w:pPr>
              <w:spacing w:after="0"/>
              <w:rPr>
                <w:sz w:val="15"/>
                <w:szCs w:val="15"/>
                <w:color w:val="auto"/>
              </w:rPr>
            </w:pPr>
          </w:p>
        </w:tc>
        <w:tc>
          <w:tcPr>
            <w:tcW w:w="160" w:type="dxa"/>
            <w:vAlign w:val="bottom"/>
            <w:tcBorders>
              <w:bottom w:val="single" w:sz="8" w:color="454546"/>
            </w:tcBorders>
          </w:tcPr>
          <w:p>
            <w:pPr>
              <w:spacing w:after="0"/>
              <w:rPr>
                <w:sz w:val="15"/>
                <w:szCs w:val="15"/>
                <w:color w:val="auto"/>
              </w:rPr>
            </w:pPr>
          </w:p>
        </w:tc>
        <w:tc>
          <w:tcPr>
            <w:tcW w:w="500" w:type="dxa"/>
            <w:vAlign w:val="bottom"/>
            <w:tcBorders>
              <w:bottom w:val="single" w:sz="8" w:color="454546"/>
            </w:tcBorders>
          </w:tcPr>
          <w:p>
            <w:pPr>
              <w:jc w:val="right"/>
              <w:ind w:right="173"/>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340" w:type="dxa"/>
            <w:vAlign w:val="bottom"/>
          </w:tcPr>
          <w:p>
            <w:pPr>
              <w:spacing w:after="0"/>
              <w:rPr>
                <w:sz w:val="15"/>
                <w:szCs w:val="15"/>
                <w:color w:val="auto"/>
              </w:rPr>
            </w:pPr>
          </w:p>
        </w:tc>
        <w:tc>
          <w:tcPr>
            <w:tcW w:w="80" w:type="dxa"/>
            <w:vAlign w:val="bottom"/>
            <w:tcBorders>
              <w:bottom w:val="single" w:sz="8" w:color="454546"/>
            </w:tcBorders>
          </w:tcPr>
          <w:p>
            <w:pPr>
              <w:spacing w:after="0"/>
              <w:rPr>
                <w:sz w:val="15"/>
                <w:szCs w:val="15"/>
                <w:color w:val="auto"/>
              </w:rPr>
            </w:pPr>
          </w:p>
        </w:tc>
        <w:tc>
          <w:tcPr>
            <w:tcW w:w="660" w:type="dxa"/>
            <w:vAlign w:val="bottom"/>
            <w:tcBorders>
              <w:bottom w:val="single" w:sz="8" w:color="454546"/>
            </w:tcBorders>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Amount</w:t>
            </w:r>
          </w:p>
        </w:tc>
        <w:tc>
          <w:tcPr>
            <w:tcW w:w="200" w:type="dxa"/>
            <w:vAlign w:val="bottom"/>
          </w:tcPr>
          <w:p>
            <w:pPr>
              <w:spacing w:after="0"/>
              <w:rPr>
                <w:sz w:val="15"/>
                <w:szCs w:val="15"/>
                <w:color w:val="auto"/>
              </w:rPr>
            </w:pPr>
          </w:p>
        </w:tc>
        <w:tc>
          <w:tcPr>
            <w:tcW w:w="140" w:type="dxa"/>
            <w:vAlign w:val="bottom"/>
            <w:tcBorders>
              <w:bottom w:val="single" w:sz="8" w:color="454546"/>
            </w:tcBorders>
          </w:tcPr>
          <w:p>
            <w:pPr>
              <w:spacing w:after="0"/>
              <w:rPr>
                <w:sz w:val="15"/>
                <w:szCs w:val="15"/>
                <w:color w:val="auto"/>
              </w:rPr>
            </w:pPr>
          </w:p>
        </w:tc>
        <w:tc>
          <w:tcPr>
            <w:tcW w:w="520" w:type="dxa"/>
            <w:vAlign w:val="bottom"/>
            <w:tcBorders>
              <w:bottom w:val="single" w:sz="8" w:color="454546"/>
            </w:tcBorders>
          </w:tcPr>
          <w:p>
            <w:pPr>
              <w:jc w:val="right"/>
              <w:ind w:right="15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jc w:val="right"/>
              <w:ind w:right="80"/>
              <w:spacing w:after="0" w:line="174" w:lineRule="exact"/>
              <w:rPr>
                <w:sz w:val="20"/>
                <w:szCs w:val="20"/>
                <w:color w:val="auto"/>
              </w:rPr>
            </w:pPr>
            <w:r>
              <w:rPr>
                <w:rFonts w:ascii="Times New Roman" w:cs="Times New Roman" w:eastAsia="Times New Roman" w:hAnsi="Times New Roman"/>
                <w:sz w:val="16"/>
                <w:szCs w:val="16"/>
                <w:b w:val="1"/>
                <w:bCs w:val="1"/>
                <w:color w:val="454546"/>
              </w:rPr>
              <w:t>(dollars in thousands)</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454546"/>
              </w:rPr>
              <w:t>Gross margin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60.4%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61.9%</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62.7%</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(1.5)%</w:t>
            </w:r>
          </w:p>
        </w:tc>
        <w:tc>
          <w:tcPr>
            <w:tcW w:w="8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-145415</wp:posOffset>
                </wp:positionV>
                <wp:extent cx="3001010" cy="14541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1010" cy="145415"/>
                        </a:xfrm>
                        <a:prstGeom prst="rect">
                          <a:avLst/>
                        </a:prstGeom>
                        <a:solidFill>
                          <a:srgbClr val="E5E6E7"/>
                        </a:solidFill>
                      </wps:spPr>
                      <wps:bodyPr/>
                    </wps:wsp>
                  </a:graphicData>
                </a:graphic>
              </wp:anchor>
            </w:drawing>
          </mc:Choice>
          <mc:Fallback>
            <w:pict>
              <v:rect id="Shape 26" o:spid="_x0000_s1051" style="position:absolute;margin-left:0pt;margin-top:-11.4499pt;width:236.3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3001010</wp:posOffset>
                </wp:positionH>
                <wp:positionV relativeFrom="paragraph">
                  <wp:posOffset>-145415</wp:posOffset>
                </wp:positionV>
                <wp:extent cx="3856990" cy="1454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56990" cy="145415"/>
                        </a:xfrm>
                        <a:prstGeom prst="rect">
                          <a:avLst/>
                        </a:prstGeom>
                        <a:solidFill>
                          <a:srgbClr val="E5E6E7"/>
                        </a:solidFill>
                      </wps:spPr>
                      <wps:bodyPr/>
                    </wps:wsp>
                  </a:graphicData>
                </a:graphic>
              </wp:anchor>
            </w:drawing>
          </mc:Choice>
          <mc:Fallback>
            <w:pict>
              <v:rect id="Shape 27" o:spid="_x0000_s1052" style="position:absolute;margin-left:236.3pt;margin-top:-11.4499pt;width:303.7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236"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454546"/>
        </w:rPr>
        <w:t>Gross margin decreased in fiscal year 2024, as compared to fiscal year 2023, primarily due to unfavorable product mix and higher indirect costs associated with amortization of intangible assets and assembly cost, partially offset by reversals of adverse purchase commitments recognized in prior fiscal years and sales of previously reserved inventory.</w:t>
      </w:r>
    </w:p>
    <w:p>
      <w:pPr>
        <w:spacing w:after="0" w:line="17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Gross margin decreased in fiscal year 2023, as compared to fiscal year 2022, primarily due to additional charges from inventory reserves and adverse purchase commitments, as well as the amortization of acquisition-related intangible assets, partially offset by a higher percentage of our total revenue from higher gross margin CV-based solutions and higher margin NRE project service revenue contracts.</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200" w:type="dxa"/>
            <w:vAlign w:val="bottom"/>
          </w:tcPr>
          <w:p>
            <w:pPr>
              <w:spacing w:after="0"/>
              <w:rPr>
                <w:sz w:val="17"/>
                <w:szCs w:val="17"/>
                <w:color w:val="auto"/>
              </w:rPr>
            </w:pPr>
          </w:p>
        </w:tc>
        <w:tc>
          <w:tcPr>
            <w:tcW w:w="7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900" w:type="dxa"/>
            <w:vAlign w:val="bottom"/>
            <w:tcBorders>
              <w:bottom w:val="single" w:sz="8" w:color="454546"/>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580" w:type="dxa"/>
            <w:vAlign w:val="bottom"/>
            <w:tcBorders>
              <w:bottom w:val="single" w:sz="8" w:color="45454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16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20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20" w:type="dxa"/>
            <w:vAlign w:val="bottom"/>
            <w:tcBorders>
              <w:top w:val="single" w:sz="8" w:color="454546"/>
            </w:tcBorders>
          </w:tcPr>
          <w:p>
            <w:pPr>
              <w:spacing w:after="0"/>
              <w:rPr>
                <w:sz w:val="15"/>
                <w:szCs w:val="15"/>
                <w:color w:val="auto"/>
              </w:rPr>
            </w:pPr>
          </w:p>
        </w:tc>
        <w:tc>
          <w:tcPr>
            <w:tcW w:w="220" w:type="dxa"/>
            <w:vAlign w:val="bottom"/>
            <w:tcBorders>
              <w:top w:val="single" w:sz="8" w:color="454546"/>
              <w:bottom w:val="single" w:sz="8" w:color="454546"/>
            </w:tcBorders>
          </w:tcPr>
          <w:p>
            <w:pPr>
              <w:spacing w:after="0"/>
              <w:rPr>
                <w:sz w:val="15"/>
                <w:szCs w:val="15"/>
                <w:color w:val="auto"/>
              </w:rPr>
            </w:pPr>
          </w:p>
        </w:tc>
        <w:tc>
          <w:tcPr>
            <w:tcW w:w="520" w:type="dxa"/>
            <w:vAlign w:val="bottom"/>
            <w:tcBorders>
              <w:top w:val="single" w:sz="8" w:color="454546"/>
              <w:bottom w:val="single" w:sz="8" w:color="454546"/>
            </w:tcBorders>
          </w:tcPr>
          <w:p>
            <w:pPr>
              <w:jc w:val="right"/>
              <w:ind w:right="213"/>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Borders>
              <w:top w:val="single" w:sz="8" w:color="454546"/>
            </w:tcBorders>
          </w:tcPr>
          <w:p>
            <w:pPr>
              <w:spacing w:after="0"/>
              <w:rPr>
                <w:sz w:val="15"/>
                <w:szCs w:val="15"/>
                <w:color w:val="auto"/>
              </w:rPr>
            </w:pPr>
          </w:p>
        </w:tc>
        <w:tc>
          <w:tcPr>
            <w:tcW w:w="180" w:type="dxa"/>
            <w:vAlign w:val="bottom"/>
            <w:tcBorders>
              <w:top w:val="single" w:sz="8" w:color="454546"/>
              <w:bottom w:val="single" w:sz="8" w:color="454546"/>
            </w:tcBorders>
          </w:tcPr>
          <w:p>
            <w:pPr>
              <w:spacing w:after="0"/>
              <w:rPr>
                <w:sz w:val="15"/>
                <w:szCs w:val="15"/>
                <w:color w:val="auto"/>
              </w:rPr>
            </w:pPr>
          </w:p>
        </w:tc>
        <w:tc>
          <w:tcPr>
            <w:tcW w:w="580" w:type="dxa"/>
            <w:vAlign w:val="bottom"/>
            <w:tcBorders>
              <w:top w:val="single" w:sz="8" w:color="454546"/>
              <w:bottom w:val="single" w:sz="8" w:color="454546"/>
            </w:tcBorders>
          </w:tcPr>
          <w:p>
            <w:pPr>
              <w:jc w:val="right"/>
              <w:ind w:right="21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jc w:val="center"/>
              <w:ind w:left="440"/>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(dollars in thousands)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17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$215,052</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$204,946</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$167,337</w:t>
            </w:r>
          </w:p>
        </w:tc>
        <w:tc>
          <w:tcPr>
            <w:tcW w:w="9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20"/>
                <w:szCs w:val="20"/>
                <w:color w:val="454546"/>
              </w:rPr>
              <w:t>$ 10,106</w:t>
            </w:r>
          </w:p>
        </w:tc>
        <w:tc>
          <w:tcPr>
            <w:tcW w:w="2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4.9%</w:t>
            </w: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$ 37,609</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22.5%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Research and development expense increased in fiscal year 2024, as compared to fiscal year 2023, primarily due to approximately $ 5.0 million of additional SoC development cost from our foundries associated with the progress, complexity and number of chips in development, $1.7 million of additional engineering-related expenses for supporting our CV-based and radar solutions, as well as $3.4 million of additional personnel costs as a result of increased stock-based compensation and employee benefit programs.</w:t>
      </w:r>
    </w:p>
    <w:p>
      <w:pPr>
        <w:spacing w:after="0" w:line="18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Research and development expense increased in fiscal year 2023, as compared to fiscal year 2022, primarily due to increased personnel costs, engineering-related expenses and SoC development cost. In fiscal year 2023, personnel costs increased by approximately $22.6 million as a result of higher stock-based compensation expense and an increase of approximately 85 employees throughout the fiscal year, including 44 engineering personnel added due to the acquisition of Oculii in the fourth quarter of fiscal year 2022. Engineering-related expenses, including the cost and depreciation of equipment and tools, amortization of licensed intellectual property, outside services and facility related expenses in support of new SoCs and related applications, increased by approximately $9.3 million. The increased research and development expense was also attributable to approximately $5.7 million of additional SoC development cost due to process node technological changes, increased licensed intellectual property associated with the new chips, as well as the number of chips in development.</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59</w:t>
      </w:r>
    </w:p>
    <w:p>
      <w:pPr>
        <w:sectPr>
          <w:pgSz w:w="12240" w:h="15840" w:orient="portrait"/>
          <w:cols w:equalWidth="0" w:num="1">
            <w:col w:w="10800"/>
          </w:cols>
          <w:pgMar w:left="720" w:top="976" w:right="720" w:bottom="175" w:gutter="0" w:footer="0" w:header="0"/>
          <w:type w:val="continuous"/>
        </w:sectPr>
      </w:pPr>
    </w:p>
    <w:bookmarkStart w:id="64" w:name="page65"/>
    <w:bookmarkEnd w:id="64"/>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220" w:type="dxa"/>
            <w:vAlign w:val="bottom"/>
          </w:tcPr>
          <w:p>
            <w:pPr>
              <w:spacing w:after="0"/>
              <w:rPr>
                <w:sz w:val="17"/>
                <w:szCs w:val="17"/>
                <w:color w:val="auto"/>
              </w:rPr>
            </w:pPr>
          </w:p>
        </w:tc>
        <w:tc>
          <w:tcPr>
            <w:tcW w:w="70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1920" w:type="dxa"/>
            <w:vAlign w:val="bottom"/>
            <w:tcBorders>
              <w:bottom w:val="single" w:sz="8" w:color="454546"/>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580" w:type="dxa"/>
            <w:vAlign w:val="bottom"/>
            <w:tcBorders>
              <w:bottom w:val="single" w:sz="8" w:color="45454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220" w:type="dxa"/>
            <w:vAlign w:val="bottom"/>
          </w:tcPr>
          <w:p>
            <w:pPr>
              <w:spacing w:after="0"/>
              <w:rPr>
                <w:sz w:val="15"/>
                <w:szCs w:val="15"/>
                <w:color w:val="auto"/>
              </w:rPr>
            </w:pPr>
          </w:p>
        </w:tc>
        <w:tc>
          <w:tcPr>
            <w:tcW w:w="70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20" w:type="dxa"/>
            <w:vAlign w:val="bottom"/>
            <w:tcBorders>
              <w:top w:val="single" w:sz="8" w:color="454546"/>
            </w:tcBorders>
          </w:tcPr>
          <w:p>
            <w:pPr>
              <w:spacing w:after="0"/>
              <w:rPr>
                <w:sz w:val="15"/>
                <w:szCs w:val="15"/>
                <w:color w:val="auto"/>
              </w:rPr>
            </w:pPr>
          </w:p>
        </w:tc>
        <w:tc>
          <w:tcPr>
            <w:tcW w:w="200" w:type="dxa"/>
            <w:vAlign w:val="bottom"/>
            <w:tcBorders>
              <w:top w:val="single" w:sz="8" w:color="454546"/>
              <w:bottom w:val="single" w:sz="8" w:color="454546"/>
            </w:tcBorders>
          </w:tcPr>
          <w:p>
            <w:pPr>
              <w:spacing w:after="0"/>
              <w:rPr>
                <w:sz w:val="15"/>
                <w:szCs w:val="15"/>
                <w:color w:val="auto"/>
              </w:rPr>
            </w:pPr>
          </w:p>
        </w:tc>
        <w:tc>
          <w:tcPr>
            <w:tcW w:w="460" w:type="dxa"/>
            <w:vAlign w:val="bottom"/>
            <w:tcBorders>
              <w:top w:val="single" w:sz="8" w:color="454546"/>
              <w:bottom w:val="single" w:sz="8" w:color="454546"/>
            </w:tcBorders>
          </w:tcPr>
          <w:p>
            <w:pPr>
              <w:jc w:val="right"/>
              <w:ind w:right="173"/>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Borders>
              <w:top w:val="single" w:sz="8" w:color="454546"/>
            </w:tcBorders>
          </w:tcPr>
          <w:p>
            <w:pPr>
              <w:spacing w:after="0"/>
              <w:rPr>
                <w:sz w:val="15"/>
                <w:szCs w:val="15"/>
                <w:color w:val="auto"/>
              </w:rPr>
            </w:pPr>
          </w:p>
        </w:tc>
        <w:tc>
          <w:tcPr>
            <w:tcW w:w="180" w:type="dxa"/>
            <w:vAlign w:val="bottom"/>
            <w:tcBorders>
              <w:top w:val="single" w:sz="8" w:color="454546"/>
              <w:bottom w:val="single" w:sz="8" w:color="454546"/>
            </w:tcBorders>
          </w:tcPr>
          <w:p>
            <w:pPr>
              <w:spacing w:after="0"/>
              <w:rPr>
                <w:sz w:val="15"/>
                <w:szCs w:val="15"/>
                <w:color w:val="auto"/>
              </w:rPr>
            </w:pPr>
          </w:p>
        </w:tc>
        <w:tc>
          <w:tcPr>
            <w:tcW w:w="580" w:type="dxa"/>
            <w:vAlign w:val="bottom"/>
            <w:tcBorders>
              <w:top w:val="single" w:sz="8" w:color="454546"/>
              <w:bottom w:val="single" w:sz="8" w:color="454546"/>
            </w:tcBorders>
          </w:tcPr>
          <w:p>
            <w:pPr>
              <w:jc w:val="right"/>
              <w:ind w:right="21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center"/>
              <w:ind w:left="460"/>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(dollars in thousands)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Selling, general and administrative</w:t>
            </w:r>
          </w:p>
        </w:tc>
        <w:tc>
          <w:tcPr>
            <w:tcW w:w="14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$ 76,325</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$ 78,244</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$ 70,438</w:t>
            </w:r>
          </w:p>
        </w:tc>
        <w:tc>
          <w:tcPr>
            <w:tcW w:w="1140" w:type="dxa"/>
            <w:vAlign w:val="bottom"/>
            <w:gridSpan w:val="3"/>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 (1,919)</w:t>
            </w:r>
          </w:p>
        </w:tc>
        <w:tc>
          <w:tcPr>
            <w:tcW w:w="200" w:type="dxa"/>
            <w:vAlign w:val="bottom"/>
            <w:shd w:val="clear" w:color="auto" w:fill="E5E6E7"/>
          </w:tcPr>
          <w:p>
            <w:pPr>
              <w:spacing w:after="0"/>
              <w:rPr>
                <w:sz w:val="19"/>
                <w:szCs w:val="19"/>
                <w:color w:val="auto"/>
              </w:rPr>
            </w:pPr>
          </w:p>
        </w:tc>
        <w:tc>
          <w:tcPr>
            <w:tcW w:w="7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(2.5)%</w:t>
            </w: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7,806</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11.1%</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454546"/>
        </w:rPr>
        <w:t>Selling, general and administrative expense decreased in fiscal year 2024, as compared to fiscal year 2023, primarily due to approximately $1.1 million of lower traveling, sales support, professional service and facility-related expenses. The decrease was also attributable to approximately $0.8 million lower personnel costs as a result of lower headcount.</w:t>
      </w:r>
    </w:p>
    <w:p>
      <w:pPr>
        <w:spacing w:after="0" w:line="17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Selling, general and administrative expense increased in fiscal year 2023, as compared to fiscal year 2022, primarily due to increased personnel costs, marketing, travel, and facility-related expenses as well as the amortization of acquisition-related intangible assets. Personnel costs increased by approximately $8.2 million as a result of higher stock-based compensation expense and an increase of more than 20 employees. The increase was also attributable to approximately $1.4 million of additional marketing, travel, and facility-related expenses to support our business development and an additional $1.4 million of amortization of acquisition-related intangible assets. The increase was partially offset by approximately $3.1 million less in acquisition-related costs associated with the acquisition of Oculii in the prior fiscal year.</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Other Income,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200" w:type="dxa"/>
            <w:vAlign w:val="bottom"/>
          </w:tcPr>
          <w:p>
            <w:pPr>
              <w:spacing w:after="0"/>
              <w:rPr>
                <w:sz w:val="17"/>
                <w:szCs w:val="17"/>
                <w:color w:val="auto"/>
              </w:rPr>
            </w:pPr>
          </w:p>
        </w:tc>
        <w:tc>
          <w:tcPr>
            <w:tcW w:w="7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900" w:type="dxa"/>
            <w:vAlign w:val="bottom"/>
            <w:tcBorders>
              <w:bottom w:val="single" w:sz="8" w:color="454546"/>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580" w:type="dxa"/>
            <w:vAlign w:val="bottom"/>
            <w:tcBorders>
              <w:bottom w:val="single" w:sz="8" w:color="45454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2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16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20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20" w:type="dxa"/>
            <w:vAlign w:val="bottom"/>
            <w:tcBorders>
              <w:top w:val="single" w:sz="8" w:color="454546"/>
            </w:tcBorders>
          </w:tcPr>
          <w:p>
            <w:pPr>
              <w:spacing w:after="0"/>
              <w:rPr>
                <w:sz w:val="15"/>
                <w:szCs w:val="15"/>
                <w:color w:val="auto"/>
              </w:rPr>
            </w:pPr>
          </w:p>
        </w:tc>
        <w:tc>
          <w:tcPr>
            <w:tcW w:w="220" w:type="dxa"/>
            <w:vAlign w:val="bottom"/>
            <w:tcBorders>
              <w:top w:val="single" w:sz="8" w:color="454546"/>
              <w:bottom w:val="single" w:sz="8" w:color="454546"/>
            </w:tcBorders>
          </w:tcPr>
          <w:p>
            <w:pPr>
              <w:spacing w:after="0"/>
              <w:rPr>
                <w:sz w:val="15"/>
                <w:szCs w:val="15"/>
                <w:color w:val="auto"/>
              </w:rPr>
            </w:pPr>
          </w:p>
        </w:tc>
        <w:tc>
          <w:tcPr>
            <w:tcW w:w="520" w:type="dxa"/>
            <w:vAlign w:val="bottom"/>
            <w:tcBorders>
              <w:top w:val="single" w:sz="8" w:color="454546"/>
              <w:bottom w:val="single" w:sz="8" w:color="454546"/>
            </w:tcBorders>
          </w:tcPr>
          <w:p>
            <w:pPr>
              <w:jc w:val="right"/>
              <w:ind w:right="213"/>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Borders>
              <w:top w:val="single" w:sz="8" w:color="454546"/>
            </w:tcBorders>
          </w:tcPr>
          <w:p>
            <w:pPr>
              <w:spacing w:after="0"/>
              <w:rPr>
                <w:sz w:val="15"/>
                <w:szCs w:val="15"/>
                <w:color w:val="auto"/>
              </w:rPr>
            </w:pPr>
          </w:p>
        </w:tc>
        <w:tc>
          <w:tcPr>
            <w:tcW w:w="180" w:type="dxa"/>
            <w:vAlign w:val="bottom"/>
            <w:tcBorders>
              <w:top w:val="single" w:sz="8" w:color="454546"/>
              <w:bottom w:val="single" w:sz="8" w:color="454546"/>
            </w:tcBorders>
          </w:tcPr>
          <w:p>
            <w:pPr>
              <w:spacing w:after="0"/>
              <w:rPr>
                <w:sz w:val="15"/>
                <w:szCs w:val="15"/>
                <w:color w:val="auto"/>
              </w:rPr>
            </w:pPr>
          </w:p>
        </w:tc>
        <w:tc>
          <w:tcPr>
            <w:tcW w:w="580" w:type="dxa"/>
            <w:vAlign w:val="bottom"/>
            <w:tcBorders>
              <w:top w:val="single" w:sz="8" w:color="454546"/>
              <w:bottom w:val="single" w:sz="8" w:color="454546"/>
            </w:tcBorders>
          </w:tcPr>
          <w:p>
            <w:pPr>
              <w:ind w:left="12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5"/>
          </w:tcPr>
          <w:p>
            <w:pPr>
              <w:jc w:val="center"/>
              <w:ind w:left="440"/>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(dollars in thousands)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20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6,030</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3,318</w:t>
            </w:r>
          </w:p>
        </w:tc>
        <w:tc>
          <w:tcPr>
            <w:tcW w:w="9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1,002</w:t>
            </w:r>
          </w:p>
        </w:tc>
        <w:tc>
          <w:tcPr>
            <w:tcW w:w="920" w:type="dxa"/>
            <w:vAlign w:val="bottom"/>
            <w:gridSpan w:val="2"/>
            <w:shd w:val="clear" w:color="auto" w:fill="E5E6E7"/>
          </w:tcPr>
          <w:p>
            <w:pPr>
              <w:jc w:val="center"/>
              <w:ind w:left="100"/>
              <w:spacing w:after="0"/>
              <w:rPr>
                <w:sz w:val="20"/>
                <w:szCs w:val="20"/>
                <w:color w:val="auto"/>
              </w:rPr>
            </w:pPr>
            <w:r>
              <w:rPr>
                <w:rFonts w:ascii="Times New Roman" w:cs="Times New Roman" w:eastAsia="Times New Roman" w:hAnsi="Times New Roman"/>
                <w:sz w:val="20"/>
                <w:szCs w:val="20"/>
                <w:color w:val="454546"/>
              </w:rPr>
              <w:t>$  2,712</w:t>
            </w:r>
          </w:p>
        </w:tc>
        <w:tc>
          <w:tcPr>
            <w:tcW w:w="2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81.7%</w:t>
            </w: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2,316</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60" w:type="dxa"/>
            <w:vAlign w:val="bottom"/>
            <w:gridSpan w:val="2"/>
            <w:shd w:val="clear" w:color="auto" w:fill="E5E6E7"/>
          </w:tcPr>
          <w:p>
            <w:pPr>
              <w:ind w:left="120"/>
              <w:spacing w:after="0"/>
              <w:rPr>
                <w:sz w:val="20"/>
                <w:szCs w:val="20"/>
                <w:color w:val="auto"/>
              </w:rPr>
            </w:pPr>
            <w:r>
              <w:rPr>
                <w:rFonts w:ascii="Times New Roman" w:cs="Times New Roman" w:eastAsia="Times New Roman" w:hAnsi="Times New Roman"/>
                <w:sz w:val="20"/>
                <w:szCs w:val="20"/>
                <w:color w:val="454546"/>
              </w:rPr>
              <w:t>231.1%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The increase in other income, net, in fiscal year 2024, as compared to fiscal year 2023, was primarily due to $5.7 million of additional yields and interest income from our debt security investments and cash deposits. The increase was partially offset by an approximately $1.2 million of increased interest expenses associated with software license purchases, lower subsidies received from a foreign government and net loss from foreign currency remeasurements. In fiscal year 2024, the increase was also negatively impacted by an approximately $1.2 million impairment recognized and an approximately $0.7 million lower fair value adjustment relating to our equity investments.</w:t>
      </w:r>
    </w:p>
    <w:p>
      <w:pPr>
        <w:spacing w:after="0" w:line="19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454546"/>
        </w:rPr>
        <w:t>The increase in other income, net, in fiscal year 2023, as compared to fiscal year 2022, was primarily due to higher yields from our debt security investments driven by security purchases at discounts and higher interest rates. Subsidies received from a foreign government, as well as gains from foreign currency transactions and remeasurements also contributed to the increase.</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Provision (Benefit)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6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80" w:type="dxa"/>
            <w:vAlign w:val="bottom"/>
          </w:tcPr>
          <w:p>
            <w:pPr>
              <w:spacing w:after="0"/>
              <w:rPr>
                <w:sz w:val="17"/>
                <w:szCs w:val="17"/>
                <w:color w:val="auto"/>
              </w:rPr>
            </w:pPr>
          </w:p>
        </w:tc>
        <w:tc>
          <w:tcPr>
            <w:tcW w:w="70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120" w:type="dxa"/>
            <w:vAlign w:val="bottom"/>
            <w:tcBorders>
              <w:bottom w:val="single" w:sz="8" w:color="454546"/>
            </w:tcBorders>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580" w:type="dxa"/>
            <w:vAlign w:val="bottom"/>
            <w:tcBorders>
              <w:bottom w:val="single" w:sz="8" w:color="454546"/>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right"/>
              <w:ind w:right="56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300" w:type="dxa"/>
            <w:vAlign w:val="bottom"/>
          </w:tcPr>
          <w:p>
            <w:pPr>
              <w:spacing w:after="0"/>
              <w:rPr>
                <w:sz w:val="15"/>
                <w:szCs w:val="15"/>
                <w:color w:val="auto"/>
              </w:rPr>
            </w:pPr>
          </w:p>
        </w:tc>
        <w:tc>
          <w:tcPr>
            <w:tcW w:w="1160" w:type="dxa"/>
            <w:vAlign w:val="bottom"/>
            <w:gridSpan w:val="4"/>
          </w:tcPr>
          <w:p>
            <w:pPr>
              <w:jc w:val="right"/>
              <w:ind w:right="10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40" w:type="dxa"/>
            <w:vAlign w:val="bottom"/>
            <w:tcBorders>
              <w:top w:val="single" w:sz="8" w:color="454546"/>
            </w:tcBorders>
          </w:tcPr>
          <w:p>
            <w:pPr>
              <w:spacing w:after="0"/>
              <w:rPr>
                <w:sz w:val="15"/>
                <w:szCs w:val="15"/>
                <w:color w:val="auto"/>
              </w:rPr>
            </w:pPr>
          </w:p>
        </w:tc>
        <w:tc>
          <w:tcPr>
            <w:tcW w:w="80" w:type="dxa"/>
            <w:vAlign w:val="bottom"/>
            <w:tcBorders>
              <w:top w:val="single" w:sz="8" w:color="454546"/>
            </w:tcBorders>
          </w:tcPr>
          <w:p>
            <w:pPr>
              <w:spacing w:after="0"/>
              <w:rPr>
                <w:sz w:val="15"/>
                <w:szCs w:val="15"/>
                <w:color w:val="auto"/>
              </w:rPr>
            </w:pPr>
          </w:p>
        </w:tc>
        <w:tc>
          <w:tcPr>
            <w:tcW w:w="760" w:type="dxa"/>
            <w:vAlign w:val="bottom"/>
            <w:tcBorders>
              <w:top w:val="single" w:sz="8" w:color="454546"/>
              <w:bottom w:val="single" w:sz="8" w:color="454546"/>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454546"/>
              <w:bottom w:val="single" w:sz="8" w:color="454546"/>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454546"/>
              </w:rPr>
              <w:t>Amount</w:t>
            </w:r>
          </w:p>
        </w:tc>
        <w:tc>
          <w:tcPr>
            <w:tcW w:w="220" w:type="dxa"/>
            <w:vAlign w:val="bottom"/>
            <w:tcBorders>
              <w:top w:val="single" w:sz="8" w:color="454546"/>
            </w:tcBorders>
          </w:tcPr>
          <w:p>
            <w:pPr>
              <w:spacing w:after="0"/>
              <w:rPr>
                <w:sz w:val="15"/>
                <w:szCs w:val="15"/>
                <w:color w:val="auto"/>
              </w:rPr>
            </w:pPr>
          </w:p>
        </w:tc>
        <w:tc>
          <w:tcPr>
            <w:tcW w:w="660" w:type="dxa"/>
            <w:vAlign w:val="bottom"/>
            <w:tcBorders>
              <w:top w:val="single" w:sz="8" w:color="454546"/>
              <w:bottom w:val="single" w:sz="8" w:color="454546"/>
            </w:tcBorders>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454546"/>
              <w:bottom w:val="single" w:sz="8" w:color="454546"/>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454546"/>
              </w:rPr>
              <w:t>Amount</w:t>
            </w:r>
          </w:p>
        </w:tc>
        <w:tc>
          <w:tcPr>
            <w:tcW w:w="200" w:type="dxa"/>
            <w:vAlign w:val="bottom"/>
            <w:tcBorders>
              <w:top w:val="single" w:sz="8" w:color="454546"/>
            </w:tcBorders>
          </w:tcPr>
          <w:p>
            <w:pPr>
              <w:spacing w:after="0"/>
              <w:rPr>
                <w:sz w:val="15"/>
                <w:szCs w:val="15"/>
                <w:color w:val="auto"/>
              </w:rPr>
            </w:pPr>
          </w:p>
        </w:tc>
        <w:tc>
          <w:tcPr>
            <w:tcW w:w="180" w:type="dxa"/>
            <w:vAlign w:val="bottom"/>
            <w:tcBorders>
              <w:top w:val="single" w:sz="8" w:color="454546"/>
              <w:bottom w:val="single" w:sz="8" w:color="454546"/>
            </w:tcBorders>
          </w:tcPr>
          <w:p>
            <w:pPr>
              <w:spacing w:after="0"/>
              <w:rPr>
                <w:sz w:val="15"/>
                <w:szCs w:val="15"/>
                <w:color w:val="auto"/>
              </w:rPr>
            </w:pPr>
          </w:p>
        </w:tc>
        <w:tc>
          <w:tcPr>
            <w:tcW w:w="580" w:type="dxa"/>
            <w:vAlign w:val="bottom"/>
            <w:tcBorders>
              <w:top w:val="single" w:sz="8" w:color="454546"/>
              <w:bottom w:val="single" w:sz="8" w:color="454546"/>
            </w:tcBorders>
          </w:tcPr>
          <w:p>
            <w:pPr>
              <w:ind w:left="120"/>
              <w:spacing w:after="0" w:line="174" w:lineRule="exact"/>
              <w:rPr>
                <w:sz w:val="20"/>
                <w:szCs w:val="20"/>
                <w:color w:val="auto"/>
              </w:rPr>
            </w:pPr>
            <w:r>
              <w:rPr>
                <w:rFonts w:ascii="Times New Roman" w:cs="Times New Roman" w:eastAsia="Times New Roman" w:hAnsi="Times New Roman"/>
                <w:sz w:val="16"/>
                <w:szCs w:val="16"/>
                <w:b w:val="1"/>
                <w:bCs w:val="1"/>
                <w:color w:val="454546"/>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jc w:val="right"/>
              <w:ind w:right="800"/>
              <w:spacing w:after="0" w:line="174" w:lineRule="exact"/>
              <w:rPr>
                <w:sz w:val="20"/>
                <w:szCs w:val="20"/>
                <w:color w:val="auto"/>
              </w:rPr>
            </w:pPr>
            <w:r>
              <w:rPr>
                <w:rFonts w:ascii="Times New Roman" w:cs="Times New Roman" w:eastAsia="Times New Roman" w:hAnsi="Times New Roman"/>
                <w:sz w:val="16"/>
                <w:szCs w:val="16"/>
                <w:b w:val="1"/>
                <w:bCs w:val="1"/>
                <w:color w:val="454546"/>
              </w:rPr>
              <w:t>(dollars in thousands)</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Provision (benefit) for income taxes</w:t>
            </w:r>
          </w:p>
        </w:tc>
        <w:tc>
          <w:tcPr>
            <w:tcW w:w="13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$ 20,887</w:t>
            </w:r>
          </w:p>
        </w:tc>
        <w:tc>
          <w:tcPr>
            <w:tcW w:w="112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  (5,552)</w:t>
            </w:r>
          </w:p>
        </w:tc>
        <w:tc>
          <w:tcPr>
            <w:tcW w:w="9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  (2,230)</w:t>
            </w: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$ 26,439</w:t>
            </w:r>
          </w:p>
        </w:tc>
        <w:tc>
          <w:tcPr>
            <w:tcW w:w="11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(476.2)%</w:t>
            </w:r>
          </w:p>
        </w:tc>
        <w:tc>
          <w:tcPr>
            <w:tcW w:w="980" w:type="dxa"/>
            <w:vAlign w:val="bottom"/>
            <w:gridSpan w:val="3"/>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 (3,322)</w:t>
            </w:r>
          </w:p>
        </w:tc>
        <w:tc>
          <w:tcPr>
            <w:tcW w:w="180" w:type="dxa"/>
            <w:vAlign w:val="bottom"/>
            <w:shd w:val="clear" w:color="auto" w:fill="E5E6E7"/>
          </w:tcPr>
          <w:p>
            <w:pPr>
              <w:spacing w:after="0"/>
              <w:rPr>
                <w:sz w:val="19"/>
                <w:szCs w:val="19"/>
                <w:color w:val="auto"/>
              </w:rPr>
            </w:pPr>
          </w:p>
        </w:tc>
        <w:tc>
          <w:tcPr>
            <w:tcW w:w="760" w:type="dxa"/>
            <w:vAlign w:val="bottom"/>
            <w:gridSpan w:val="2"/>
            <w:shd w:val="clear" w:color="auto" w:fill="E5E6E7"/>
          </w:tcPr>
          <w:p>
            <w:pPr>
              <w:ind w:left="120"/>
              <w:spacing w:after="0"/>
              <w:rPr>
                <w:sz w:val="20"/>
                <w:szCs w:val="20"/>
                <w:color w:val="auto"/>
              </w:rPr>
            </w:pPr>
            <w:r>
              <w:rPr>
                <w:rFonts w:ascii="Times New Roman" w:cs="Times New Roman" w:eastAsia="Times New Roman" w:hAnsi="Times New Roman"/>
                <w:sz w:val="20"/>
                <w:szCs w:val="20"/>
                <w:color w:val="454546"/>
              </w:rPr>
              <w:t>149.0%</w:t>
            </w: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454546"/>
              </w:rPr>
              <w:t>Effective tax rate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(14.1)%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7.8%</w:t>
            </w:r>
          </w:p>
        </w:tc>
        <w:tc>
          <w:tcPr>
            <w:tcW w:w="1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7.8%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(21.9)%</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454546"/>
        </w:rPr>
        <w:t>Income tax expense increased in fiscal 2024, as compared to fiscal year 2023, primarily due to a one-time charge of $22.7 million of valuation allowance against the Company’s remaining U.S. net deferred tax assets, a decrease in the proportion of profits generated in lower tax jurisdictions and a decrease in the benefit from FIN48 reserves upon the lapse of the statute of limitations, partially offset by a decrease in non-deductible stock-based compensation.</w:t>
      </w:r>
    </w:p>
    <w:p>
      <w:pPr>
        <w:spacing w:after="0" w:line="18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Income tax benefit increased in fiscal 2023, as compared to fiscal year 2022, primarily due to a decrease in the proportion of profits generated in higher tax jurisdictions and the release of prior FIN48 reserves upon the lapse of the statute of limitations, partially offset by an increase in non-deductible stock-based compensation.</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60</w:t>
      </w:r>
    </w:p>
    <w:p>
      <w:pPr>
        <w:sectPr>
          <w:pgSz w:w="12240" w:h="15840" w:orient="portrait"/>
          <w:cols w:equalWidth="0" w:num="1">
            <w:col w:w="10800"/>
          </w:cols>
          <w:pgMar w:left="720" w:top="976" w:right="720" w:bottom="175"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454546"/>
        </w:rPr>
        <w:t>Liquidity and Capital Resources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our cash flows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440" w:type="dxa"/>
            <w:vAlign w:val="bottom"/>
            <w:tcBorders>
              <w:bottom w:val="single" w:sz="8" w:color="454546"/>
            </w:tcBorders>
            <w:gridSpan w:val="7"/>
          </w:tcPr>
          <w:p>
            <w:pPr>
              <w:jc w:val="center"/>
              <w:ind w:left="507"/>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82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7"/>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00" w:type="dxa"/>
            <w:vAlign w:val="bottom"/>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center"/>
              <w:ind w:right="124"/>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264"/>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Net cash provided by operating activities</w:t>
            </w:r>
          </w:p>
        </w:tc>
        <w:tc>
          <w:tcPr>
            <w:tcW w:w="34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19,024</w:t>
            </w:r>
          </w:p>
        </w:tc>
        <w:tc>
          <w:tcPr>
            <w:tcW w:w="4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44,093</w:t>
            </w:r>
          </w:p>
        </w:tc>
        <w:tc>
          <w:tcPr>
            <w:tcW w:w="120" w:type="dxa"/>
            <w:vAlign w:val="bottom"/>
            <w:shd w:val="clear" w:color="auto" w:fill="E5E6E7"/>
          </w:tcPr>
          <w:p>
            <w:pPr>
              <w:spacing w:after="0"/>
              <w:rPr>
                <w:sz w:val="19"/>
                <w:szCs w:val="19"/>
                <w:color w:val="auto"/>
              </w:rPr>
            </w:pPr>
          </w:p>
        </w:tc>
        <w:tc>
          <w:tcPr>
            <w:tcW w:w="2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38,795</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Net cash provided by (used in) investing activities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(107,295)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(119,551)</w:t>
            </w: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Net cash provided by financing activities</w:t>
            </w: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4,506</w:t>
            </w:r>
          </w:p>
        </w:tc>
        <w:tc>
          <w:tcPr>
            <w:tcW w:w="20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5,698</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0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10,525</w:t>
            </w:r>
          </w:p>
        </w:tc>
        <w:tc>
          <w:tcPr>
            <w:tcW w:w="80" w:type="dxa"/>
            <w:vAlign w:val="bottom"/>
            <w:shd w:val="clear" w:color="auto" w:fill="E5E6E7"/>
          </w:tcPr>
          <w:p>
            <w:pPr>
              <w:spacing w:after="0"/>
              <w:rPr>
                <w:sz w:val="19"/>
                <w:szCs w:val="19"/>
                <w:color w:val="auto"/>
              </w:rPr>
            </w:pPr>
          </w:p>
        </w:tc>
      </w:tr>
      <w:tr>
        <w:trPr>
          <w:trHeight w:val="201"/>
        </w:trPr>
        <w:tc>
          <w:tcPr>
            <w:tcW w:w="49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454546"/>
              </w:rPr>
              <w:t>Net increase (decrease) in cash, cash equivalents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restricted cash</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31,372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(57,504)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(70,231)</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800" w:type="dxa"/>
            <w:vAlign w:val="bottom"/>
            <w:tcBorders>
              <w:top w:val="single" w:sz="8" w:color="454546"/>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820" w:type="dxa"/>
            <w:vAlign w:val="bottom"/>
            <w:tcBorders>
              <w:top w:val="single" w:sz="8" w:color="454546"/>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454546"/>
              <w:bottom w:val="single" w:sz="8" w:color="454546"/>
            </w:tcBorders>
          </w:tcPr>
          <w:p>
            <w:pPr>
              <w:spacing w:after="0" w:line="20" w:lineRule="exact"/>
              <w:rPr>
                <w:sz w:val="1"/>
                <w:szCs w:val="1"/>
                <w:color w:val="auto"/>
              </w:rPr>
            </w:pPr>
          </w:p>
        </w:tc>
        <w:tc>
          <w:tcPr>
            <w:tcW w:w="82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Net Cash Provided by Operating Activities</w:t>
      </w:r>
    </w:p>
    <w:p>
      <w:pPr>
        <w:spacing w:after="0" w:line="12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i w:val="1"/>
          <w:iCs w:val="1"/>
          <w:color w:val="454546"/>
        </w:rPr>
        <w:t xml:space="preserve">Fiscal year 2024 compared to fiscal year 2023: </w:t>
      </w:r>
      <w:r>
        <w:rPr>
          <w:rFonts w:ascii="Times New Roman" w:cs="Times New Roman" w:eastAsia="Times New Roman" w:hAnsi="Times New Roman"/>
          <w:sz w:val="20"/>
          <w:szCs w:val="20"/>
          <w:color w:val="454546"/>
        </w:rPr>
        <w:t>Cash provided by operating activities decreased primarily due to higher net loss</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adjusted for certain non-cash items, partially offset by increased working capital as a result of better management on accounts receivable and liabilities, as well as decreased inventory purchases due to lower demand from customers.</w:t>
      </w:r>
    </w:p>
    <w:p>
      <w:pPr>
        <w:spacing w:after="0" w:line="17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i w:val="1"/>
          <w:iCs w:val="1"/>
          <w:color w:val="454546"/>
        </w:rPr>
        <w:t xml:space="preserve">Fiscal year 2023 compared to fiscal year 2022: </w:t>
      </w:r>
      <w:r>
        <w:rPr>
          <w:rFonts w:ascii="Times New Roman" w:cs="Times New Roman" w:eastAsia="Times New Roman" w:hAnsi="Times New Roman"/>
          <w:sz w:val="20"/>
          <w:szCs w:val="20"/>
          <w:color w:val="454546"/>
        </w:rPr>
        <w:t>Cash provided by operating activities increased primarily due to higher</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collections of accounts receivable associated with the timing of sales and lower inventory purchases due to customer inventory level reductions as a result of improved supply chain lead times across the semiconductor industry, partially offset by increased net loss adjusted for certain non-cash items and decreased liabilities associated with employee benefit payments and the timing of payments to our suppliers.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Net Cash Provided by (Used in) Investing Activities</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i w:val="1"/>
          <w:iCs w:val="1"/>
          <w:color w:val="454546"/>
        </w:rPr>
        <w:t xml:space="preserve">Fiscal year 2024 compared to fiscal year 2023: </w:t>
      </w:r>
      <w:r>
        <w:rPr>
          <w:rFonts w:ascii="Times New Roman" w:cs="Times New Roman" w:eastAsia="Times New Roman" w:hAnsi="Times New Roman"/>
          <w:sz w:val="20"/>
          <w:szCs w:val="20"/>
          <w:color w:val="454546"/>
        </w:rPr>
        <w:t>Net cash provided by investing activities increased primarily due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approximately $63.3 million of less cash used in debt security purchases due to the timing of investment, $49.6 million of higher cash receipts from maturities and sales of our debt security investments, as well as $3.1 million less in payments for purchase of property, equipment and licenses, partially offset by a $0.7 million claim from an acquisition escrow account in fiscal year 2023 that did not recur in fiscal year 2024.</w:t>
      </w:r>
    </w:p>
    <w:p>
      <w:pPr>
        <w:spacing w:after="0" w:line="7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i w:val="1"/>
          <w:iCs w:val="1"/>
          <w:color w:val="454546"/>
        </w:rPr>
        <w:t xml:space="preserve">Fiscal year 2023 compared to fiscal year 2022: </w:t>
      </w:r>
      <w:r>
        <w:rPr>
          <w:rFonts w:ascii="Times New Roman" w:cs="Times New Roman" w:eastAsia="Times New Roman" w:hAnsi="Times New Roman"/>
          <w:sz w:val="20"/>
          <w:szCs w:val="20"/>
          <w:color w:val="454546"/>
        </w:rPr>
        <w:t>Net cash used in investing activities decreased primarily due to $307.0 million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of net cash paid for the Oculii acquisition in fiscal year 2022, partially offset by approximately $290.0 million less net cash receipts from debt security investments and approximately $5.4 million additional payments for purchase of property and equipment and licenses.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Net Cash Provided by Financing Activities</w:t>
      </w:r>
    </w:p>
    <w:p>
      <w:pPr>
        <w:spacing w:after="0" w:line="120" w:lineRule="exact"/>
        <w:rPr>
          <w:sz w:val="20"/>
          <w:szCs w:val="20"/>
          <w:color w:val="auto"/>
        </w:rPr>
      </w:pPr>
    </w:p>
    <w:p>
      <w:pPr>
        <w:ind w:right="980" w:firstLine="490"/>
        <w:spacing w:after="0" w:line="277" w:lineRule="auto"/>
        <w:rPr>
          <w:sz w:val="20"/>
          <w:szCs w:val="20"/>
          <w:color w:val="auto"/>
        </w:rPr>
      </w:pPr>
      <w:r>
        <w:rPr>
          <w:rFonts w:ascii="Times New Roman" w:cs="Times New Roman" w:eastAsia="Times New Roman" w:hAnsi="Times New Roman"/>
          <w:sz w:val="20"/>
          <w:szCs w:val="20"/>
          <w:i w:val="1"/>
          <w:iCs w:val="1"/>
          <w:color w:val="454546"/>
        </w:rPr>
        <w:t xml:space="preserve">Fiscal year 2024 compared to fiscal year 2023: </w:t>
      </w:r>
      <w:r>
        <w:rPr>
          <w:rFonts w:ascii="Times New Roman" w:cs="Times New Roman" w:eastAsia="Times New Roman" w:hAnsi="Times New Roman"/>
          <w:sz w:val="20"/>
          <w:szCs w:val="20"/>
          <w:color w:val="454546"/>
        </w:rPr>
        <w:t>Net cash provided by financing activities decreased primarily due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approximately $1.1 million less in payments for the purchase of licenses.</w:t>
      </w:r>
    </w:p>
    <w:p>
      <w:pPr>
        <w:spacing w:after="0" w:line="49" w:lineRule="exact"/>
        <w:rPr>
          <w:sz w:val="20"/>
          <w:szCs w:val="20"/>
          <w:color w:val="auto"/>
        </w:rPr>
      </w:pPr>
    </w:p>
    <w:p>
      <w:pPr>
        <w:ind w:right="980" w:firstLine="490"/>
        <w:spacing w:after="0" w:line="277" w:lineRule="auto"/>
        <w:rPr>
          <w:sz w:val="20"/>
          <w:szCs w:val="20"/>
          <w:color w:val="auto"/>
        </w:rPr>
      </w:pPr>
      <w:r>
        <w:rPr>
          <w:rFonts w:ascii="Times New Roman" w:cs="Times New Roman" w:eastAsia="Times New Roman" w:hAnsi="Times New Roman"/>
          <w:sz w:val="20"/>
          <w:szCs w:val="20"/>
          <w:i w:val="1"/>
          <w:iCs w:val="1"/>
          <w:color w:val="454546"/>
        </w:rPr>
        <w:t xml:space="preserve">Fiscal year 2023 compared to fiscal year 2022: </w:t>
      </w:r>
      <w:r>
        <w:rPr>
          <w:rFonts w:ascii="Times New Roman" w:cs="Times New Roman" w:eastAsia="Times New Roman" w:hAnsi="Times New Roman"/>
          <w:sz w:val="20"/>
          <w:szCs w:val="20"/>
          <w:color w:val="454546"/>
        </w:rPr>
        <w:t>Net cash provided by financing activities decreased primarily due to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approximately $4.7 million less cash proceeds from option exercises and employee stock purchase withholdings.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 Repurchase Program</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454546"/>
        </w:rPr>
        <w:t>There were no shares repurchased in fiscal years 2024, 2023 and 2022. On May 26, 2023, our Board of Directors approved an extension of the existing share repurchase program for an additional twelve months through June 30, 2024. As of January 31, 2024, there was approximately $ 49.0 million available for repurchases through June 30, 2024.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will be recorded as authorized but unissued shares.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Sources of Liquidity</w:t>
      </w:r>
    </w:p>
    <w:p>
      <w:pPr>
        <w:spacing w:after="0" w:line="120" w:lineRule="exact"/>
        <w:rPr>
          <w:sz w:val="20"/>
          <w:szCs w:val="20"/>
          <w:color w:val="auto"/>
        </w:rPr>
      </w:pPr>
    </w:p>
    <w:p>
      <w:pPr>
        <w:jc w:val="both"/>
        <w:ind w:right="60" w:firstLine="490"/>
        <w:spacing w:after="0" w:line="277" w:lineRule="auto"/>
        <w:rPr>
          <w:sz w:val="20"/>
          <w:szCs w:val="20"/>
          <w:color w:val="auto"/>
        </w:rPr>
      </w:pPr>
      <w:r>
        <w:rPr>
          <w:rFonts w:ascii="Times New Roman" w:cs="Times New Roman" w:eastAsia="Times New Roman" w:hAnsi="Times New Roman"/>
          <w:sz w:val="20"/>
          <w:szCs w:val="20"/>
          <w:color w:val="454546"/>
        </w:rPr>
        <w:t>As of January 31, 2024, we had cash, cash equivalents and marketable debt securities on hand of approximately $219.9 million, compared with approximately $206.9 million of cash, cash equivalents and marketable debt securities on hand as of January 31, 2023.</w:t>
      </w: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61</w:t>
      </w:r>
    </w:p>
    <w:p>
      <w:pPr>
        <w:sectPr>
          <w:pgSz w:w="12240" w:h="15840" w:orient="portrait"/>
          <w:cols w:equalWidth="0" w:num="1">
            <w:col w:w="10800"/>
          </w:cols>
          <w:pgMar w:left="720" w:top="972" w:right="720" w:bottom="175" w:gutter="0" w:footer="0" w:header="0"/>
          <w:type w:val="continuous"/>
        </w:sectPr>
      </w:pPr>
    </w:p>
    <w:bookmarkStart w:id="66" w:name="page67"/>
    <w:bookmarkEnd w:id="66"/>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Operating and Capital Expenditure Requirements</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As of January 31, 2024, we had cash, cash equivalents and marketable debt securities on hand of approximately $219.9 million. 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Our short-term and long-term capital requirements will depend on many factors, including the following:</w:t>
      </w:r>
    </w:p>
    <w:p>
      <w:pPr>
        <w:spacing w:after="0" w:line="134" w:lineRule="exact"/>
        <w:rPr>
          <w:sz w:val="20"/>
          <w:szCs w:val="20"/>
          <w:color w:val="auto"/>
        </w:rPr>
      </w:pPr>
    </w:p>
    <w:p>
      <w:pPr>
        <w:ind w:left="1460" w:hanging="481"/>
        <w:spacing w:after="0"/>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generate cash from operations;</w:t>
      </w:r>
    </w:p>
    <w:p>
      <w:pPr>
        <w:spacing w:after="0" w:line="133" w:lineRule="exact"/>
        <w:rPr>
          <w:rFonts w:ascii="Arial" w:cs="Arial" w:eastAsia="Arial" w:hAnsi="Arial"/>
          <w:sz w:val="20"/>
          <w:szCs w:val="20"/>
          <w:color w:val="454546"/>
        </w:rPr>
      </w:pPr>
    </w:p>
    <w:p>
      <w:pPr>
        <w:ind w:left="1460" w:hanging="481"/>
        <w:spacing w:after="0"/>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our ability to control our costs;</w:t>
      </w:r>
    </w:p>
    <w:p>
      <w:pPr>
        <w:spacing w:after="0" w:line="133" w:lineRule="exact"/>
        <w:rPr>
          <w:rFonts w:ascii="Arial" w:cs="Arial" w:eastAsia="Arial" w:hAnsi="Arial"/>
          <w:sz w:val="20"/>
          <w:szCs w:val="20"/>
          <w:color w:val="454546"/>
        </w:rPr>
      </w:pPr>
    </w:p>
    <w:p>
      <w:pPr>
        <w:ind w:left="1460" w:right="560" w:hanging="481"/>
        <w:spacing w:after="0" w:line="276" w:lineRule="auto"/>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the expansion of our research and development of new technologies and products to address new markets and applications;</w:t>
      </w:r>
    </w:p>
    <w:p>
      <w:pPr>
        <w:spacing w:after="0" w:line="64" w:lineRule="exact"/>
        <w:rPr>
          <w:rFonts w:ascii="Arial" w:cs="Arial" w:eastAsia="Arial" w:hAnsi="Arial"/>
          <w:sz w:val="20"/>
          <w:szCs w:val="20"/>
          <w:color w:val="454546"/>
        </w:rPr>
      </w:pPr>
    </w:p>
    <w:p>
      <w:pPr>
        <w:ind w:left="1460" w:hanging="481"/>
        <w:spacing w:after="0"/>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the emergence of competing or complementary technologies or products;</w:t>
      </w:r>
    </w:p>
    <w:p>
      <w:pPr>
        <w:spacing w:after="0" w:line="133" w:lineRule="exact"/>
        <w:rPr>
          <w:rFonts w:ascii="Arial" w:cs="Arial" w:eastAsia="Arial" w:hAnsi="Arial"/>
          <w:sz w:val="20"/>
          <w:szCs w:val="20"/>
          <w:color w:val="454546"/>
        </w:rPr>
      </w:pPr>
    </w:p>
    <w:p>
      <w:pPr>
        <w:ind w:left="1460" w:hanging="481"/>
        <w:spacing w:after="0"/>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global economic and political conditions, including macroeconomic conditions, high inflation and trade restrictions;</w:t>
      </w:r>
    </w:p>
    <w:p>
      <w:pPr>
        <w:spacing w:after="0" w:line="133" w:lineRule="exact"/>
        <w:rPr>
          <w:rFonts w:ascii="Arial" w:cs="Arial" w:eastAsia="Arial" w:hAnsi="Arial"/>
          <w:sz w:val="20"/>
          <w:szCs w:val="20"/>
          <w:color w:val="454546"/>
        </w:rPr>
      </w:pPr>
    </w:p>
    <w:p>
      <w:pPr>
        <w:ind w:left="1460" w:right="200" w:hanging="481"/>
        <w:spacing w:after="0" w:line="276" w:lineRule="auto"/>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the costs of filing, prosecuting, defending and enforcing any patent claims and other intellectual property rights or participating in litigation-related activities; and</w:t>
      </w:r>
    </w:p>
    <w:p>
      <w:pPr>
        <w:spacing w:after="0" w:line="64" w:lineRule="exact"/>
        <w:rPr>
          <w:rFonts w:ascii="Arial" w:cs="Arial" w:eastAsia="Arial" w:hAnsi="Arial"/>
          <w:sz w:val="20"/>
          <w:szCs w:val="20"/>
          <w:color w:val="454546"/>
        </w:rPr>
      </w:pPr>
    </w:p>
    <w:p>
      <w:pPr>
        <w:ind w:left="1460" w:hanging="481"/>
        <w:spacing w:after="0"/>
        <w:tabs>
          <w:tab w:leader="none" w:pos="1460" w:val="left"/>
        </w:tabs>
        <w:numPr>
          <w:ilvl w:val="0"/>
          <w:numId w:val="24"/>
        </w:numPr>
        <w:rPr>
          <w:rFonts w:ascii="Arial" w:cs="Arial" w:eastAsia="Arial" w:hAnsi="Arial"/>
          <w:sz w:val="20"/>
          <w:szCs w:val="20"/>
          <w:color w:val="454546"/>
        </w:rPr>
      </w:pPr>
      <w:r>
        <w:rPr>
          <w:rFonts w:ascii="Times New Roman" w:cs="Times New Roman" w:eastAsia="Times New Roman" w:hAnsi="Times New Roman"/>
          <w:sz w:val="20"/>
          <w:szCs w:val="20"/>
          <w:color w:val="454546"/>
        </w:rPr>
        <w:t>our acquisition of complementary businesses, products and technologies.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Contractual Obligations, Commitments and Contingencies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our outstanding contractual obligations as of January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68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3980" w:type="dxa"/>
            <w:vAlign w:val="bottom"/>
            <w:tcBorders>
              <w:bottom w:val="single" w:sz="8" w:color="454546"/>
            </w:tcBorders>
            <w:gridSpan w:val="10"/>
          </w:tcPr>
          <w:p>
            <w:pPr>
              <w:jc w:val="center"/>
              <w:ind w:right="3"/>
              <w:spacing w:after="0"/>
              <w:rPr>
                <w:sz w:val="20"/>
                <w:szCs w:val="20"/>
                <w:color w:val="auto"/>
              </w:rPr>
            </w:pPr>
            <w:r>
              <w:rPr>
                <w:rFonts w:ascii="Times New Roman" w:cs="Times New Roman" w:eastAsia="Times New Roman" w:hAnsi="Times New Roman"/>
                <w:sz w:val="16"/>
                <w:szCs w:val="16"/>
                <w:b w:val="1"/>
                <w:bCs w:val="1"/>
                <w:color w:val="454546"/>
              </w:rPr>
              <w:t>Payment Due by Period as of January 31, 2024</w:t>
            </w:r>
          </w:p>
        </w:tc>
        <w:tc>
          <w:tcPr>
            <w:tcW w:w="220" w:type="dxa"/>
            <w:vAlign w:val="bottom"/>
            <w:tcBorders>
              <w:bottom w:val="single" w:sz="8" w:color="454546"/>
            </w:tcBorders>
          </w:tcPr>
          <w:p>
            <w:pPr>
              <w:spacing w:after="0"/>
              <w:rPr>
                <w:sz w:val="17"/>
                <w:szCs w:val="17"/>
                <w:color w:val="auto"/>
              </w:rPr>
            </w:pPr>
          </w:p>
        </w:tc>
        <w:tc>
          <w:tcPr>
            <w:tcW w:w="160" w:type="dxa"/>
            <w:vAlign w:val="bottom"/>
            <w:tcBorders>
              <w:bottom w:val="single" w:sz="8" w:color="454546"/>
            </w:tcBorders>
          </w:tcPr>
          <w:p>
            <w:pPr>
              <w:spacing w:after="0"/>
              <w:rPr>
                <w:sz w:val="17"/>
                <w:szCs w:val="17"/>
                <w:color w:val="auto"/>
              </w:rPr>
            </w:pPr>
          </w:p>
        </w:tc>
        <w:tc>
          <w:tcPr>
            <w:tcW w:w="70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454546"/>
                <w:w w:val="97"/>
              </w:rPr>
              <w:t>Less than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jc w:val="center"/>
              <w:ind w:right="3"/>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2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More than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454546"/>
              </w:rPr>
              <w:t>All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E5E6E7"/>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680" w:type="dxa"/>
            <w:vAlign w:val="bottom"/>
            <w:tcBorders>
              <w:bottom w:val="single" w:sz="8" w:color="454546"/>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220" w:type="dxa"/>
            <w:vAlign w:val="bottom"/>
            <w:tcBorders>
              <w:bottom w:val="single" w:sz="8" w:color="E5E6E7"/>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454546"/>
              </w:rPr>
              <w:t>1 Year</w:t>
            </w:r>
          </w:p>
        </w:tc>
        <w:tc>
          <w:tcPr>
            <w:tcW w:w="220" w:type="dxa"/>
            <w:vAlign w:val="bottom"/>
            <w:tcBorders>
              <w:bottom w:val="single" w:sz="8" w:color="E5E6E7"/>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26"/>
              <w:spacing w:after="0"/>
              <w:rPr>
                <w:sz w:val="20"/>
                <w:szCs w:val="20"/>
                <w:color w:val="auto"/>
              </w:rPr>
            </w:pPr>
            <w:r>
              <w:rPr>
                <w:rFonts w:ascii="Times New Roman" w:cs="Times New Roman" w:eastAsia="Times New Roman" w:hAnsi="Times New Roman"/>
                <w:sz w:val="16"/>
                <w:szCs w:val="16"/>
                <w:b w:val="1"/>
                <w:bCs w:val="1"/>
                <w:color w:val="454546"/>
                <w:w w:val="94"/>
              </w:rPr>
              <w:t>1-3 Years</w:t>
            </w:r>
          </w:p>
        </w:tc>
        <w:tc>
          <w:tcPr>
            <w:tcW w:w="200" w:type="dxa"/>
            <w:vAlign w:val="bottom"/>
            <w:tcBorders>
              <w:bottom w:val="single" w:sz="8" w:color="E5E6E7"/>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spacing w:after="0"/>
              <w:rPr>
                <w:sz w:val="20"/>
                <w:szCs w:val="20"/>
                <w:color w:val="auto"/>
              </w:rPr>
            </w:pPr>
            <w:r>
              <w:rPr>
                <w:rFonts w:ascii="Times New Roman" w:cs="Times New Roman" w:eastAsia="Times New Roman" w:hAnsi="Times New Roman"/>
                <w:sz w:val="16"/>
                <w:szCs w:val="16"/>
                <w:b w:val="1"/>
                <w:bCs w:val="1"/>
                <w:color w:val="454546"/>
              </w:rPr>
              <w:t>3-5 Years</w:t>
            </w:r>
          </w:p>
        </w:tc>
        <w:tc>
          <w:tcPr>
            <w:tcW w:w="220" w:type="dxa"/>
            <w:vAlign w:val="bottom"/>
            <w:tcBorders>
              <w:bottom w:val="single" w:sz="8" w:color="E5E6E7"/>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720" w:type="dxa"/>
            <w:vAlign w:val="bottom"/>
            <w:tcBorders>
              <w:bottom w:val="single" w:sz="8" w:color="454546"/>
            </w:tcBorders>
          </w:tcPr>
          <w:p>
            <w:pPr>
              <w:jc w:val="right"/>
              <w:ind w:right="83"/>
              <w:spacing w:after="0"/>
              <w:rPr>
                <w:sz w:val="20"/>
                <w:szCs w:val="20"/>
                <w:color w:val="auto"/>
              </w:rPr>
            </w:pPr>
            <w:r>
              <w:rPr>
                <w:rFonts w:ascii="Times New Roman" w:cs="Times New Roman" w:eastAsia="Times New Roman" w:hAnsi="Times New Roman"/>
                <w:sz w:val="16"/>
                <w:szCs w:val="16"/>
                <w:b w:val="1"/>
                <w:bCs w:val="1"/>
                <w:color w:val="454546"/>
                <w:w w:val="99"/>
              </w:rPr>
              <w:t>5 Years</w:t>
            </w:r>
          </w:p>
        </w:tc>
        <w:tc>
          <w:tcPr>
            <w:tcW w:w="220" w:type="dxa"/>
            <w:vAlign w:val="bottom"/>
            <w:tcBorders>
              <w:bottom w:val="single" w:sz="8" w:color="E5E6E7"/>
            </w:tcBorders>
          </w:tcPr>
          <w:p>
            <w:pPr>
              <w:spacing w:after="0"/>
              <w:rPr>
                <w:sz w:val="17"/>
                <w:szCs w:val="17"/>
                <w:color w:val="auto"/>
              </w:rPr>
            </w:pPr>
          </w:p>
        </w:tc>
        <w:tc>
          <w:tcPr>
            <w:tcW w:w="160" w:type="dxa"/>
            <w:vAlign w:val="bottom"/>
            <w:tcBorders>
              <w:bottom w:val="single" w:sz="8" w:color="454546"/>
            </w:tcBorders>
          </w:tcPr>
          <w:p>
            <w:pPr>
              <w:spacing w:after="0"/>
              <w:rPr>
                <w:sz w:val="17"/>
                <w:szCs w:val="17"/>
                <w:color w:val="auto"/>
              </w:rPr>
            </w:pPr>
          </w:p>
        </w:tc>
        <w:tc>
          <w:tcPr>
            <w:tcW w:w="700" w:type="dxa"/>
            <w:vAlign w:val="bottom"/>
            <w:tcBorders>
              <w:bottom w:val="single" w:sz="8" w:color="454546"/>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454546"/>
              </w:rPr>
              <w:t>Other</w:t>
            </w:r>
          </w:p>
        </w:tc>
        <w:tc>
          <w:tcPr>
            <w:tcW w:w="10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Contractual Obligations</w:t>
            </w:r>
          </w:p>
        </w:tc>
        <w:tc>
          <w:tcPr>
            <w:tcW w:w="18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7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 xml:space="preserve">Technology licenses </w:t>
            </w:r>
            <w:r>
              <w:rPr>
                <w:rFonts w:ascii="Times New Roman" w:cs="Times New Roman" w:eastAsia="Times New Roman" w:hAnsi="Times New Roman"/>
                <w:sz w:val="26"/>
                <w:szCs w:val="26"/>
                <w:color w:val="454546"/>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17,024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8,611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8,413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454546"/>
                <w:w w:val="89"/>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454546"/>
              </w:rPr>
              <w:t xml:space="preserve">Manufacturing purchase commitments </w:t>
            </w:r>
            <w:r>
              <w:rPr>
                <w:rFonts w:ascii="Times New Roman" w:cs="Times New Roman" w:eastAsia="Times New Roman" w:hAnsi="Times New Roman"/>
                <w:sz w:val="26"/>
                <w:szCs w:val="26"/>
                <w:color w:val="454546"/>
                <w:vertAlign w:val="superscript"/>
              </w:rPr>
              <w:t>(2)</w:t>
            </w:r>
          </w:p>
        </w:tc>
        <w:tc>
          <w:tcPr>
            <w:tcW w:w="18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30,650</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30,650</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60" w:type="dxa"/>
            <w:vAlign w:val="bottom"/>
            <w:shd w:val="clear" w:color="auto" w:fill="E5E6E7"/>
          </w:tcPr>
          <w:p>
            <w:pPr>
              <w:ind w:left="560"/>
              <w:spacing w:after="0"/>
              <w:rPr>
                <w:sz w:val="20"/>
                <w:szCs w:val="20"/>
                <w:color w:val="auto"/>
              </w:rPr>
            </w:pPr>
            <w:r>
              <w:rPr>
                <w:rFonts w:ascii="Times New Roman" w:cs="Times New Roman" w:eastAsia="Times New Roman" w:hAnsi="Times New Roman"/>
                <w:sz w:val="20"/>
                <w:szCs w:val="20"/>
                <w:color w:val="454546"/>
                <w:w w:val="89"/>
              </w:rPr>
              <w:t>—</w:t>
            </w:r>
          </w:p>
        </w:tc>
        <w:tc>
          <w:tcPr>
            <w:tcW w:w="2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454546"/>
              </w:rPr>
              <w:t xml:space="preserve">Capital commitment </w:t>
            </w:r>
            <w:r>
              <w:rPr>
                <w:rFonts w:ascii="Times New Roman" w:cs="Times New Roman" w:eastAsia="Times New Roman" w:hAnsi="Times New Roman"/>
                <w:sz w:val="26"/>
                <w:szCs w:val="26"/>
                <w:color w:val="454546"/>
                <w:vertAlign w:val="superscript"/>
              </w:rPr>
              <w:t>(3)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454546"/>
                <w:w w:val="89"/>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454546"/>
              </w:rPr>
              <w:t xml:space="preserve">Unrecognized tax benefits, including interest </w:t>
            </w:r>
            <w:r>
              <w:rPr>
                <w:rFonts w:ascii="Times New Roman" w:cs="Times New Roman" w:eastAsia="Times New Roman" w:hAnsi="Times New Roman"/>
                <w:sz w:val="26"/>
                <w:szCs w:val="26"/>
                <w:color w:val="454546"/>
                <w:vertAlign w:val="superscript"/>
              </w:rPr>
              <w:t>(4)</w:t>
            </w:r>
          </w:p>
        </w:tc>
        <w:tc>
          <w:tcPr>
            <w:tcW w:w="180" w:type="dxa"/>
            <w:vAlign w:val="bottom"/>
            <w:tcBorders>
              <w:bottom w:val="single" w:sz="8" w:color="454546"/>
            </w:tcBorders>
            <w:shd w:val="clear" w:color="auto" w:fill="E5E6E7"/>
          </w:tcPr>
          <w:p>
            <w:pPr>
              <w:spacing w:after="0"/>
              <w:rPr>
                <w:sz w:val="19"/>
                <w:szCs w:val="19"/>
                <w:color w:val="auto"/>
              </w:rPr>
            </w:pPr>
          </w:p>
        </w:tc>
        <w:tc>
          <w:tcPr>
            <w:tcW w:w="6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3,762</w:t>
            </w:r>
          </w:p>
        </w:tc>
        <w:tc>
          <w:tcPr>
            <w:tcW w:w="220" w:type="dxa"/>
            <w:vAlign w:val="bottom"/>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rPr>
                <w:sz w:val="19"/>
                <w:szCs w:val="19"/>
                <w:color w:val="auto"/>
              </w:rPr>
            </w:pP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rPr>
                <w:sz w:val="19"/>
                <w:szCs w:val="19"/>
                <w:color w:val="auto"/>
              </w:rPr>
            </w:pP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rPr>
                <w:sz w:val="19"/>
                <w:szCs w:val="19"/>
                <w:color w:val="auto"/>
              </w:rPr>
            </w:pPr>
          </w:p>
        </w:tc>
        <w:tc>
          <w:tcPr>
            <w:tcW w:w="760" w:type="dxa"/>
            <w:vAlign w:val="bottom"/>
            <w:tcBorders>
              <w:bottom w:val="single" w:sz="8" w:color="454546"/>
            </w:tcBorders>
            <w:shd w:val="clear" w:color="auto" w:fill="E5E6E7"/>
          </w:tcPr>
          <w:p>
            <w:pPr>
              <w:ind w:left="560"/>
              <w:spacing w:after="0"/>
              <w:rPr>
                <w:sz w:val="20"/>
                <w:szCs w:val="20"/>
                <w:color w:val="auto"/>
              </w:rPr>
            </w:pPr>
            <w:r>
              <w:rPr>
                <w:rFonts w:ascii="Times New Roman" w:cs="Times New Roman" w:eastAsia="Times New Roman" w:hAnsi="Times New Roman"/>
                <w:sz w:val="20"/>
                <w:szCs w:val="20"/>
                <w:color w:val="454546"/>
                <w:w w:val="89"/>
              </w:rPr>
              <w:t>—</w:t>
            </w:r>
          </w:p>
        </w:tc>
        <w:tc>
          <w:tcPr>
            <w:tcW w:w="220" w:type="dxa"/>
            <w:vAlign w:val="bottom"/>
            <w:shd w:val="clear" w:color="auto" w:fill="E5E6E7"/>
          </w:tcPr>
          <w:p>
            <w:pPr>
              <w:spacing w:after="0"/>
              <w:rPr>
                <w:sz w:val="19"/>
                <w:szCs w:val="19"/>
                <w:color w:val="auto"/>
              </w:rPr>
            </w:pPr>
          </w:p>
        </w:tc>
        <w:tc>
          <w:tcPr>
            <w:tcW w:w="140" w:type="dxa"/>
            <w:vAlign w:val="bottom"/>
            <w:tcBorders>
              <w:bottom w:val="single" w:sz="8" w:color="454546"/>
            </w:tcBorders>
            <w:shd w:val="clear" w:color="auto" w:fill="E5E6E7"/>
          </w:tcPr>
          <w:p>
            <w:pPr>
              <w:spacing w:after="0"/>
              <w:rPr>
                <w:sz w:val="19"/>
                <w:szCs w:val="19"/>
                <w:color w:val="auto"/>
              </w:rPr>
            </w:pPr>
          </w:p>
        </w:tc>
        <w:tc>
          <w:tcPr>
            <w:tcW w:w="7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shd w:val="clear" w:color="auto" w:fill="E5E6E7"/>
          </w:tcPr>
          <w:p>
            <w:pPr>
              <w:spacing w:after="0"/>
              <w:rPr>
                <w:sz w:val="19"/>
                <w:szCs w:val="19"/>
                <w:color w:val="auto"/>
              </w:rPr>
            </w:pPr>
          </w:p>
        </w:tc>
        <w:tc>
          <w:tcPr>
            <w:tcW w:w="160" w:type="dxa"/>
            <w:vAlign w:val="bottom"/>
            <w:tcBorders>
              <w:bottom w:val="single" w:sz="8" w:color="454546"/>
            </w:tcBorders>
            <w:shd w:val="clear" w:color="auto" w:fill="E5E6E7"/>
          </w:tcPr>
          <w:p>
            <w:pPr>
              <w:spacing w:after="0"/>
              <w:rPr>
                <w:sz w:val="19"/>
                <w:szCs w:val="19"/>
                <w:color w:val="auto"/>
              </w:rPr>
            </w:pPr>
          </w:p>
        </w:tc>
        <w:tc>
          <w:tcPr>
            <w:tcW w:w="7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3,762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454546"/>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55,760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39,261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12,347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20"/>
                <w:szCs w:val="20"/>
                <w:color w:val="454546"/>
                <w:w w:val="89"/>
              </w:rPr>
              <w:t>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3,762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454546"/>
              <w:bottom w:val="single" w:sz="8" w:color="454546"/>
            </w:tcBorders>
          </w:tcPr>
          <w:p>
            <w:pPr>
              <w:spacing w:after="0" w:line="20" w:lineRule="exact"/>
              <w:rPr>
                <w:sz w:val="1"/>
                <w:szCs w:val="1"/>
                <w:color w:val="auto"/>
              </w:rPr>
            </w:pPr>
          </w:p>
        </w:tc>
        <w:tc>
          <w:tcPr>
            <w:tcW w:w="68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76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760" w:type="dxa"/>
            <w:vAlign w:val="bottom"/>
            <w:tcBorders>
              <w:top w:val="single" w:sz="8" w:color="454546"/>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76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454546"/>
              <w:bottom w:val="single" w:sz="8" w:color="454546"/>
            </w:tcBorders>
          </w:tcPr>
          <w:p>
            <w:pPr>
              <w:spacing w:after="0" w:line="20" w:lineRule="exact"/>
              <w:rPr>
                <w:sz w:val="1"/>
                <w:szCs w:val="1"/>
                <w:color w:val="auto"/>
              </w:rPr>
            </w:pPr>
          </w:p>
        </w:tc>
        <w:tc>
          <w:tcPr>
            <w:tcW w:w="72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454546"/>
              <w:bottom w:val="single" w:sz="8" w:color="454546"/>
            </w:tcBorders>
          </w:tcPr>
          <w:p>
            <w:pPr>
              <w:spacing w:after="0" w:line="20" w:lineRule="exact"/>
              <w:rPr>
                <w:sz w:val="1"/>
                <w:szCs w:val="1"/>
                <w:color w:val="auto"/>
              </w:rPr>
            </w:pPr>
          </w:p>
        </w:tc>
        <w:tc>
          <w:tcPr>
            <w:tcW w:w="700" w:type="dxa"/>
            <w:vAlign w:val="bottom"/>
            <w:tcBorders>
              <w:top w:val="single" w:sz="8" w:color="454546"/>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00" w:right="100" w:hanging="500"/>
        <w:spacing w:after="0" w:line="254" w:lineRule="auto"/>
        <w:tabs>
          <w:tab w:leader="none" w:pos="5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Technology license obligations represent future cash payments for noncancelable internal-use software licenses used in product design.</w:t>
      </w:r>
    </w:p>
    <w:p>
      <w:pPr>
        <w:spacing w:after="0" w:line="1" w:lineRule="exact"/>
        <w:rPr>
          <w:rFonts w:ascii="Times New Roman" w:cs="Times New Roman" w:eastAsia="Times New Roman" w:hAnsi="Times New Roman"/>
          <w:sz w:val="20"/>
          <w:szCs w:val="20"/>
          <w:color w:val="454546"/>
        </w:rPr>
      </w:pPr>
    </w:p>
    <w:p>
      <w:pPr>
        <w:ind w:left="500" w:right="440" w:hanging="500"/>
        <w:spacing w:after="0"/>
        <w:tabs>
          <w:tab w:leader="none" w:pos="5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Manufacturing purchase commitments consist primarily of inventory purchase commitments with our independent contract manufacturers.</w:t>
      </w:r>
    </w:p>
    <w:p>
      <w:pPr>
        <w:ind w:left="500" w:hanging="500"/>
        <w:spacing w:after="0"/>
        <w:tabs>
          <w:tab w:leader="none" w:pos="5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Capital commitment represents future construction cost and lease payments for our office building constructed in Parma, Italy.</w:t>
      </w:r>
    </w:p>
    <w:p>
      <w:pPr>
        <w:ind w:left="500" w:right="100" w:hanging="500"/>
        <w:spacing w:after="0" w:line="244" w:lineRule="auto"/>
        <w:tabs>
          <w:tab w:leader="none" w:pos="5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Unrecognized tax benefits, including interest, represent our liabilities for uncertain tax positions as of January 31, 2024. We are unable to reasonably estimate the timing of payments in individual years due to uncertainties in the timing of the effective settlement of tax positions.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-1183640</wp:posOffset>
                </wp:positionV>
                <wp:extent cx="8915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1999pt" to="70.2pt,-93.1999pt" o:allowincell="f" strokecolor="#454546" strokeweight="0.5pt"/>
            </w:pict>
          </mc:Fallback>
        </mc:AlternateConten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62</w:t>
      </w:r>
    </w:p>
    <w:p>
      <w:pPr>
        <w:sectPr>
          <w:pgSz w:w="12240" w:h="15840" w:orient="portrait"/>
          <w:cols w:equalWidth="0" w:num="1">
            <w:col w:w="10800"/>
          </w:cols>
          <w:pgMar w:left="720" w:top="976" w:right="720" w:bottom="175" w:gutter="0" w:footer="0" w:header="0"/>
          <w:type w:val="continuous"/>
        </w:sectPr>
      </w:pPr>
    </w:p>
    <w:bookmarkStart w:id="67" w:name="page68"/>
    <w:bookmarkEnd w:id="67"/>
    <w:p>
      <w:pPr>
        <w:ind w:right="420" w:firstLine="490"/>
        <w:spacing w:after="0" w:line="258" w:lineRule="auto"/>
        <w:rPr>
          <w:sz w:val="20"/>
          <w:szCs w:val="20"/>
          <w:color w:val="auto"/>
        </w:rPr>
      </w:pPr>
      <w:r>
        <w:rPr>
          <w:rFonts w:ascii="Times New Roman" w:cs="Times New Roman" w:eastAsia="Times New Roman" w:hAnsi="Times New Roman"/>
          <w:sz w:val="20"/>
          <w:szCs w:val="20"/>
          <w:color w:val="454546"/>
        </w:rPr>
        <w:t>We also have lease obligations primarily for our worldwide office facilities. As of January 31, 2024, these lease obligations were a total of $5.5 million, with $3.6 million due in the next 12 months. Refer to Note 9 Leases within Notes to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Stock Options and Restricted Stock Units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Grants of stock-based awards are key components of the compensation packages we provide to attract and retain employees and to align their interests with the interests of shareholders. We recognize that these stock-based awards will dilute existing shareholders and have sought to limit the number of shares granted while providing competitive compensation packages. As of January 31, 2024, we had a total of 2.7 million ordinary shares subject to outstanding stock options and unvested restricted stock units, which will dilute our existing shareholders. This potential dilution will only result if outstanding options vest and are exercised and restricted stock units vest and are settled.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Accounting Pronouncements</w:t>
      </w:r>
    </w:p>
    <w:p>
      <w:pPr>
        <w:spacing w:after="0" w:line="23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Accounting Policies and Significant Management Estimates</w:t>
      </w:r>
    </w:p>
    <w:p>
      <w:pPr>
        <w:spacing w:after="0" w:line="24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business combinations; (ii) write downs of excess and obsolete inventories; (iii) the estimated useful lives of long-lived assets; (iv) the valuation of stock-based compensation awards; (v)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we believe to be reasonable under the circumstances. We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96"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We believe that the accounting policies discussed below are critical to understanding our historical and future performance, as these policies relate to the more significant areas involving management’s judgment and estimates: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Business Combination</w:t>
      </w:r>
    </w:p>
    <w:p>
      <w:pPr>
        <w:spacing w:after="0" w:line="23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454546"/>
        </w:rPr>
        <w:t>In the application of purchase accounting in a business combination, we allocate the purchase price to the assets acquired and liabilities assumed based on their estimated fair values. The excess of the purchase price over the fair values of the identifiable assets and liabilities is recorded as goodwill. We identify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we are required to make significant estimates and assumptions. Critical estimates and assumptions used in valuation techniques include, but are not limited to, revenue growth, technology migration curve, customer attrition rate, royalty rates and risk-adjusted discount rates. Our estimates are based on historical data, various internal estimates, and external sources that we believe to be reasonable upon the acquisition date. Actual results could differ from these estimates under different assumptions or circumstances and such differences could be material.</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Revenue Recognition</w:t>
      </w:r>
    </w:p>
    <w:p>
      <w:pPr>
        <w:spacing w:after="0" w:line="120"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454546"/>
        </w:rPr>
        <w:t>In accordance with Accounting Standards Codification (ASC) 606, Revenue from Contracts with Customers,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ectPr>
          <w:pgSz w:w="12240" w:h="15840" w:orient="portrait"/>
          <w:cols w:equalWidth="0" w:num="1">
            <w:col w:w="10800"/>
          </w:cols>
          <w:pgMar w:left="720" w:top="1206" w:right="720" w:bottom="175"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63</w:t>
      </w:r>
    </w:p>
    <w:p>
      <w:pPr>
        <w:sectPr>
          <w:pgSz w:w="12240" w:h="15840" w:orient="portrait"/>
          <w:cols w:equalWidth="0" w:num="1">
            <w:col w:w="10800"/>
          </w:cols>
          <w:pgMar w:left="720" w:top="1206" w:right="720" w:bottom="175" w:gutter="0" w:footer="0" w:header="0"/>
          <w:type w:val="continuous"/>
        </w:sectPr>
      </w:pPr>
    </w:p>
    <w:bookmarkStart w:id="68" w:name="page69"/>
    <w:bookmarkEnd w:id="68"/>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For a limited number of contracts that include volume-based tiered pricing,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9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We also enter into various project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For fixed-price project service contracts, we recognize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we recognize revenue in the amount for which we have the right to invoice as we believe the amount invoiced directly corresponds with the value to the customer of our performance completed to date.</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454546"/>
        </w:rPr>
        <w:t>Timing of revenue recognition may differ from the timing of invoicing to our customers. We record contract assets when revenue is recognized prior to invoicing. Our contract assets are primarily related to the satisfied but unbilled performance obligations associated with project service agreements at the reporting date. As of January 31, 2024 and 2023, the contract assets for these unbilled receivables were not material, respectively. Our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During fiscal year 2024, we recognized approximately $2.2 million of revenue that was included in the deferred revenue balance at January 31, 2023.</w:t>
      </w:r>
    </w:p>
    <w:p>
      <w:pPr>
        <w:spacing w:after="0" w:line="82"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454546"/>
        </w:rPr>
        <w:t>As of January 31, 2024, the amount of remaining unsatisfied performance obligations on contracts, primarily consisting of product purchase orders with original contract duration of more than one year, was approximately $6.9 million, of which approximately 96% is expected to be recognized within the next 12 months. We also elect not to disclose the value of unsatisfied or partially unsatisfied performance obligations for contracts with original expected contract duration of one year or less, and elect to exclude amounts collected from customers for all sales taxes from the transaction price.</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Inventory Valuation</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64</w:t>
      </w:r>
    </w:p>
    <w:p>
      <w:pPr>
        <w:sectPr>
          <w:pgSz w:w="12240" w:h="15840" w:orient="portrait"/>
          <w:cols w:equalWidth="0" w:num="1">
            <w:col w:w="10800"/>
          </w:cols>
          <w:pgMar w:left="720" w:top="976" w:right="720" w:bottom="175" w:gutter="0" w:footer="0" w:header="0"/>
          <w:type w:val="continuous"/>
        </w:sectPr>
      </w:pPr>
    </w:p>
    <w:bookmarkStart w:id="69" w:name="page70"/>
    <w:bookmarkEnd w:id="69"/>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Goodwill</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We do not amortize goodwill. We test goodwill for impairment at least annually in the fourth fiscal quarter, or sooner whenever events or changes in circumstances indicate that the asset may be impaired. There is only one single reporting unit for goodwill impairment test purposes based on our business and reporting structure. We are permitted to first assess qualitative factors to determine whether the two step goodwill impairment test is necessary. Further testing is only required if we determine,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20"/>
          <w:szCs w:val="20"/>
          <w:color w:val="515153"/>
        </w:rPr>
        <w:t>.</w:t>
      </w:r>
      <w:r>
        <w:rPr>
          <w:rFonts w:ascii="Times New Roman" w:cs="Times New Roman" w:eastAsia="Times New Roman" w:hAnsi="Times New Roman"/>
          <w:sz w:val="20"/>
          <w:szCs w:val="20"/>
          <w:color w:val="454546"/>
        </w:rPr>
        <w:t xml:space="preserve"> No goodwill impairment has been identified to date based on our qualitative factors assessment.</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right="160" w:firstLine="490"/>
        <w:spacing w:after="0" w:line="242" w:lineRule="auto"/>
        <w:rPr>
          <w:sz w:val="20"/>
          <w:szCs w:val="20"/>
          <w:color w:val="auto"/>
        </w:rPr>
      </w:pPr>
      <w:r>
        <w:rPr>
          <w:rFonts w:ascii="Times New Roman" w:cs="Times New Roman" w:eastAsia="Times New Roman" w:hAnsi="Times New Roman"/>
          <w:sz w:val="20"/>
          <w:szCs w:val="20"/>
          <w:color w:val="454546"/>
        </w:rPr>
        <w:t>We measure stock-based compensation for equity awards granted to employees and directors based on the estimated fair value on the grant date, and recognize that compensation as expense using the straight-line attribution method for service condition awards or using the graded-vesting attribution method for awards with performance conditions over the requisite service period, which is typically the vesting period of each award. We determine the fair value of restricted stock and restricted stock units with service or performance conditions based on the fair market value of our ordinary shares on the grant date. We use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We calculate expected volatility based on our own historical stock price for a period commensurate with the expected term, which is computed based on our own historical exercise behavior. The risk-free interest rate is derived from an average of the U.S. Treasury constant maturity rates for the respective periods most closely commensurate with the expected term. The expected dividend yield is zero because we have not historically paid dividends and have no present intention to pay dividends. We use the Lattice pricing model and perform Monte Carlo Simulations to evaluate the fair value of awards with market conditions, including assumptions of historical volatility and risk-free interest rate commensurate with the vesting term. We elect to account for forfeitures as they occur.</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Income Taxes</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7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454546"/>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8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65</w:t>
      </w:r>
    </w:p>
    <w:p>
      <w:pPr>
        <w:sectPr>
          <w:pgSz w:w="12240" w:h="15840" w:orient="portrait"/>
          <w:cols w:equalWidth="0" w:num="1">
            <w:col w:w="10800"/>
          </w:cols>
          <w:pgMar w:left="720" w:top="976" w:right="72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454546"/>
        </w:rPr>
        <w:t>ITEM 7A. QUANTITATIVE AND QUALITATIVE DISCLOSURES ABOUT MARKET RISK</w:t>
      </w:r>
    </w:p>
    <w:p>
      <w:pPr>
        <w:spacing w:after="0" w:line="12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454546"/>
        </w:rPr>
        <w:t>We had cash, cash equivalents and marketable debt securities totaling $219.9 million and $206.9 million at January 31, 2024 and 2023,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commercial paper, corporate bonds, asset-backed securities and U.S. government securities. Our cash is held primarily for working capital purposes. We do not enter into investments for trading or speculative purposes.</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Interest Rate Fluctuation Risk</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primary objective of our investment activities is to preserve capital, and provide both, liquidity and income, without significantly increasing risk. Some of the securities we invest in are subject to market risk. This means that a change in prevailing interest rates may have an impact on interest income and the fair market value of those securities. To minimize this risk, we maintain our portfolio in a variety of debt securities with high liquidity and low credit risk. The current inflationary environment in the United States and resulting high interest rates have generated high interest income and have not had a material negative impact on our investment portfolio and financial position to date. We do not enter into investments for trading or speculative purposes. As of January 31, 2024, a hypothetical 10% change in interest rates would not have a material impact on our interest income or investment fair value.</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Foreign Currency Risk</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ectPr>
          <w:pgSz w:w="12240" w:h="15840" w:orient="portrait"/>
          <w:cols w:equalWidth="0" w:num="1">
            <w:col w:w="10780"/>
          </w:cols>
          <w:pgMar w:left="720" w:top="97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66</w:t>
      </w:r>
    </w:p>
    <w:p>
      <w:pPr>
        <w:sectPr>
          <w:pgSz w:w="12240" w:h="15840" w:orient="portrait"/>
          <w:cols w:equalWidth="0" w:num="1">
            <w:col w:w="10780"/>
          </w:cols>
          <w:pgMar w:left="720" w:top="972" w:right="740" w:bottom="175"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454546"/>
        </w:rPr>
        <w:t>ITEM 8. FINANCIAL STATEMENTS AND SUPPLEMENTARY DATA</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The financial statements required by this Item are set forth as a separate section of this Annual Report on Form 10-K. See Item 15 for a listing of financial statements provided in the section titled “Financial Statements.”</w:t>
      </w:r>
    </w:p>
    <w:p>
      <w:pPr>
        <w:sectPr>
          <w:pgSz w:w="12240" w:h="15840" w:orient="portrait"/>
          <w:cols w:equalWidth="0" w:num="1">
            <w:col w:w="10640"/>
          </w:cols>
          <w:pgMar w:left="720" w:top="972"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454546"/>
        </w:rPr>
        <w:t>67</w:t>
      </w:r>
    </w:p>
    <w:p>
      <w:pPr>
        <w:sectPr>
          <w:pgSz w:w="12240" w:h="15840" w:orient="portrait"/>
          <w:cols w:equalWidth="0" w:num="1">
            <w:col w:w="10640"/>
          </w:cols>
          <w:pgMar w:left="720" w:top="972" w:right="880" w:bottom="175" w:gutter="0" w:footer="0" w:header="0"/>
          <w:type w:val="continuous"/>
        </w:sectPr>
      </w:pPr>
    </w:p>
    <w:bookmarkStart w:id="72" w:name="page73"/>
    <w:bookmarkEnd w:id="72"/>
    <w:p>
      <w:pPr>
        <w:ind w:right="800"/>
        <w:spacing w:after="0" w:line="276" w:lineRule="auto"/>
        <w:rPr>
          <w:sz w:val="20"/>
          <w:szCs w:val="20"/>
          <w:color w:val="auto"/>
        </w:rPr>
      </w:pPr>
      <w:r>
        <w:rPr>
          <w:rFonts w:ascii="Times New Roman" w:cs="Times New Roman" w:eastAsia="Times New Roman" w:hAnsi="Times New Roman"/>
          <w:sz w:val="20"/>
          <w:szCs w:val="20"/>
          <w:b w:val="1"/>
          <w:bCs w:val="1"/>
          <w:color w:val="454546"/>
        </w:rPr>
        <w:t>ITEM 9. CHANGES IN AND DISAGREEMENTS WITH ACCOUNTANTS ON ACCOUNTING AND FINANCIAL DISCLOSURE</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9A. CONTROLS AND PROCEDURES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Evaluation of Disclosure Controls and Procedures</w:t>
      </w:r>
    </w:p>
    <w:p>
      <w:pPr>
        <w:spacing w:after="0" w:line="12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Our management, with the participation of our Principal Executive Officer and Principal Financial Officer, has evaluated the effectiveness of our disclosure controls and procedures as of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Based upon such evaluation, our Principal Executive Officer and Principal Financial Officer have concluded that due to the material weakness in our internal control over financial reporting described below, as of January 31, 2024, our disclosure controls and procedures were not effective at a reasonable assurance level. The material weakness did not result in a material misstatement to the current fiscal year’s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Management’s Report on Internal Control over Financial Reporting</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 xml:space="preserve">Management has evaluated the effectiveness of our internal control over financial reporting based on the framework in </w:t>
      </w:r>
      <w:r>
        <w:rPr>
          <w:rFonts w:ascii="Times New Roman" w:cs="Times New Roman" w:eastAsia="Times New Roman" w:hAnsi="Times New Roman"/>
          <w:sz w:val="20"/>
          <w:szCs w:val="20"/>
          <w:i w:val="1"/>
          <w:iCs w:val="1"/>
          <w:color w:val="454546"/>
        </w:rPr>
        <w:t>Internal</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Control-Integrated Framework (2013)</w:t>
      </w:r>
      <w:r>
        <w:rPr>
          <w:rFonts w:ascii="Times New Roman" w:cs="Times New Roman" w:eastAsia="Times New Roman" w:hAnsi="Times New Roman"/>
          <w:sz w:val="20"/>
          <w:szCs w:val="20"/>
          <w:color w:val="454546"/>
        </w:rPr>
        <w:t>, issued by the Committee of Sponsoring Organizations of the Treadway Commission (COSO).</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Based on this evaluation, management has concluded that the Company did not maintain effective internal control over financial reporting as of January 31, 2024.</w:t>
      </w:r>
    </w:p>
    <w:p>
      <w:pPr>
        <w:spacing w:after="0" w:line="75"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454546"/>
        </w:rPr>
        <w:t>In connection with the preparation of the Company's consolidated financial statements, a material weakness was identified in our internal control over financial reporting as of January 31, 2024.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the Company’s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82" w:lineRule="exact"/>
        <w:rPr>
          <w:sz w:val="20"/>
          <w:szCs w:val="20"/>
          <w:color w:val="auto"/>
        </w:rPr>
      </w:pPr>
    </w:p>
    <w:p>
      <w:pPr>
        <w:ind w:right="600" w:firstLine="490"/>
        <w:spacing w:after="0" w:line="305" w:lineRule="auto"/>
        <w:rPr>
          <w:sz w:val="20"/>
          <w:szCs w:val="20"/>
          <w:color w:val="auto"/>
        </w:rPr>
      </w:pPr>
      <w:r>
        <w:rPr>
          <w:rFonts w:ascii="Times New Roman" w:cs="Times New Roman" w:eastAsia="Times New Roman" w:hAnsi="Times New Roman"/>
          <w:sz w:val="19"/>
          <w:szCs w:val="19"/>
          <w:color w:val="454546"/>
        </w:rPr>
        <w:t>The effectiveness of our internal control over financial reporting as of January 31, 2024 has been audited by PricewaterhouseCoopers LLP, an independent registered public accounting firm, as stated in their report, which appears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Remediation Plan</w:t>
      </w:r>
    </w:p>
    <w:p>
      <w:pPr>
        <w:spacing w:after="0" w:line="23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Management is committed to remediating the material weakness in a timely manner. Our remediation process includes, but is not limited to:</w:t>
      </w:r>
    </w:p>
    <w:p>
      <w:pPr>
        <w:spacing w:after="0" w:line="63" w:lineRule="exact"/>
        <w:rPr>
          <w:sz w:val="20"/>
          <w:szCs w:val="20"/>
          <w:color w:val="auto"/>
        </w:rPr>
      </w:pPr>
    </w:p>
    <w:p>
      <w:pPr>
        <w:ind w:left="980" w:right="80" w:hanging="491"/>
        <w:spacing w:after="0" w:line="258" w:lineRule="auto"/>
        <w:tabs>
          <w:tab w:leader="none" w:pos="980" w:val="left"/>
        </w:tabs>
        <w:numPr>
          <w:ilvl w:val="0"/>
          <w:numId w:val="26"/>
        </w:numPr>
        <w:rPr>
          <w:rFonts w:ascii="Arial" w:cs="Arial" w:eastAsia="Arial" w:hAnsi="Arial"/>
          <w:sz w:val="20"/>
          <w:szCs w:val="20"/>
          <w:color w:val="454546"/>
        </w:rPr>
      </w:pPr>
      <w:r>
        <w:rPr>
          <w:rFonts w:ascii="Times New Roman" w:cs="Times New Roman" w:eastAsia="Times New Roman" w:hAnsi="Times New Roman"/>
          <w:sz w:val="20"/>
          <w:szCs w:val="20"/>
          <w:color w:val="454546"/>
        </w:rPr>
        <w:t>Strengthening the existing internal controls related to the evaluation of tax deductions and recognition and measurement of deferred tax assets, including, hiring of experienced personnel, as well as higher engagement of external subject matter experts for complicated tax matters;</w:t>
      </w:r>
    </w:p>
    <w:p>
      <w:pPr>
        <w:sectPr>
          <w:pgSz w:w="12240" w:h="15840" w:orient="portrait"/>
          <w:cols w:equalWidth="0" w:num="1">
            <w:col w:w="10800"/>
          </w:cols>
          <w:pgMar w:left="720" w:top="964" w:right="720" w:bottom="175"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68</w:t>
      </w:r>
    </w:p>
    <w:p>
      <w:pPr>
        <w:sectPr>
          <w:pgSz w:w="12240" w:h="15840" w:orient="portrait"/>
          <w:cols w:equalWidth="0" w:num="1">
            <w:col w:w="10800"/>
          </w:cols>
          <w:pgMar w:left="720" w:top="964" w:right="720" w:bottom="175" w:gutter="0" w:footer="0" w:header="0"/>
          <w:type w:val="continuous"/>
        </w:sectPr>
      </w:pPr>
    </w:p>
    <w:bookmarkStart w:id="73" w:name="page74"/>
    <w:bookmarkEnd w:id="73"/>
    <w:p>
      <w:pPr>
        <w:ind w:left="980" w:hanging="491"/>
        <w:spacing w:after="0"/>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Implementing specific review procedures designed to enhance our income tax monitoring control; and</w:t>
      </w:r>
    </w:p>
    <w:p>
      <w:pPr>
        <w:spacing w:after="0" w:line="133" w:lineRule="exact"/>
        <w:rPr>
          <w:rFonts w:ascii="Arial" w:cs="Arial" w:eastAsia="Arial" w:hAnsi="Arial"/>
          <w:sz w:val="20"/>
          <w:szCs w:val="20"/>
          <w:color w:val="454546"/>
        </w:rPr>
      </w:pPr>
    </w:p>
    <w:p>
      <w:pPr>
        <w:ind w:left="980" w:right="220" w:hanging="491"/>
        <w:spacing w:after="0" w:line="276" w:lineRule="auto"/>
        <w:tabs>
          <w:tab w:leader="none" w:pos="980" w:val="left"/>
        </w:tabs>
        <w:numPr>
          <w:ilvl w:val="0"/>
          <w:numId w:val="27"/>
        </w:numPr>
        <w:rPr>
          <w:rFonts w:ascii="Arial" w:cs="Arial" w:eastAsia="Arial" w:hAnsi="Arial"/>
          <w:sz w:val="20"/>
          <w:szCs w:val="20"/>
          <w:color w:val="454546"/>
        </w:rPr>
      </w:pPr>
      <w:r>
        <w:rPr>
          <w:rFonts w:ascii="Times New Roman" w:cs="Times New Roman" w:eastAsia="Times New Roman" w:hAnsi="Times New Roman"/>
          <w:sz w:val="20"/>
          <w:szCs w:val="20"/>
          <w:color w:val="454546"/>
        </w:rPr>
        <w:t>Strengthening our current income tax control activities with improved documentation standards, technical oversight and training.</w:t>
      </w:r>
    </w:p>
    <w:p>
      <w:pPr>
        <w:spacing w:after="0" w:line="16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454546"/>
        </w:rPr>
        <w:t>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operating effectively.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Changes in Internal Control over Financial Reporting</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There were no changes in our internal control over financial reporting during the Company’s fiscal quarter ended January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2024 that have materially affected, or are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Inherent Limitations of Disclosure Controls and Internal Control over Financial Reporting</w:t>
      </w:r>
    </w:p>
    <w:p>
      <w:pPr>
        <w:spacing w:after="0" w:line="23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454546"/>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9B. OTHER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Securities Trading Plans of Directors and Executive Officers</w:t>
      </w:r>
    </w:p>
    <w:p>
      <w:pPr>
        <w:spacing w:after="0" w:line="228"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454546"/>
        </w:rPr>
        <w:t>During our last fiscal quarter of fiscal year 2024, no director or officer, as defined in Rule 16a-1(f), adopted or terminated a “Rule 10b5-1 trading arrangement” or a “non-Rule 10b5-1 trading arrangement,” each as defined in Regulation S-K Item 408.</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Not applicable.</w:t>
      </w:r>
    </w:p>
    <w:p>
      <w:pPr>
        <w:sectPr>
          <w:pgSz w:w="12240" w:h="15840" w:orient="portrait"/>
          <w:cols w:equalWidth="0" w:num="1">
            <w:col w:w="10800"/>
          </w:cols>
          <w:pgMar w:left="720" w:top="99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69</w:t>
      </w:r>
    </w:p>
    <w:p>
      <w:pPr>
        <w:sectPr>
          <w:pgSz w:w="12240" w:h="15840" w:orient="portrait"/>
          <w:cols w:equalWidth="0" w:num="1">
            <w:col w:w="10800"/>
          </w:cols>
          <w:pgMar w:left="720" w:top="990" w:right="720" w:bottom="175" w:gutter="0" w:footer="0" w:header="0"/>
          <w:type w:val="continuous"/>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20"/>
          <w:szCs w:val="20"/>
          <w:b w:val="1"/>
          <w:bCs w:val="1"/>
          <w:color w:val="454546"/>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10. DIRECTORS, EXECUTIVE OFFICERS AND CORPORATE GOVERNANCE</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The information responsive to this item is incorporated herein by reference to our Proxy Statement for our 2024 annual meeting of shareholders to be filed with the Securities and Exchange Commission pursuant to Regulation 14A not later than 120 days after the end of the fiscal year covered by this Annual Report on Form 10-K.</w:t>
      </w:r>
    </w:p>
    <w:p>
      <w:pPr>
        <w:spacing w:after="0" w:line="1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11. EXECUTIVE COMPENSATION</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The information responsive to this item is incorporated herein by reference to our Proxy Statement for our 2024 annual meeting of shareholders to be filed with the Securities and Exchange Commission pursuant to Regulation 14A not later than 120 days after the end of the fiscal year covered by this Annual Report on Form 10-K.</w:t>
      </w:r>
    </w:p>
    <w:p>
      <w:pPr>
        <w:spacing w:after="0" w:line="3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0"/>
          <w:szCs w:val="20"/>
          <w:b w:val="1"/>
          <w:bCs w:val="1"/>
          <w:color w:val="454546"/>
        </w:rPr>
        <w:t>ITEM 12. SECURITY OWNERSHIP OF CERTAIN BENEFICIAL OWNERS AND MANAGEMENT AND RELATED STOCKHOLDER MATTERS</w:t>
      </w:r>
    </w:p>
    <w:p>
      <w:pPr>
        <w:spacing w:after="0" w:line="36"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The information responsive to this item is incorporated herein by reference to our Proxy Statement for our 2024 annual meeting of shareholders to be filed with the Securities and Exchange Commission pursuant to Regulation 14A not later than 120 days after the end of the fiscal year covered by this Annual Report on Form 10-K.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13. CERTAIN RELATIONSHIPS AND RELATED TRANSACTIONS, AND DIRECTOR INDEPENDENCE</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The information responsive to this item is incorporated herein by reference to our Proxy Statement for our 2024 annual meeting of shareholders to be filed with the Securities and Exchange Commission pursuant to Regulation 14A not later than 120 days after the end of the fiscal year covered by this Annual Report on Form 10-K.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14. PRINCIPAL ACCOUNTANT FEES AND SERVICES</w:t>
      </w:r>
    </w:p>
    <w:p>
      <w:pPr>
        <w:spacing w:after="0" w:line="12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454546"/>
        </w:rPr>
        <w:t>The information responsive to this item is incorporated herein by reference to our Proxy Statement for our 2024 annual meeting of shareholders to be filed with the Securities and Exchange Commission pursuant to Regulation 14A not later than 120 days after the end of the fiscal year covered by this Annual Report on Form 10-K.</w:t>
      </w:r>
    </w:p>
    <w:p>
      <w:pPr>
        <w:sectPr>
          <w:pgSz w:w="12240" w:h="15840" w:orient="portrait"/>
          <w:cols w:equalWidth="0" w:num="1">
            <w:col w:w="10720"/>
          </w:cols>
          <w:pgMar w:left="720" w:top="972" w:right="8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54546"/>
        </w:rPr>
        <w:t>70</w:t>
      </w:r>
    </w:p>
    <w:p>
      <w:pPr>
        <w:sectPr>
          <w:pgSz w:w="12240" w:h="15840" w:orient="portrait"/>
          <w:cols w:equalWidth="0" w:num="1">
            <w:col w:w="10720"/>
          </w:cols>
          <w:pgMar w:left="720" w:top="972" w:right="800" w:bottom="175" w:gutter="0" w:footer="0" w:header="0"/>
          <w:type w:val="continuous"/>
        </w:sectPr>
      </w:pPr>
    </w:p>
    <w:bookmarkStart w:id="75" w:name="page76"/>
    <w:bookmarkEnd w:id="75"/>
    <w:p>
      <w:pPr>
        <w:jc w:val="center"/>
        <w:ind w:right="-139"/>
        <w:spacing w:after="0"/>
        <w:rPr>
          <w:sz w:val="20"/>
          <w:szCs w:val="20"/>
          <w:color w:val="auto"/>
        </w:rPr>
      </w:pPr>
      <w:r>
        <w:rPr>
          <w:rFonts w:ascii="Times New Roman" w:cs="Times New Roman" w:eastAsia="Times New Roman" w:hAnsi="Times New Roman"/>
          <w:sz w:val="20"/>
          <w:szCs w:val="20"/>
          <w:b w:val="1"/>
          <w:bCs w:val="1"/>
          <w:color w:val="454546"/>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ITEM 15. EXHIBITS AND FINANCIAL STATEMENT SCHEDULES</w:t>
      </w:r>
    </w:p>
    <w:p>
      <w:pPr>
        <w:spacing w:after="0" w:line="120" w:lineRule="exact"/>
        <w:rPr>
          <w:sz w:val="20"/>
          <w:szCs w:val="20"/>
          <w:color w:val="auto"/>
        </w:rPr>
      </w:pPr>
    </w:p>
    <w:p>
      <w:pPr>
        <w:ind w:left="500" w:hanging="500"/>
        <w:spacing w:after="0"/>
        <w:tabs>
          <w:tab w:leader="none" w:pos="500" w:val="left"/>
        </w:tabs>
        <w:numPr>
          <w:ilvl w:val="0"/>
          <w:numId w:val="28"/>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b w:val="1"/>
          <w:bCs w:val="1"/>
          <w:color w:val="454546"/>
        </w:rPr>
        <w:t>(1) Financial Statements</w:t>
      </w:r>
    </w:p>
    <w:p>
      <w:pPr>
        <w:spacing w:after="0" w:line="12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following consolidated financial statements of the Registrant and Report of PricewaterhouseCoopers LLP, Independent Registered Public Accounting Firm, are included herewith:</w:t>
      </w:r>
    </w:p>
    <w:p>
      <w:pPr>
        <w:spacing w:after="0" w:line="159" w:lineRule="exact"/>
        <w:rPr>
          <w:sz w:val="20"/>
          <w:szCs w:val="20"/>
          <w:color w:val="auto"/>
        </w:rPr>
      </w:pPr>
    </w:p>
    <w:p>
      <w:pPr>
        <w:ind w:left="560"/>
        <w:spacing w:after="0"/>
        <w:tabs>
          <w:tab w:leader="none" w:pos="9880" w:val="left"/>
        </w:tabs>
        <w:rPr>
          <w:sz w:val="20"/>
          <w:szCs w:val="20"/>
          <w:color w:val="auto"/>
        </w:rPr>
      </w:pPr>
      <w:r>
        <w:rPr>
          <w:rFonts w:ascii="Times New Roman" w:cs="Times New Roman" w:eastAsia="Times New Roman" w:hAnsi="Times New Roman"/>
          <w:sz w:val="16"/>
          <w:szCs w:val="16"/>
          <w:b w:val="1"/>
          <w:bCs w:val="1"/>
          <w:u w:val="single" w:color="auto"/>
          <w:color w:val="454546"/>
        </w:rPr>
        <w:t>Financial Statement Description</w:t>
      </w:r>
      <w:r>
        <w:rPr>
          <w:sz w:val="20"/>
          <w:szCs w:val="20"/>
          <w:color w:val="auto"/>
        </w:rPr>
        <w:tab/>
      </w:r>
      <w:r>
        <w:rPr>
          <w:rFonts w:ascii="Times New Roman" w:cs="Times New Roman" w:eastAsia="Times New Roman" w:hAnsi="Times New Roman"/>
          <w:sz w:val="15"/>
          <w:szCs w:val="15"/>
          <w:b w:val="1"/>
          <w:bCs w:val="1"/>
          <w:u w:val="single" w:color="auto"/>
          <w:color w:val="454546"/>
        </w:rPr>
        <w:t>Page</w:t>
      </w:r>
    </w:p>
    <w:p>
      <w:pPr>
        <w:spacing w:after="0" w:line="37" w:lineRule="exact"/>
        <w:rPr>
          <w:sz w:val="20"/>
          <w:szCs w:val="20"/>
          <w:color w:val="auto"/>
        </w:rPr>
      </w:pPr>
    </w:p>
    <w:p>
      <w:pPr>
        <w:ind w:left="980"/>
        <w:spacing w:after="0"/>
        <w:tabs>
          <w:tab w:leader="none" w:pos="1300" w:val="left"/>
          <w:tab w:leader="dot"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 xml:space="preserve">Report of Independent Registered Public Accounting Firm </w:t>
      </w:r>
      <w:r>
        <w:rPr>
          <w:rFonts w:ascii="Times New Roman" w:cs="Times New Roman" w:eastAsia="Times New Roman" w:hAnsi="Times New Roman"/>
          <w:sz w:val="20"/>
          <w:szCs w:val="20"/>
          <w:color w:val="454546"/>
        </w:rPr>
        <w:t>(PCAOB ID: 238)</w:t>
      </w:r>
      <w:r>
        <w:rPr>
          <w:sz w:val="20"/>
          <w:szCs w:val="20"/>
          <w:color w:val="auto"/>
        </w:rPr>
        <w:tab/>
      </w:r>
      <w:r>
        <w:rPr>
          <w:rFonts w:ascii="Times New Roman" w:cs="Times New Roman" w:eastAsia="Times New Roman" w:hAnsi="Times New Roman"/>
          <w:sz w:val="20"/>
          <w:szCs w:val="20"/>
          <w:color w:val="454546"/>
        </w:rPr>
        <w:t>72</w:t>
      </w:r>
    </w:p>
    <w:p>
      <w:pPr>
        <w:spacing w:after="0" w:line="11" w:lineRule="exact"/>
        <w:rPr>
          <w:sz w:val="20"/>
          <w:szCs w:val="20"/>
          <w:color w:val="auto"/>
        </w:rPr>
      </w:pPr>
    </w:p>
    <w:p>
      <w:pPr>
        <w:ind w:left="980"/>
        <w:spacing w:after="0"/>
        <w:tabs>
          <w:tab w:leader="none" w:pos="1300" w:val="left"/>
          <w:tab w:leader="dot"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Consolidated Balance Sheets As of January 31, 2024 and 2023</w:t>
      </w:r>
      <w:r>
        <w:rPr>
          <w:sz w:val="20"/>
          <w:szCs w:val="20"/>
          <w:color w:val="auto"/>
        </w:rPr>
        <w:tab/>
      </w:r>
      <w:r>
        <w:rPr>
          <w:rFonts w:ascii="Times New Roman" w:cs="Times New Roman" w:eastAsia="Times New Roman" w:hAnsi="Times New Roman"/>
          <w:sz w:val="20"/>
          <w:szCs w:val="20"/>
          <w:color w:val="454546"/>
        </w:rPr>
        <w:t>74</w:t>
      </w:r>
    </w:p>
    <w:p>
      <w:pPr>
        <w:ind w:left="980"/>
        <w:spacing w:after="0"/>
        <w:tabs>
          <w:tab w:leader="none" w:pos="1300" w:val="left"/>
          <w:tab w:leader="dot"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Consolidated Statements of Operations For the Years Ended January 31, 2024, 2023 and 2022</w:t>
      </w:r>
      <w:r>
        <w:rPr>
          <w:sz w:val="20"/>
          <w:szCs w:val="20"/>
          <w:color w:val="auto"/>
        </w:rPr>
        <w:tab/>
      </w:r>
      <w:r>
        <w:rPr>
          <w:rFonts w:ascii="Times New Roman" w:cs="Times New Roman" w:eastAsia="Times New Roman" w:hAnsi="Times New Roman"/>
          <w:sz w:val="20"/>
          <w:szCs w:val="20"/>
          <w:color w:val="454546"/>
        </w:rPr>
        <w:t>75</w:t>
      </w:r>
    </w:p>
    <w:p>
      <w:pPr>
        <w:ind w:left="980"/>
        <w:spacing w:after="0"/>
        <w:tabs>
          <w:tab w:leader="none" w:pos="1300" w:val="left"/>
          <w:tab w:leader="none"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Consolidated Statements of Comprehensive Loss For the Years Ended January 31, 2024, 2023 and 2022</w:t>
      </w: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color w:val="454546"/>
        </w:rPr>
        <w:t>76</w:t>
      </w:r>
    </w:p>
    <w:p>
      <w:pPr>
        <w:ind w:left="1320" w:hanging="337"/>
        <w:spacing w:after="0"/>
        <w:tabs>
          <w:tab w:leader="none" w:pos="132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u w:val="single" w:color="auto"/>
          <w:color w:val="656769"/>
        </w:rPr>
        <w:t>Consolidated Statements of Shareholders’ Equity For the Years Ended January 31, 2024, 2023 and 2022</w:t>
      </w:r>
      <w:r>
        <w:rPr>
          <w:rFonts w:ascii="Times New Roman" w:cs="Times New Roman" w:eastAsia="Times New Roman" w:hAnsi="Times New Roman"/>
          <w:sz w:val="20"/>
          <w:szCs w:val="20"/>
          <w:color w:val="656769"/>
        </w:rPr>
        <w:t xml:space="preserve"> </w:t>
      </w:r>
      <w:r>
        <w:rPr>
          <w:rFonts w:ascii="Times New Roman" w:cs="Times New Roman" w:eastAsia="Times New Roman" w:hAnsi="Times New Roman"/>
          <w:sz w:val="20"/>
          <w:szCs w:val="20"/>
          <w:color w:val="454546"/>
        </w:rPr>
        <w:t>.   77</w:t>
      </w:r>
    </w:p>
    <w:p>
      <w:pPr>
        <w:ind w:left="980"/>
        <w:spacing w:after="0"/>
        <w:tabs>
          <w:tab w:leader="none" w:pos="1300" w:val="left"/>
          <w:tab w:leader="dot"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Consolidated Statements of Cash Flows For the Years Ended January 31, 2024, 2023 and 2022</w:t>
      </w:r>
      <w:r>
        <w:rPr>
          <w:sz w:val="20"/>
          <w:szCs w:val="20"/>
          <w:color w:val="auto"/>
        </w:rPr>
        <w:tab/>
      </w:r>
      <w:r>
        <w:rPr>
          <w:rFonts w:ascii="Times New Roman" w:cs="Times New Roman" w:eastAsia="Times New Roman" w:hAnsi="Times New Roman"/>
          <w:sz w:val="20"/>
          <w:szCs w:val="20"/>
          <w:color w:val="454546"/>
        </w:rPr>
        <w:t>78</w:t>
      </w:r>
    </w:p>
    <w:p>
      <w:pPr>
        <w:ind w:left="980"/>
        <w:spacing w:after="0"/>
        <w:tabs>
          <w:tab w:leader="none" w:pos="1300" w:val="left"/>
          <w:tab w:leader="dot" w:pos="10020" w:val="left"/>
        </w:tabs>
        <w:rPr>
          <w:sz w:val="20"/>
          <w:szCs w:val="20"/>
          <w:color w:val="auto"/>
        </w:rPr>
      </w:pPr>
      <w:r>
        <w:rPr>
          <w:rFonts w:ascii="Times New Roman" w:cs="Times New Roman" w:eastAsia="Times New Roman" w:hAnsi="Times New Roman"/>
          <w:sz w:val="20"/>
          <w:szCs w:val="20"/>
          <w:color w:val="454546"/>
        </w:rPr>
        <w:t>•</w:t>
      </w:r>
      <w:r>
        <w:rPr>
          <w:sz w:val="20"/>
          <w:szCs w:val="20"/>
          <w:color w:val="auto"/>
        </w:rPr>
        <w:tab/>
      </w:r>
      <w:r>
        <w:rPr>
          <w:rFonts w:ascii="Times New Roman" w:cs="Times New Roman" w:eastAsia="Times New Roman" w:hAnsi="Times New Roman"/>
          <w:sz w:val="20"/>
          <w:szCs w:val="20"/>
          <w:u w:val="single" w:color="auto"/>
          <w:color w:val="656769"/>
        </w:rPr>
        <w:t>Notes to Consolidated Financial Statements</w:t>
      </w:r>
      <w:r>
        <w:rPr>
          <w:sz w:val="20"/>
          <w:szCs w:val="20"/>
          <w:color w:val="auto"/>
        </w:rPr>
        <w:tab/>
      </w:r>
      <w:r>
        <w:rPr>
          <w:rFonts w:ascii="Times New Roman" w:cs="Times New Roman" w:eastAsia="Times New Roman" w:hAnsi="Times New Roman"/>
          <w:sz w:val="20"/>
          <w:szCs w:val="20"/>
          <w:color w:val="454546"/>
        </w:rPr>
        <w:t>79</w:t>
      </w:r>
    </w:p>
    <w:p>
      <w:pPr>
        <w:spacing w:after="0" w:line="328" w:lineRule="exact"/>
        <w:rPr>
          <w:sz w:val="20"/>
          <w:szCs w:val="20"/>
          <w:color w:val="auto"/>
        </w:rPr>
      </w:pPr>
    </w:p>
    <w:p>
      <w:pPr>
        <w:ind w:left="500" w:hanging="500"/>
        <w:spacing w:after="0"/>
        <w:tabs>
          <w:tab w:leader="none" w:pos="500" w:val="left"/>
        </w:tabs>
        <w:numPr>
          <w:ilvl w:val="0"/>
          <w:numId w:val="30"/>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b w:val="1"/>
          <w:bCs w:val="1"/>
          <w:color w:val="454546"/>
        </w:rPr>
        <w:t>(2) Financial Statement Schedule</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Financial statement schedules are omitted because they are not applicable or the required information is shown in the Financial Statements or the notes thereto.</w:t>
      </w:r>
    </w:p>
    <w:p>
      <w:pPr>
        <w:spacing w:after="0" w:line="285" w:lineRule="exact"/>
        <w:rPr>
          <w:sz w:val="20"/>
          <w:szCs w:val="20"/>
          <w:color w:val="auto"/>
        </w:rPr>
      </w:pPr>
    </w:p>
    <w:p>
      <w:pPr>
        <w:ind w:left="500" w:hanging="500"/>
        <w:spacing w:after="0"/>
        <w:tabs>
          <w:tab w:leader="none" w:pos="500" w:val="left"/>
        </w:tabs>
        <w:numPr>
          <w:ilvl w:val="0"/>
          <w:numId w:val="31"/>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b w:val="1"/>
          <w:bCs w:val="1"/>
          <w:color w:val="454546"/>
        </w:rPr>
        <w:t>Exhibits</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The exhibits listed below in the accompanying “Exhibits Index” are filed or incorporated by reference as part of this Annual Report on Form 10-K.</w:t>
      </w:r>
    </w:p>
    <w:p>
      <w:pPr>
        <w:sectPr>
          <w:pgSz w:w="12240" w:h="15840" w:orient="portrait"/>
          <w:cols w:equalWidth="0" w:num="1">
            <w:col w:w="10660"/>
          </w:cols>
          <w:pgMar w:left="720" w:top="972" w:right="8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454546"/>
        </w:rPr>
        <w:t>71</w:t>
      </w:r>
    </w:p>
    <w:p>
      <w:pPr>
        <w:sectPr>
          <w:pgSz w:w="12240" w:h="15840" w:orient="portrait"/>
          <w:cols w:equalWidth="0" w:num="1">
            <w:col w:w="10660"/>
          </w:cols>
          <w:pgMar w:left="720" w:top="972" w:right="860" w:bottom="175" w:gutter="0" w:footer="0" w:header="0"/>
          <w:type w:val="continuous"/>
        </w:sectPr>
      </w:pPr>
    </w:p>
    <w:bookmarkStart w:id="76" w:name="page77"/>
    <w:bookmarkEnd w:id="76"/>
    <w:p>
      <w:pPr>
        <w:ind w:left="2900"/>
        <w:spacing w:after="0"/>
        <w:rPr>
          <w:sz w:val="20"/>
          <w:szCs w:val="20"/>
          <w:color w:val="auto"/>
        </w:rPr>
      </w:pPr>
      <w:r>
        <w:rPr>
          <w:rFonts w:ascii="Times New Roman" w:cs="Times New Roman" w:eastAsia="Times New Roman" w:hAnsi="Times New Roman"/>
          <w:sz w:val="20"/>
          <w:szCs w:val="20"/>
          <w:b w:val="1"/>
          <w:bCs w:val="1"/>
          <w:color w:val="454546"/>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To the Board of Directors and Shareholders of Ambarella,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Opinions on the Financial Statements and Internal Control over Financial Reporting</w:t>
      </w:r>
    </w:p>
    <w:p>
      <w:pPr>
        <w:spacing w:after="0" w:line="23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454546"/>
        </w:rPr>
        <w:t xml:space="preserve">We have audited the accompanying consolidated balance sheets of Ambarella, Inc. and its subsidiaries (the “Company”) as of January 31, 2024 and 2023, and the related consolidated statements of operations, of comprehensive loss, of shareholders' equity and of cash flows for each of the three years in the period ended January 31, 2024, including the related notes (collectively referred to as the “consolidated financial statements”). We also have audited the Company's internal control over financial reporting as of January 31, 2024, based on criteria established in </w:t>
      </w:r>
      <w:r>
        <w:rPr>
          <w:rFonts w:ascii="Times New Roman" w:cs="Times New Roman" w:eastAsia="Times New Roman" w:hAnsi="Times New Roman"/>
          <w:sz w:val="20"/>
          <w:szCs w:val="20"/>
          <w:i w:val="1"/>
          <w:iCs w:val="1"/>
          <w:color w:val="454546"/>
        </w:rPr>
        <w:t>Internal Control - Integrated Framework</w:t>
      </w:r>
      <w:r>
        <w:rPr>
          <w:rFonts w:ascii="Times New Roman" w:cs="Times New Roman" w:eastAsia="Times New Roman" w:hAnsi="Times New Roman"/>
          <w:sz w:val="20"/>
          <w:szCs w:val="20"/>
          <w:color w:val="454546"/>
        </w:rPr>
        <w:t xml:space="preserve"> (2013) issued by the Committee of Sponsoring Organizations of the Treadway Commission (COSO).</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454546"/>
        </w:rPr>
        <w:t xml:space="preserve">In our opinion, the consolidated financial statements referred to above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 Also in our opinion, the Company did not maintain, in all material respects, effective internal control over financial reporting as of January 31, 2024, based on criteria established in </w:t>
      </w:r>
      <w:r>
        <w:rPr>
          <w:rFonts w:ascii="Times New Roman" w:cs="Times New Roman" w:eastAsia="Times New Roman" w:hAnsi="Times New Roman"/>
          <w:sz w:val="20"/>
          <w:szCs w:val="20"/>
          <w:i w:val="1"/>
          <w:iCs w:val="1"/>
          <w:color w:val="454546"/>
        </w:rPr>
        <w:t>Internal Control - Integrated Framework</w:t>
      </w:r>
      <w:r>
        <w:rPr>
          <w:rFonts w:ascii="Times New Roman" w:cs="Times New Roman" w:eastAsia="Times New Roman" w:hAnsi="Times New Roman"/>
          <w:sz w:val="20"/>
          <w:szCs w:val="20"/>
          <w:color w:val="454546"/>
        </w:rPr>
        <w:t xml:space="preserve"> (2013) issued by the COSO because a material weakness in internal control over financial reporting existed as of that date as the Company did not design and maintain effective controls over the accounting for income taxes.</w:t>
      </w:r>
    </w:p>
    <w:p>
      <w:pPr>
        <w:spacing w:after="0" w:line="1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454546"/>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Basis for Opinions</w:t>
      </w:r>
    </w:p>
    <w:p>
      <w:pPr>
        <w:spacing w:after="0" w:line="23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454546"/>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454546"/>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454546"/>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Definition and Limitations of Internal Control over Financial Reporting</w:t>
      </w:r>
    </w:p>
    <w:p>
      <w:pPr>
        <w:spacing w:after="0" w:line="2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45454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w:t>
      </w:r>
    </w:p>
    <w:p>
      <w:pPr>
        <w:sectPr>
          <w:pgSz w:w="12240" w:h="15840" w:orient="portrait"/>
          <w:cols w:equalWidth="0" w:num="1">
            <w:col w:w="10780"/>
          </w:cols>
          <w:pgMar w:left="720" w:top="972" w:right="740" w:bottom="17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72</w:t>
      </w:r>
    </w:p>
    <w:p>
      <w:pPr>
        <w:sectPr>
          <w:pgSz w:w="12240" w:h="15840" w:orient="portrait"/>
          <w:cols w:equalWidth="0" w:num="1">
            <w:col w:w="10780"/>
          </w:cols>
          <w:pgMar w:left="720" w:top="972" w:right="740" w:bottom="175" w:gutter="0" w:footer="0" w:header="0"/>
          <w:type w:val="continuous"/>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20"/>
          <w:szCs w:val="20"/>
          <w:color w:val="454546"/>
        </w:rPr>
        <w:t>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45454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Critical Audit Matters</w:t>
      </w:r>
    </w:p>
    <w:p>
      <w:pPr>
        <w:spacing w:after="0" w:line="23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454546"/>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Accounting for Income Taxes</w:t>
      </w:r>
    </w:p>
    <w:p>
      <w:pPr>
        <w:spacing w:after="0" w:line="22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454546"/>
        </w:rPr>
        <w:t>As described in Notes 1 and 14 to the consolidated financial statements, the Company's accounting for income taxes requires the recognition of deferred tax assets and liabilities for the expected future tax consequences of events that have been recognized in its financial statements or tax returns. Upon estimating the Company’s tax positions and tax benefits, management considers and evaluates numerous factors, which may require periodic adjustments and which may not reflect the final tax liabilities. Management adjusts the Company’s financial statements to reflect only those tax positions that are more likely than not to be sustained under examination.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 makes estimates and judgments about its future taxable income based on assumptions that are consistent with its plans and estimates. Should the actual amounts differ from estimates, the amount of valuation allowance could be materially impacted. The Company’s worldwide operating income is subject to varying tax rates and its effective tax rate is highly dependent upon the geographic distribution of its earnings or losses and the tax laws and regulations in each geographical region. The Company recorded a provision for income taxes of $20.9 million for the year ended January 31, 2024, has unrecognized tax benefits of $22.6 million and net deferred tax liabilities of $0.7 million, including a valuation allowance of $60.0 million, as of January 31, 2024.</w:t>
      </w:r>
    </w:p>
    <w:p>
      <w:pPr>
        <w:spacing w:after="0" w:line="20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454546"/>
        </w:rPr>
        <w:t>The principal considerations for our determination that performing procedures relating to the accounting for income taxes is a critical audit matter are (i) the significant judgment by management when determining the provision for income taxes, net deferred tax liabilities, including a valuation allowances, and liabilities for uncertain tax positions and (ii) a high degree of auditor judgment, subjectivity, and effort in performing audit procedures and evaluating audit evidence relating to these account balances and tax positions. As described in the “Opinions on the Financial Statements and Internal Control over Financial Reporting” section, a material weakness was identified related to this matter.</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454546"/>
        </w:rPr>
        <w:t>Addressing the matter involved performing procedures and evaluating audit evidence in connection with forming our overall opinion on the consolidated financial statements. These procedures included, among others (i) testing the provision for income taxes, including the effective tax rate reconciliation, permanent and temporary differences, and taxable income by jurisdiction; (ii) testing the completeness and accuracy of underlying data used in measuring and recognizing deferred tax assets and liabilities; (iii) evaluating management’s assessment of the realizability of deferred tax assets on a jurisdictional basis; and (iv) evaluating the completeness of management’s assessment of the identification of uncertain tax positions, possible outcomes of each uncertain tax position based on the application of relevant tax laws, and the amount of the potential benefit to be realized, including estimated interest and penalties.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San Jose, California</w:t>
      </w:r>
    </w:p>
    <w:p>
      <w:pPr>
        <w:spacing w:after="0"/>
        <w:rPr>
          <w:sz w:val="20"/>
          <w:szCs w:val="20"/>
          <w:color w:val="auto"/>
        </w:rPr>
      </w:pPr>
      <w:r>
        <w:rPr>
          <w:rFonts w:ascii="Times New Roman" w:cs="Times New Roman" w:eastAsia="Times New Roman" w:hAnsi="Times New Roman"/>
          <w:sz w:val="20"/>
          <w:szCs w:val="20"/>
          <w:color w:val="454546"/>
        </w:rPr>
        <w:t>March 29,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have served as the Company’s auditor since 2008.</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73</w:t>
      </w:r>
    </w:p>
    <w:p>
      <w:pPr>
        <w:sectPr>
          <w:pgSz w:w="12240" w:h="15840" w:orient="portrait"/>
          <w:cols w:equalWidth="0" w:num="1">
            <w:col w:w="10800"/>
          </w:cols>
          <w:pgMar w:left="720" w:top="976" w:right="720" w:bottom="175"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color w:val="454546"/>
        </w:rPr>
        <w:t>AMBARELLA,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CONSOLIDATED BALANCE SHEETS</w:t>
      </w:r>
    </w:p>
    <w:p>
      <w:pPr>
        <w:jc w:val="center"/>
        <w:spacing w:after="0"/>
        <w:rPr>
          <w:sz w:val="20"/>
          <w:szCs w:val="20"/>
          <w:color w:val="auto"/>
        </w:rPr>
      </w:pPr>
      <w:r>
        <w:rPr>
          <w:rFonts w:ascii="Times New Roman" w:cs="Times New Roman" w:eastAsia="Times New Roman" w:hAnsi="Times New Roman"/>
          <w:sz w:val="20"/>
          <w:szCs w:val="20"/>
          <w:color w:val="454546"/>
        </w:rPr>
        <w:t>(in thousands, except share and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780" w:type="dxa"/>
            <w:vAlign w:val="bottom"/>
            <w:tcBorders>
              <w:bottom w:val="single" w:sz="8" w:color="454546"/>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454546"/>
              </w:rPr>
              <w:t>As of</w:t>
            </w:r>
          </w:p>
        </w:tc>
        <w:tc>
          <w:tcPr>
            <w:tcW w:w="128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454546"/>
              </w:rPr>
              <w:t>January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454546"/>
              </w:rPr>
              <w:t>January 31,</w:t>
            </w:r>
          </w:p>
        </w:tc>
        <w:tc>
          <w:tcPr>
            <w:tcW w:w="0" w:type="dxa"/>
            <w:vAlign w:val="bottom"/>
          </w:tcPr>
          <w:p>
            <w:pPr>
              <w:spacing w:after="0"/>
              <w:rPr>
                <w:sz w:val="1"/>
                <w:szCs w:val="1"/>
                <w:color w:val="auto"/>
              </w:rPr>
            </w:pPr>
          </w:p>
        </w:tc>
      </w:tr>
      <w:tr>
        <w:trPr>
          <w:trHeight w:val="213"/>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14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280" w:type="dxa"/>
            <w:vAlign w:val="bottom"/>
            <w:tcBorders>
              <w:bottom w:val="single" w:sz="8" w:color="45454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454546"/>
            </w:tcBorders>
          </w:tcPr>
          <w:p>
            <w:pPr>
              <w:spacing w:after="0"/>
              <w:rPr>
                <w:sz w:val="18"/>
                <w:szCs w:val="18"/>
                <w:color w:val="auto"/>
              </w:rPr>
            </w:pPr>
          </w:p>
        </w:tc>
        <w:tc>
          <w:tcPr>
            <w:tcW w:w="1280" w:type="dxa"/>
            <w:vAlign w:val="bottom"/>
            <w:tcBorders>
              <w:bottom w:val="single" w:sz="8" w:color="454546"/>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Current assets: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144,914</w:t>
            </w:r>
          </w:p>
        </w:tc>
        <w:tc>
          <w:tcPr>
            <w:tcW w:w="1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Marketable debt securities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75,013</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93,322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Accounts receivable, net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24,950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Inventories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29,043</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40,486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Restricted cash</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Prepaid expenses and other current assets</w:t>
            </w:r>
          </w:p>
        </w:tc>
        <w:tc>
          <w:tcPr>
            <w:tcW w:w="14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2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6,230</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2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5,288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current assets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280,157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304,632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Property and equipment, net</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10,439</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11,814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454546"/>
              </w:rPr>
              <w:t>Deferred tax assets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Intangible assets, net</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55,136</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58,497</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454546"/>
              </w:rPr>
              <w:t>Operating lease right-of-use assets, net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Goodwill</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303,625</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303,625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Other non-current assets</w:t>
            </w:r>
          </w:p>
        </w:tc>
        <w:tc>
          <w:tcPr>
            <w:tcW w:w="14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2,814</w:t>
            </w:r>
          </w:p>
        </w:tc>
        <w:tc>
          <w:tcPr>
            <w:tcW w:w="16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4,012</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assets</w:t>
            </w:r>
          </w:p>
        </w:tc>
        <w:tc>
          <w:tcPr>
            <w:tcW w:w="14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2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657,655</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2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710,195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LIABILITIES AND SHAREHOLDERS' EQUITY</w:t>
            </w:r>
          </w:p>
        </w:tc>
        <w:tc>
          <w:tcPr>
            <w:tcW w:w="14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28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2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Current liabilities: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Accounts payable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Accrued and other current liabilities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48,598</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56,655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Operating lease liabilities, current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Income taxes payable</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1,541</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4,112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Deferred revenue, current</w:t>
            </w:r>
          </w:p>
        </w:tc>
        <w:tc>
          <w:tcPr>
            <w:tcW w:w="14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894</w:t>
            </w:r>
          </w:p>
        </w:tc>
        <w:tc>
          <w:tcPr>
            <w:tcW w:w="16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1,311</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current liabilities</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82,979</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83,462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454546"/>
              </w:rPr>
              <w:t>Operating lease liabilities, non-current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long-term liabilities</w:t>
            </w:r>
          </w:p>
        </w:tc>
        <w:tc>
          <w:tcPr>
            <w:tcW w:w="14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2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12,909</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2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15,548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tcBorders>
              <w:bottom w:val="single" w:sz="8" w:color="E5E6E7"/>
            </w:tcBorders>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liabilities</w:t>
            </w:r>
          </w:p>
        </w:tc>
        <w:tc>
          <w:tcPr>
            <w:tcW w:w="14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97,784</w:t>
            </w:r>
          </w:p>
        </w:tc>
        <w:tc>
          <w:tcPr>
            <w:tcW w:w="16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28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104,107</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Commitments and contingencies (Note 15)</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454546"/>
              </w:rPr>
              <w:t>Shareholders' equity: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E5E6E7"/>
          </w:tcPr>
          <w:p>
            <w:pPr>
              <w:ind w:left="200"/>
              <w:spacing w:after="0" w:line="210" w:lineRule="exact"/>
              <w:rPr>
                <w:sz w:val="20"/>
                <w:szCs w:val="20"/>
                <w:color w:val="auto"/>
              </w:rPr>
            </w:pPr>
            <w:r>
              <w:rPr>
                <w:rFonts w:ascii="Times New Roman" w:cs="Times New Roman" w:eastAsia="Times New Roman" w:hAnsi="Times New Roman"/>
                <w:sz w:val="20"/>
                <w:szCs w:val="20"/>
                <w:color w:val="454546"/>
              </w:rPr>
              <w:t>Preference shares, $0.00045 par value per share, 20,000,000 shares authorized and no</w:t>
            </w:r>
          </w:p>
        </w:tc>
        <w:tc>
          <w:tcPr>
            <w:tcW w:w="14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28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2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28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shd w:val="clear" w:color="auto" w:fill="E5E6E7"/>
          </w:tcPr>
          <w:p>
            <w:pPr>
              <w:ind w:left="360"/>
              <w:spacing w:after="0"/>
              <w:rPr>
                <w:sz w:val="20"/>
                <w:szCs w:val="20"/>
                <w:color w:val="auto"/>
              </w:rPr>
            </w:pPr>
            <w:r>
              <w:rPr>
                <w:rFonts w:ascii="Times New Roman" w:cs="Times New Roman" w:eastAsia="Times New Roman" w:hAnsi="Times New Roman"/>
                <w:sz w:val="20"/>
                <w:szCs w:val="20"/>
                <w:color w:val="454546"/>
              </w:rPr>
              <w:t>shares issued and outstanding at January 31, 2024 and January 31, 2023, respectively</w:t>
            </w:r>
          </w:p>
        </w:tc>
        <w:tc>
          <w:tcPr>
            <w:tcW w:w="14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1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3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10"/>
        </w:trPr>
        <w:tc>
          <w:tcPr>
            <w:tcW w:w="728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Ordinary shares, $0.00045 par value per share, 200,000,000 shares authorized;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40,520,558 and 39,043,000 shares issued and outstanding at January 31, 2024 and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January 31, 2023, respectively</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Additional paid-in capital</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694,967</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572,076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Accumulated other comprehensive loss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(492)</w:t>
            </w:r>
          </w:p>
        </w:tc>
        <w:tc>
          <w:tcPr>
            <w:tcW w:w="0" w:type="dxa"/>
            <w:vAlign w:val="bottom"/>
          </w:tcPr>
          <w:p>
            <w:pPr>
              <w:spacing w:after="0"/>
              <w:rPr>
                <w:sz w:val="1"/>
                <w:szCs w:val="1"/>
                <w:color w:val="auto"/>
              </w:rPr>
            </w:pPr>
          </w:p>
        </w:tc>
      </w:tr>
      <w:tr>
        <w:trPr>
          <w:trHeight w:val="230"/>
        </w:trPr>
        <w:tc>
          <w:tcPr>
            <w:tcW w:w="72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Retained earnings (accumulated deficit)</w:t>
            </w:r>
          </w:p>
        </w:tc>
        <w:tc>
          <w:tcPr>
            <w:tcW w:w="14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4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(134,931)</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34,486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tcBorders>
              <w:bottom w:val="single" w:sz="8" w:color="E5E6E7"/>
            </w:tcBorders>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shareholders’ equity</w:t>
            </w:r>
          </w:p>
        </w:tc>
        <w:tc>
          <w:tcPr>
            <w:tcW w:w="140" w:type="dxa"/>
            <w:vAlign w:val="bottom"/>
            <w:tcBorders>
              <w:bottom w:val="single" w:sz="8" w:color="E5E6E7"/>
            </w:tcBorders>
          </w:tcPr>
          <w:p>
            <w:pPr>
              <w:spacing w:after="0"/>
              <w:rPr>
                <w:sz w:val="19"/>
                <w:szCs w:val="19"/>
                <w:color w:val="auto"/>
              </w:rPr>
            </w:pPr>
          </w:p>
        </w:tc>
        <w:tc>
          <w:tcPr>
            <w:tcW w:w="220" w:type="dxa"/>
            <w:vAlign w:val="bottom"/>
            <w:tcBorders>
              <w:top w:val="single" w:sz="8" w:color="454546"/>
              <w:bottom w:val="single" w:sz="8" w:color="454546"/>
            </w:tcBorders>
          </w:tcPr>
          <w:p>
            <w:pPr>
              <w:spacing w:after="0"/>
              <w:rPr>
                <w:sz w:val="19"/>
                <w:szCs w:val="19"/>
                <w:color w:val="auto"/>
              </w:rPr>
            </w:pPr>
          </w:p>
        </w:tc>
        <w:tc>
          <w:tcPr>
            <w:tcW w:w="12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559,871</w:t>
            </w:r>
          </w:p>
        </w:tc>
        <w:tc>
          <w:tcPr>
            <w:tcW w:w="16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top w:val="single" w:sz="8" w:color="454546"/>
              <w:bottom w:val="single" w:sz="8" w:color="454546"/>
            </w:tcBorders>
          </w:tcPr>
          <w:p>
            <w:pPr>
              <w:spacing w:after="0"/>
              <w:rPr>
                <w:sz w:val="19"/>
                <w:szCs w:val="19"/>
                <w:color w:val="auto"/>
              </w:rPr>
            </w:pPr>
          </w:p>
        </w:tc>
        <w:tc>
          <w:tcPr>
            <w:tcW w:w="12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606,088</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liabilities and shareholders' equity</w:t>
            </w:r>
          </w:p>
        </w:tc>
        <w:tc>
          <w:tcPr>
            <w:tcW w:w="14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2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657,655</w:t>
            </w:r>
          </w:p>
        </w:tc>
        <w:tc>
          <w:tcPr>
            <w:tcW w:w="1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2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710,195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28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2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See accompanying notes to consolidated financial statements.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74</w:t>
      </w:r>
    </w:p>
    <w:p>
      <w:pPr>
        <w:sectPr>
          <w:pgSz w:w="12240" w:h="15840" w:orient="portrait"/>
          <w:cols w:equalWidth="0" w:num="1">
            <w:col w:w="10800"/>
          </w:cols>
          <w:pgMar w:left="720" w:top="976" w:right="720" w:bottom="175"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color w:val="454546"/>
        </w:rPr>
        <w:t>AMBARELLA,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454546"/>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bottom w:val="single" w:sz="8" w:color="454546"/>
            </w:tcBorders>
          </w:tcPr>
          <w:p>
            <w:pPr>
              <w:spacing w:after="0"/>
              <w:rPr>
                <w:sz w:val="17"/>
                <w:szCs w:val="17"/>
                <w:color w:val="auto"/>
              </w:rPr>
            </w:pPr>
          </w:p>
        </w:tc>
        <w:tc>
          <w:tcPr>
            <w:tcW w:w="1040" w:type="dxa"/>
            <w:vAlign w:val="bottom"/>
            <w:tcBorders>
              <w:bottom w:val="single" w:sz="8" w:color="454546"/>
            </w:tcBorders>
          </w:tcPr>
          <w:p>
            <w:pPr>
              <w:spacing w:after="0"/>
              <w:rPr>
                <w:sz w:val="17"/>
                <w:szCs w:val="17"/>
                <w:color w:val="auto"/>
              </w:rPr>
            </w:pPr>
          </w:p>
        </w:tc>
        <w:tc>
          <w:tcPr>
            <w:tcW w:w="1780" w:type="dxa"/>
            <w:vAlign w:val="bottom"/>
            <w:tcBorders>
              <w:bottom w:val="single" w:sz="8" w:color="454546"/>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240" w:type="dxa"/>
            <w:vAlign w:val="bottom"/>
            <w:tcBorders>
              <w:bottom w:val="single" w:sz="8" w:color="454546"/>
            </w:tcBorders>
          </w:tcPr>
          <w:p>
            <w:pPr>
              <w:spacing w:after="0"/>
              <w:rPr>
                <w:sz w:val="17"/>
                <w:szCs w:val="17"/>
                <w:color w:val="auto"/>
              </w:rPr>
            </w:pPr>
          </w:p>
        </w:tc>
        <w:tc>
          <w:tcPr>
            <w:tcW w:w="104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80" w:type="dxa"/>
            <w:vAlign w:val="bottom"/>
            <w:tcBorders>
              <w:bottom w:val="single" w:sz="8" w:color="E5E6E7"/>
            </w:tcBorders>
          </w:tcPr>
          <w:p>
            <w:pPr>
              <w:spacing w:after="0"/>
              <w:rPr>
                <w:sz w:val="15"/>
                <w:szCs w:val="15"/>
                <w:color w:val="auto"/>
              </w:rPr>
            </w:pPr>
          </w:p>
        </w:tc>
        <w:tc>
          <w:tcPr>
            <w:tcW w:w="780" w:type="dxa"/>
            <w:vAlign w:val="bottom"/>
            <w:tcBorders>
              <w:bottom w:val="single" w:sz="8" w:color="E5E6E7"/>
            </w:tcBorders>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1040" w:type="dxa"/>
            <w:vAlign w:val="bottom"/>
            <w:tcBorders>
              <w:bottom w:val="single" w:sz="8" w:color="454546"/>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Borders>
              <w:bottom w:val="single" w:sz="8" w:color="E5E6E7"/>
            </w:tcBorders>
          </w:tcPr>
          <w:p>
            <w:pPr>
              <w:spacing w:after="0"/>
              <w:rPr>
                <w:sz w:val="15"/>
                <w:szCs w:val="15"/>
                <w:color w:val="auto"/>
              </w:rPr>
            </w:pPr>
          </w:p>
        </w:tc>
        <w:tc>
          <w:tcPr>
            <w:tcW w:w="100" w:type="dxa"/>
            <w:vAlign w:val="bottom"/>
            <w:tcBorders>
              <w:bottom w:val="single" w:sz="8" w:color="E5E6E7"/>
            </w:tcBorders>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1040" w:type="dxa"/>
            <w:vAlign w:val="bottom"/>
            <w:tcBorders>
              <w:bottom w:val="single" w:sz="8" w:color="454546"/>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60" w:type="dxa"/>
            <w:vAlign w:val="bottom"/>
            <w:tcBorders>
              <w:bottom w:val="single" w:sz="8" w:color="E5E6E7"/>
            </w:tcBorders>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1040" w:type="dxa"/>
            <w:vAlign w:val="bottom"/>
            <w:tcBorders>
              <w:bottom w:val="single" w:sz="8" w:color="454546"/>
            </w:tcBorders>
          </w:tcPr>
          <w:p>
            <w:pPr>
              <w:jc w:val="right"/>
              <w:ind w:right="381"/>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Revenue</w:t>
            </w:r>
          </w:p>
        </w:tc>
        <w:tc>
          <w:tcPr>
            <w:tcW w:w="780" w:type="dxa"/>
            <w:vAlign w:val="bottom"/>
            <w:shd w:val="clear" w:color="auto" w:fill="E5E6E7"/>
          </w:tcPr>
          <w:p>
            <w:pPr>
              <w:spacing w:after="0"/>
              <w:rPr>
                <w:sz w:val="19"/>
                <w:szCs w:val="19"/>
                <w:color w:val="auto"/>
              </w:rPr>
            </w:pPr>
          </w:p>
        </w:tc>
        <w:tc>
          <w:tcPr>
            <w:tcW w:w="240" w:type="dxa"/>
            <w:vAlign w:val="bottom"/>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226,474</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337,606</w:t>
            </w:r>
          </w:p>
        </w:tc>
        <w:tc>
          <w:tcPr>
            <w:tcW w:w="260" w:type="dxa"/>
            <w:vAlign w:val="bottom"/>
            <w:shd w:val="clear" w:color="auto" w:fill="E5E6E7"/>
          </w:tcPr>
          <w:p>
            <w:pPr>
              <w:spacing w:after="0"/>
              <w:rPr>
                <w:sz w:val="19"/>
                <w:szCs w:val="19"/>
                <w:color w:val="auto"/>
              </w:rPr>
            </w:pPr>
          </w:p>
        </w:tc>
        <w:tc>
          <w:tcPr>
            <w:tcW w:w="240" w:type="dxa"/>
            <w:vAlign w:val="bottom"/>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331,856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Cost of revenue</w:t>
            </w:r>
          </w:p>
        </w:tc>
        <w:tc>
          <w:tcPr>
            <w:tcW w:w="7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89,657</w:t>
            </w:r>
          </w:p>
        </w:tc>
        <w:tc>
          <w:tcPr>
            <w:tcW w:w="16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128,672</w:t>
            </w:r>
          </w:p>
        </w:tc>
        <w:tc>
          <w:tcPr>
            <w:tcW w:w="26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123,724</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Gross profit</w:t>
            </w:r>
          </w:p>
        </w:tc>
        <w:tc>
          <w:tcPr>
            <w:tcW w:w="7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136,817</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208,934</w:t>
            </w:r>
          </w:p>
        </w:tc>
        <w:tc>
          <w:tcPr>
            <w:tcW w:w="2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208,132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Operating expenses: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7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215,052</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204,946</w:t>
            </w:r>
          </w:p>
        </w:tc>
        <w:tc>
          <w:tcPr>
            <w:tcW w:w="2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167,337</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Selling, general and administrative</w:t>
            </w:r>
          </w:p>
        </w:tc>
        <w:tc>
          <w:tcPr>
            <w:tcW w:w="7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76,325</w:t>
            </w:r>
          </w:p>
        </w:tc>
        <w:tc>
          <w:tcPr>
            <w:tcW w:w="160" w:type="dxa"/>
            <w:vAlign w:val="bottom"/>
            <w:tcBorders>
              <w:bottom w:val="single" w:sz="8" w:color="E5E6E7"/>
            </w:tcBorders>
          </w:tcPr>
          <w:p>
            <w:pPr>
              <w:spacing w:after="0"/>
              <w:rPr>
                <w:sz w:val="19"/>
                <w:szCs w:val="19"/>
                <w:color w:val="auto"/>
              </w:rPr>
            </w:pPr>
          </w:p>
        </w:tc>
        <w:tc>
          <w:tcPr>
            <w:tcW w:w="10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78,244</w:t>
            </w:r>
          </w:p>
        </w:tc>
        <w:tc>
          <w:tcPr>
            <w:tcW w:w="26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70,438</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operating expenses</w:t>
            </w:r>
          </w:p>
        </w:tc>
        <w:tc>
          <w:tcPr>
            <w:tcW w:w="7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291,377</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283,190</w:t>
            </w:r>
          </w:p>
        </w:tc>
        <w:tc>
          <w:tcPr>
            <w:tcW w:w="2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237,775</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454546"/>
              </w:rPr>
              <w:t>Loss from operations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(154,560)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(74,256)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7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6,030</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3,318</w:t>
            </w:r>
          </w:p>
        </w:tc>
        <w:tc>
          <w:tcPr>
            <w:tcW w:w="2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1,002</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Loss before income taxes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(148,530)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(70,938)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Provision (benefit) for income taxes</w:t>
            </w:r>
          </w:p>
        </w:tc>
        <w:tc>
          <w:tcPr>
            <w:tcW w:w="7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20,887</w:t>
            </w:r>
          </w:p>
        </w:tc>
        <w:tc>
          <w:tcPr>
            <w:tcW w:w="1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3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rPr>
              <w:t>(5,552)</w:t>
            </w:r>
          </w:p>
        </w:tc>
        <w:tc>
          <w:tcPr>
            <w:tcW w:w="240" w:type="dxa"/>
            <w:vAlign w:val="bottom"/>
            <w:shd w:val="clear" w:color="auto" w:fill="E5E6E7"/>
          </w:tcPr>
          <w:p>
            <w:pPr>
              <w:spacing w:after="0"/>
              <w:rPr>
                <w:sz w:val="19"/>
                <w:szCs w:val="19"/>
                <w:color w:val="auto"/>
              </w:rPr>
            </w:pPr>
          </w:p>
        </w:tc>
        <w:tc>
          <w:tcPr>
            <w:tcW w:w="11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(2,230)</w:t>
            </w:r>
          </w:p>
        </w:tc>
        <w:tc>
          <w:tcPr>
            <w:tcW w:w="0" w:type="dxa"/>
            <w:vAlign w:val="bottom"/>
          </w:tcPr>
          <w:p>
            <w:pPr>
              <w:spacing w:after="0"/>
              <w:rPr>
                <w:sz w:val="1"/>
                <w:szCs w:val="1"/>
                <w:color w:val="auto"/>
              </w:rPr>
            </w:pPr>
          </w:p>
        </w:tc>
      </w:tr>
      <w:tr>
        <w:trPr>
          <w:trHeight w:val="260"/>
        </w:trPr>
        <w:tc>
          <w:tcPr>
            <w:tcW w:w="5580" w:type="dxa"/>
            <w:vAlign w:val="bottom"/>
            <w:tcBorders>
              <w:bottom w:val="single" w:sz="8" w:color="E5E6E7"/>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Net loss</w:t>
            </w:r>
          </w:p>
        </w:tc>
        <w:tc>
          <w:tcPr>
            <w:tcW w:w="780" w:type="dxa"/>
            <w:vAlign w:val="bottom"/>
            <w:tcBorders>
              <w:bottom w:val="single" w:sz="8" w:color="E5E6E7"/>
            </w:tcBorders>
          </w:tcPr>
          <w:p>
            <w:pPr>
              <w:spacing w:after="0"/>
              <w:rPr>
                <w:sz w:val="22"/>
                <w:szCs w:val="22"/>
                <w:color w:val="auto"/>
              </w:rPr>
            </w:pPr>
          </w:p>
        </w:tc>
        <w:tc>
          <w:tcPr>
            <w:tcW w:w="240" w:type="dxa"/>
            <w:vAlign w:val="bottom"/>
            <w:tcBorders>
              <w:top w:val="single" w:sz="8" w:color="454546"/>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(169,417)</w:t>
            </w:r>
          </w:p>
        </w:tc>
        <w:tc>
          <w:tcPr>
            <w:tcW w:w="160" w:type="dxa"/>
            <w:vAlign w:val="bottom"/>
            <w:tcBorders>
              <w:bottom w:val="single" w:sz="8" w:color="E5E6E7"/>
            </w:tcBorders>
          </w:tcPr>
          <w:p>
            <w:pPr>
              <w:spacing w:after="0"/>
              <w:rPr>
                <w:sz w:val="22"/>
                <w:szCs w:val="22"/>
                <w:color w:val="auto"/>
              </w:rPr>
            </w:pPr>
          </w:p>
        </w:tc>
        <w:tc>
          <w:tcPr>
            <w:tcW w:w="100" w:type="dxa"/>
            <w:vAlign w:val="bottom"/>
            <w:tcBorders>
              <w:bottom w:val="single" w:sz="8" w:color="E5E6E7"/>
            </w:tcBorders>
          </w:tcPr>
          <w:p>
            <w:pPr>
              <w:spacing w:after="0"/>
              <w:rPr>
                <w:sz w:val="22"/>
                <w:szCs w:val="22"/>
                <w:color w:val="auto"/>
              </w:rPr>
            </w:pPr>
          </w:p>
        </w:tc>
        <w:tc>
          <w:tcPr>
            <w:tcW w:w="220" w:type="dxa"/>
            <w:vAlign w:val="bottom"/>
            <w:tcBorders>
              <w:top w:val="single" w:sz="8" w:color="454546"/>
              <w:bottom w:val="single" w:sz="8" w:color="454546"/>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(65,386)</w:t>
            </w:r>
          </w:p>
        </w:tc>
        <w:tc>
          <w:tcPr>
            <w:tcW w:w="260" w:type="dxa"/>
            <w:vAlign w:val="bottom"/>
            <w:tcBorders>
              <w:bottom w:val="single" w:sz="8" w:color="E5E6E7"/>
            </w:tcBorders>
          </w:tcPr>
          <w:p>
            <w:pPr>
              <w:spacing w:after="0"/>
              <w:rPr>
                <w:sz w:val="22"/>
                <w:szCs w:val="22"/>
                <w:color w:val="auto"/>
              </w:rPr>
            </w:pPr>
          </w:p>
        </w:tc>
        <w:tc>
          <w:tcPr>
            <w:tcW w:w="240" w:type="dxa"/>
            <w:vAlign w:val="bottom"/>
            <w:tcBorders>
              <w:top w:val="single" w:sz="8" w:color="454546"/>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(26,411)</w:t>
            </w:r>
          </w:p>
        </w:tc>
        <w:tc>
          <w:tcPr>
            <w:tcW w:w="100" w:type="dxa"/>
            <w:vAlign w:val="bottom"/>
            <w:tcBorders>
              <w:bottom w:val="single" w:sz="8" w:color="E5E6E7"/>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E5E6E7"/>
          </w:tcPr>
          <w:p>
            <w:pPr>
              <w:spacing w:after="0" w:line="215" w:lineRule="exact"/>
              <w:rPr>
                <w:sz w:val="20"/>
                <w:szCs w:val="20"/>
                <w:color w:val="auto"/>
              </w:rPr>
            </w:pPr>
            <w:r>
              <w:rPr>
                <w:rFonts w:ascii="Times New Roman" w:cs="Times New Roman" w:eastAsia="Times New Roman" w:hAnsi="Times New Roman"/>
                <w:sz w:val="20"/>
                <w:szCs w:val="20"/>
                <w:color w:val="454546"/>
              </w:rPr>
              <w:t>Net loss per share attributable to ordinary shareholders:</w:t>
            </w:r>
          </w:p>
        </w:tc>
        <w:tc>
          <w:tcPr>
            <w:tcW w:w="78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104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040" w:type="dxa"/>
            <w:vAlign w:val="bottom"/>
            <w:shd w:val="clear" w:color="auto" w:fill="E5E6E7"/>
          </w:tcPr>
          <w:p>
            <w:pPr>
              <w:spacing w:after="0"/>
              <w:rPr>
                <w:sz w:val="18"/>
                <w:szCs w:val="18"/>
                <w:color w:val="auto"/>
              </w:rPr>
            </w:pPr>
          </w:p>
        </w:tc>
        <w:tc>
          <w:tcPr>
            <w:tcW w:w="26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104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8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Basic</w:t>
            </w:r>
          </w:p>
        </w:tc>
        <w:tc>
          <w:tcPr>
            <w:tcW w:w="780" w:type="dxa"/>
            <w:vAlign w:val="bottom"/>
            <w:tcBorders>
              <w:bottom w:val="single" w:sz="8" w:color="E5E6E7"/>
            </w:tcBorders>
          </w:tcPr>
          <w:p>
            <w:pPr>
              <w:spacing w:after="0"/>
              <w:rPr>
                <w:sz w:val="23"/>
                <w:szCs w:val="23"/>
                <w:color w:val="auto"/>
              </w:rPr>
            </w:pPr>
          </w:p>
        </w:tc>
        <w:tc>
          <w:tcPr>
            <w:tcW w:w="240" w:type="dxa"/>
            <w:vAlign w:val="bottom"/>
            <w:tcBorders>
              <w:bottom w:val="single" w:sz="8" w:color="454546"/>
            </w:tcBorders>
          </w:tcPr>
          <w:p>
            <w:pPr>
              <w:jc w:val="right"/>
              <w:ind w:right="4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(4.25)</w:t>
            </w:r>
          </w:p>
        </w:tc>
        <w:tc>
          <w:tcPr>
            <w:tcW w:w="160" w:type="dxa"/>
            <w:vAlign w:val="bottom"/>
            <w:tcBorders>
              <w:bottom w:val="single" w:sz="8" w:color="E5E6E7"/>
            </w:tcBorders>
          </w:tcPr>
          <w:p>
            <w:pPr>
              <w:spacing w:after="0"/>
              <w:rPr>
                <w:sz w:val="23"/>
                <w:szCs w:val="23"/>
                <w:color w:val="auto"/>
              </w:rPr>
            </w:pPr>
          </w:p>
        </w:tc>
        <w:tc>
          <w:tcPr>
            <w:tcW w:w="100" w:type="dxa"/>
            <w:vAlign w:val="bottom"/>
            <w:tcBorders>
              <w:bottom w:val="single" w:sz="8" w:color="E5E6E7"/>
            </w:tcBorders>
          </w:tcPr>
          <w:p>
            <w:pPr>
              <w:spacing w:after="0"/>
              <w:rPr>
                <w:sz w:val="23"/>
                <w:szCs w:val="23"/>
                <w:color w:val="auto"/>
              </w:rPr>
            </w:pPr>
          </w:p>
        </w:tc>
        <w:tc>
          <w:tcPr>
            <w:tcW w:w="220" w:type="dxa"/>
            <w:vAlign w:val="bottom"/>
            <w:tcBorders>
              <w:bottom w:val="single" w:sz="8" w:color="454546"/>
            </w:tcBorders>
          </w:tcPr>
          <w:p>
            <w:pPr>
              <w:jc w:val="right"/>
              <w:ind w:right="2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(1.70)</w:t>
            </w:r>
          </w:p>
        </w:tc>
        <w:tc>
          <w:tcPr>
            <w:tcW w:w="260" w:type="dxa"/>
            <w:vAlign w:val="bottom"/>
            <w:tcBorders>
              <w:bottom w:val="single" w:sz="8" w:color="E5E6E7"/>
            </w:tcBorders>
          </w:tcPr>
          <w:p>
            <w:pPr>
              <w:spacing w:after="0"/>
              <w:rPr>
                <w:sz w:val="23"/>
                <w:szCs w:val="23"/>
                <w:color w:val="auto"/>
              </w:rPr>
            </w:pPr>
          </w:p>
        </w:tc>
        <w:tc>
          <w:tcPr>
            <w:tcW w:w="240" w:type="dxa"/>
            <w:vAlign w:val="bottom"/>
            <w:tcBorders>
              <w:bottom w:val="single" w:sz="8" w:color="454546"/>
            </w:tcBorders>
          </w:tcPr>
          <w:p>
            <w:pPr>
              <w:jc w:val="right"/>
              <w:ind w:right="40"/>
              <w:spacing w:after="0"/>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(0.72)</w:t>
            </w:r>
          </w:p>
        </w:tc>
        <w:tc>
          <w:tcPr>
            <w:tcW w:w="100" w:type="dxa"/>
            <w:vAlign w:val="bottom"/>
            <w:tcBorders>
              <w:bottom w:val="single" w:sz="8" w:color="E5E6E7"/>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580" w:type="dxa"/>
            <w:vAlign w:val="bottom"/>
            <w:tcBorders>
              <w:bottom w:val="single" w:sz="8" w:color="E5E6E7"/>
            </w:tcBorders>
            <w:shd w:val="clear" w:color="auto" w:fill="E5E6E7"/>
          </w:tcPr>
          <w:p>
            <w:pPr>
              <w:ind w:left="200"/>
              <w:spacing w:after="0" w:line="215" w:lineRule="exact"/>
              <w:rPr>
                <w:sz w:val="20"/>
                <w:szCs w:val="20"/>
                <w:color w:val="auto"/>
              </w:rPr>
            </w:pPr>
            <w:r>
              <w:rPr>
                <w:rFonts w:ascii="Times New Roman" w:cs="Times New Roman" w:eastAsia="Times New Roman" w:hAnsi="Times New Roman"/>
                <w:sz w:val="20"/>
                <w:szCs w:val="20"/>
                <w:color w:val="454546"/>
              </w:rPr>
              <w:t>Diluted</w:t>
            </w:r>
          </w:p>
        </w:tc>
        <w:tc>
          <w:tcPr>
            <w:tcW w:w="780" w:type="dxa"/>
            <w:vAlign w:val="bottom"/>
            <w:tcBorders>
              <w:bottom w:val="single" w:sz="8" w:color="E5E6E7"/>
            </w:tcBorders>
            <w:shd w:val="clear" w:color="auto" w:fill="E5E6E7"/>
          </w:tcPr>
          <w:p>
            <w:pPr>
              <w:spacing w:after="0"/>
              <w:rPr>
                <w:sz w:val="20"/>
                <w:szCs w:val="20"/>
                <w:color w:val="auto"/>
              </w:rPr>
            </w:pPr>
          </w:p>
        </w:tc>
        <w:tc>
          <w:tcPr>
            <w:tcW w:w="240" w:type="dxa"/>
            <w:vAlign w:val="bottom"/>
            <w:tcBorders>
              <w:bottom w:val="single" w:sz="8" w:color="454546"/>
            </w:tcBorders>
            <w:shd w:val="clear" w:color="auto" w:fill="E5E6E7"/>
          </w:tcPr>
          <w:p>
            <w:pPr>
              <w:jc w:val="right"/>
              <w:ind w:right="40"/>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(4.25)</w:t>
            </w:r>
          </w:p>
        </w:tc>
        <w:tc>
          <w:tcPr>
            <w:tcW w:w="160" w:type="dxa"/>
            <w:vAlign w:val="bottom"/>
            <w:tcBorders>
              <w:bottom w:val="single" w:sz="8" w:color="E5E6E7"/>
            </w:tcBorders>
            <w:shd w:val="clear" w:color="auto" w:fill="E5E6E7"/>
          </w:tcPr>
          <w:p>
            <w:pPr>
              <w:spacing w:after="0"/>
              <w:rPr>
                <w:sz w:val="20"/>
                <w:szCs w:val="20"/>
                <w:color w:val="auto"/>
              </w:rPr>
            </w:pPr>
          </w:p>
        </w:tc>
        <w:tc>
          <w:tcPr>
            <w:tcW w:w="100" w:type="dxa"/>
            <w:vAlign w:val="bottom"/>
            <w:tcBorders>
              <w:bottom w:val="single" w:sz="8" w:color="E5E6E7"/>
            </w:tcBorders>
            <w:shd w:val="clear" w:color="auto" w:fill="E5E6E7"/>
          </w:tcPr>
          <w:p>
            <w:pPr>
              <w:spacing w:after="0"/>
              <w:rPr>
                <w:sz w:val="20"/>
                <w:szCs w:val="20"/>
                <w:color w:val="auto"/>
              </w:rPr>
            </w:pPr>
          </w:p>
        </w:tc>
        <w:tc>
          <w:tcPr>
            <w:tcW w:w="220" w:type="dxa"/>
            <w:vAlign w:val="bottom"/>
            <w:tcBorders>
              <w:bottom w:val="single" w:sz="8" w:color="454546"/>
            </w:tcBorders>
            <w:shd w:val="clear" w:color="auto" w:fill="E5E6E7"/>
          </w:tcPr>
          <w:p>
            <w:pPr>
              <w:jc w:val="right"/>
              <w:ind w:right="20"/>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(1.70)</w:t>
            </w:r>
          </w:p>
        </w:tc>
        <w:tc>
          <w:tcPr>
            <w:tcW w:w="260" w:type="dxa"/>
            <w:vAlign w:val="bottom"/>
            <w:tcBorders>
              <w:bottom w:val="single" w:sz="8" w:color="E5E6E7"/>
            </w:tcBorders>
            <w:shd w:val="clear" w:color="auto" w:fill="E5E6E7"/>
          </w:tcPr>
          <w:p>
            <w:pPr>
              <w:spacing w:after="0"/>
              <w:rPr>
                <w:sz w:val="20"/>
                <w:szCs w:val="20"/>
                <w:color w:val="auto"/>
              </w:rPr>
            </w:pPr>
          </w:p>
        </w:tc>
        <w:tc>
          <w:tcPr>
            <w:tcW w:w="240" w:type="dxa"/>
            <w:vAlign w:val="bottom"/>
            <w:tcBorders>
              <w:bottom w:val="single" w:sz="8" w:color="454546"/>
            </w:tcBorders>
            <w:shd w:val="clear" w:color="auto" w:fill="E5E6E7"/>
          </w:tcPr>
          <w:p>
            <w:pPr>
              <w:jc w:val="right"/>
              <w:ind w:right="40"/>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104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(0.72)</w:t>
            </w:r>
          </w:p>
        </w:tc>
        <w:tc>
          <w:tcPr>
            <w:tcW w:w="100" w:type="dxa"/>
            <w:vAlign w:val="bottom"/>
            <w:tcBorders>
              <w:bottom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line="215" w:lineRule="exact"/>
              <w:rPr>
                <w:sz w:val="20"/>
                <w:szCs w:val="20"/>
                <w:color w:val="auto"/>
              </w:rPr>
            </w:pPr>
            <w:r>
              <w:rPr>
                <w:rFonts w:ascii="Times New Roman" w:cs="Times New Roman" w:eastAsia="Times New Roman" w:hAnsi="Times New Roman"/>
                <w:sz w:val="20"/>
                <w:szCs w:val="20"/>
                <w:color w:val="454546"/>
              </w:rPr>
              <w:t>Weighted-average shares used to compute net loss per share</w:t>
            </w:r>
          </w:p>
        </w:tc>
        <w:tc>
          <w:tcPr>
            <w:tcW w:w="7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580" w:type="dxa"/>
            <w:vAlign w:val="bottom"/>
          </w:tcPr>
          <w:p>
            <w:pPr>
              <w:ind w:left="160"/>
              <w:spacing w:after="0"/>
              <w:rPr>
                <w:sz w:val="20"/>
                <w:szCs w:val="20"/>
                <w:color w:val="auto"/>
              </w:rPr>
            </w:pPr>
            <w:r>
              <w:rPr>
                <w:rFonts w:ascii="Times New Roman" w:cs="Times New Roman" w:eastAsia="Times New Roman" w:hAnsi="Times New Roman"/>
                <w:sz w:val="20"/>
                <w:szCs w:val="20"/>
                <w:color w:val="454546"/>
              </w:rPr>
              <w:t>attributable to ordinary shareholders:</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Basic</w:t>
            </w:r>
          </w:p>
        </w:tc>
        <w:tc>
          <w:tcPr>
            <w:tcW w:w="780" w:type="dxa"/>
            <w:vAlign w:val="bottom"/>
            <w:tcBorders>
              <w:bottom w:val="single" w:sz="8" w:color="E5E6E7"/>
            </w:tcBorders>
            <w:shd w:val="clear" w:color="auto" w:fill="E5E6E7"/>
          </w:tcPr>
          <w:p>
            <w:pPr>
              <w:spacing w:after="0"/>
              <w:rPr>
                <w:sz w:val="21"/>
                <w:szCs w:val="21"/>
                <w:color w:val="auto"/>
              </w:rPr>
            </w:pPr>
          </w:p>
        </w:tc>
        <w:tc>
          <w:tcPr>
            <w:tcW w:w="24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39,878,872</w:t>
            </w:r>
          </w:p>
        </w:tc>
        <w:tc>
          <w:tcPr>
            <w:tcW w:w="160" w:type="dxa"/>
            <w:vAlign w:val="bottom"/>
            <w:tcBorders>
              <w:bottom w:val="single" w:sz="8" w:color="E5E6E7"/>
            </w:tcBorders>
            <w:shd w:val="clear" w:color="auto" w:fill="E5E6E7"/>
          </w:tcPr>
          <w:p>
            <w:pPr>
              <w:spacing w:after="0"/>
              <w:rPr>
                <w:sz w:val="21"/>
                <w:szCs w:val="21"/>
                <w:color w:val="auto"/>
              </w:rPr>
            </w:pPr>
          </w:p>
        </w:tc>
        <w:tc>
          <w:tcPr>
            <w:tcW w:w="100" w:type="dxa"/>
            <w:vAlign w:val="bottom"/>
            <w:tcBorders>
              <w:bottom w:val="single" w:sz="8" w:color="E5E6E7"/>
            </w:tcBorders>
            <w:shd w:val="clear" w:color="auto" w:fill="E5E6E7"/>
          </w:tcPr>
          <w:p>
            <w:pPr>
              <w:spacing w:after="0"/>
              <w:rPr>
                <w:sz w:val="21"/>
                <w:szCs w:val="21"/>
                <w:color w:val="auto"/>
              </w:rPr>
            </w:pPr>
          </w:p>
        </w:tc>
        <w:tc>
          <w:tcPr>
            <w:tcW w:w="22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38,363,638</w:t>
            </w:r>
          </w:p>
        </w:tc>
        <w:tc>
          <w:tcPr>
            <w:tcW w:w="260" w:type="dxa"/>
            <w:vAlign w:val="bottom"/>
            <w:tcBorders>
              <w:bottom w:val="single" w:sz="8" w:color="E5E6E7"/>
            </w:tcBorders>
            <w:shd w:val="clear" w:color="auto" w:fill="E5E6E7"/>
          </w:tcPr>
          <w:p>
            <w:pPr>
              <w:spacing w:after="0"/>
              <w:rPr>
                <w:sz w:val="21"/>
                <w:szCs w:val="21"/>
                <w:color w:val="auto"/>
              </w:rPr>
            </w:pPr>
          </w:p>
        </w:tc>
        <w:tc>
          <w:tcPr>
            <w:tcW w:w="240" w:type="dxa"/>
            <w:vAlign w:val="bottom"/>
            <w:tcBorders>
              <w:bottom w:val="single" w:sz="8" w:color="454546"/>
            </w:tcBorders>
            <w:shd w:val="clear" w:color="auto" w:fill="E5E6E7"/>
          </w:tcPr>
          <w:p>
            <w:pPr>
              <w:spacing w:after="0"/>
              <w:rPr>
                <w:sz w:val="21"/>
                <w:szCs w:val="21"/>
                <w:color w:val="auto"/>
              </w:rPr>
            </w:pPr>
          </w:p>
        </w:tc>
        <w:tc>
          <w:tcPr>
            <w:tcW w:w="10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36,577,120</w:t>
            </w:r>
          </w:p>
        </w:tc>
        <w:tc>
          <w:tcPr>
            <w:tcW w:w="100" w:type="dxa"/>
            <w:vAlign w:val="bottom"/>
            <w:tcBorders>
              <w:bottom w:val="single" w:sz="8" w:color="E5E6E7"/>
            </w:tcBorders>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454546"/>
              </w:rPr>
              <w:t>Diluted</w:t>
            </w:r>
          </w:p>
        </w:tc>
        <w:tc>
          <w:tcPr>
            <w:tcW w:w="7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bottom w:val="single" w:sz="8" w:color="454546"/>
            </w:tcBorders>
          </w:tcPr>
          <w:p>
            <w:pPr>
              <w:spacing w:after="0"/>
              <w:rPr>
                <w:sz w:val="16"/>
                <w:szCs w:val="16"/>
                <w:color w:val="auto"/>
              </w:rPr>
            </w:pPr>
          </w:p>
        </w:tc>
        <w:tc>
          <w:tcPr>
            <w:tcW w:w="1040" w:type="dxa"/>
            <w:vAlign w:val="bottom"/>
            <w:tcBorders>
              <w:bottom w:val="single" w:sz="8" w:color="454546"/>
            </w:tcBorders>
          </w:tcPr>
          <w:p>
            <w:pPr>
              <w:jc w:val="right"/>
              <w:spacing w:after="0" w:line="195" w:lineRule="exact"/>
              <w:rPr>
                <w:sz w:val="20"/>
                <w:szCs w:val="20"/>
                <w:color w:val="auto"/>
              </w:rPr>
            </w:pPr>
            <w:r>
              <w:rPr>
                <w:rFonts w:ascii="Times New Roman" w:cs="Times New Roman" w:eastAsia="Times New Roman" w:hAnsi="Times New Roman"/>
                <w:sz w:val="20"/>
                <w:szCs w:val="20"/>
                <w:color w:val="454546"/>
              </w:rPr>
              <w:t>39,878,872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454546"/>
            </w:tcBorders>
          </w:tcPr>
          <w:p>
            <w:pPr>
              <w:spacing w:after="0"/>
              <w:rPr>
                <w:sz w:val="16"/>
                <w:szCs w:val="16"/>
                <w:color w:val="auto"/>
              </w:rPr>
            </w:pPr>
          </w:p>
        </w:tc>
        <w:tc>
          <w:tcPr>
            <w:tcW w:w="1040" w:type="dxa"/>
            <w:vAlign w:val="bottom"/>
            <w:tcBorders>
              <w:bottom w:val="single" w:sz="8" w:color="454546"/>
            </w:tcBorders>
          </w:tcPr>
          <w:p>
            <w:pPr>
              <w:jc w:val="right"/>
              <w:spacing w:after="0" w:line="195" w:lineRule="exact"/>
              <w:rPr>
                <w:sz w:val="20"/>
                <w:szCs w:val="20"/>
                <w:color w:val="auto"/>
              </w:rPr>
            </w:pPr>
            <w:r>
              <w:rPr>
                <w:rFonts w:ascii="Times New Roman" w:cs="Times New Roman" w:eastAsia="Times New Roman" w:hAnsi="Times New Roman"/>
                <w:sz w:val="20"/>
                <w:szCs w:val="20"/>
                <w:color w:val="454546"/>
              </w:rPr>
              <w:t>38,363,638</w:t>
            </w:r>
          </w:p>
        </w:tc>
        <w:tc>
          <w:tcPr>
            <w:tcW w:w="260" w:type="dxa"/>
            <w:vAlign w:val="bottom"/>
          </w:tcPr>
          <w:p>
            <w:pPr>
              <w:spacing w:after="0"/>
              <w:rPr>
                <w:sz w:val="16"/>
                <w:szCs w:val="16"/>
                <w:color w:val="auto"/>
              </w:rPr>
            </w:pPr>
          </w:p>
        </w:tc>
        <w:tc>
          <w:tcPr>
            <w:tcW w:w="240" w:type="dxa"/>
            <w:vAlign w:val="bottom"/>
            <w:tcBorders>
              <w:bottom w:val="single" w:sz="8" w:color="454546"/>
            </w:tcBorders>
          </w:tcPr>
          <w:p>
            <w:pPr>
              <w:spacing w:after="0"/>
              <w:rPr>
                <w:sz w:val="16"/>
                <w:szCs w:val="16"/>
                <w:color w:val="auto"/>
              </w:rPr>
            </w:pPr>
          </w:p>
        </w:tc>
        <w:tc>
          <w:tcPr>
            <w:tcW w:w="1040" w:type="dxa"/>
            <w:vAlign w:val="bottom"/>
            <w:tcBorders>
              <w:bottom w:val="single" w:sz="8" w:color="454546"/>
            </w:tcBorders>
          </w:tcPr>
          <w:p>
            <w:pPr>
              <w:jc w:val="right"/>
              <w:spacing w:after="0" w:line="195" w:lineRule="exact"/>
              <w:rPr>
                <w:sz w:val="20"/>
                <w:szCs w:val="20"/>
                <w:color w:val="auto"/>
              </w:rPr>
            </w:pPr>
            <w:r>
              <w:rPr>
                <w:rFonts w:ascii="Times New Roman" w:cs="Times New Roman" w:eastAsia="Times New Roman" w:hAnsi="Times New Roman"/>
                <w:sz w:val="20"/>
                <w:szCs w:val="20"/>
                <w:color w:val="454546"/>
              </w:rPr>
              <w:t>36,577,120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See accompanying notes to consolidated financial statements.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75</w:t>
      </w:r>
    </w:p>
    <w:p>
      <w:pPr>
        <w:sectPr>
          <w:pgSz w:w="12240" w:h="15840" w:orient="portrait"/>
          <w:cols w:equalWidth="0" w:num="1">
            <w:col w:w="10800"/>
          </w:cols>
          <w:pgMar w:left="720" w:top="976" w:right="720" w:bottom="175"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color w:val="454546"/>
        </w:rPr>
        <w:t>AMBARELLA,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color w:val="454546"/>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spacing w:after="0"/>
              <w:rPr>
                <w:sz w:val="17"/>
                <w:szCs w:val="17"/>
                <w:color w:val="auto"/>
              </w:rPr>
            </w:pPr>
          </w:p>
        </w:tc>
        <w:tc>
          <w:tcPr>
            <w:tcW w:w="1780" w:type="dxa"/>
            <w:vAlign w:val="bottom"/>
            <w:tcBorders>
              <w:bottom w:val="single" w:sz="8" w:color="454546"/>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300" w:type="dxa"/>
            <w:vAlign w:val="bottom"/>
            <w:tcBorders>
              <w:bottom w:val="single" w:sz="8" w:color="454546"/>
            </w:tcBorders>
          </w:tcPr>
          <w:p>
            <w:pPr>
              <w:spacing w:after="0"/>
              <w:rPr>
                <w:sz w:val="17"/>
                <w:szCs w:val="17"/>
                <w:color w:val="auto"/>
              </w:rPr>
            </w:pPr>
          </w:p>
        </w:tc>
        <w:tc>
          <w:tcPr>
            <w:tcW w:w="98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6360" w:type="dxa"/>
            <w:vAlign w:val="bottom"/>
            <w:tcBorders>
              <w:bottom w:val="single" w:sz="8" w:color="E5E6E7"/>
            </w:tcBorders>
          </w:tcPr>
          <w:p>
            <w:pPr>
              <w:spacing w:after="0"/>
              <w:rPr>
                <w:sz w:val="15"/>
                <w:szCs w:val="15"/>
                <w:color w:val="auto"/>
              </w:rPr>
            </w:pPr>
          </w:p>
        </w:tc>
        <w:tc>
          <w:tcPr>
            <w:tcW w:w="300" w:type="dxa"/>
            <w:vAlign w:val="bottom"/>
            <w:tcBorders>
              <w:bottom w:val="single" w:sz="8" w:color="454546"/>
            </w:tcBorders>
          </w:tcPr>
          <w:p>
            <w:pPr>
              <w:spacing w:after="0"/>
              <w:rPr>
                <w:sz w:val="15"/>
                <w:szCs w:val="15"/>
                <w:color w:val="auto"/>
              </w:rPr>
            </w:pPr>
          </w:p>
        </w:tc>
        <w:tc>
          <w:tcPr>
            <w:tcW w:w="980" w:type="dxa"/>
            <w:vAlign w:val="bottom"/>
            <w:tcBorders>
              <w:bottom w:val="single" w:sz="8" w:color="454546"/>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6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980" w:type="dxa"/>
            <w:vAlign w:val="bottom"/>
            <w:tcBorders>
              <w:bottom w:val="single" w:sz="8" w:color="454546"/>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60" w:type="dxa"/>
            <w:vAlign w:val="bottom"/>
            <w:tcBorders>
              <w:bottom w:val="single" w:sz="8" w:color="E5E6E7"/>
            </w:tcBorders>
          </w:tcPr>
          <w:p>
            <w:pPr>
              <w:spacing w:after="0"/>
              <w:rPr>
                <w:sz w:val="15"/>
                <w:szCs w:val="15"/>
                <w:color w:val="auto"/>
              </w:rPr>
            </w:pPr>
          </w:p>
        </w:tc>
        <w:tc>
          <w:tcPr>
            <w:tcW w:w="300" w:type="dxa"/>
            <w:vAlign w:val="bottom"/>
            <w:tcBorders>
              <w:bottom w:val="single" w:sz="8" w:color="454546"/>
            </w:tcBorders>
          </w:tcPr>
          <w:p>
            <w:pPr>
              <w:spacing w:after="0"/>
              <w:rPr>
                <w:sz w:val="15"/>
                <w:szCs w:val="15"/>
                <w:color w:val="auto"/>
              </w:rPr>
            </w:pPr>
          </w:p>
        </w:tc>
        <w:tc>
          <w:tcPr>
            <w:tcW w:w="980" w:type="dxa"/>
            <w:vAlign w:val="bottom"/>
            <w:tcBorders>
              <w:bottom w:val="single" w:sz="8" w:color="454546"/>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r>
      <w:tr>
        <w:trPr>
          <w:trHeight w:val="220"/>
        </w:trPr>
        <w:tc>
          <w:tcPr>
            <w:tcW w:w="636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Net loss</w:t>
            </w:r>
          </w:p>
        </w:tc>
        <w:tc>
          <w:tcPr>
            <w:tcW w:w="300" w:type="dxa"/>
            <w:vAlign w:val="bottom"/>
            <w:shd w:val="clear" w:color="auto" w:fill="E5E6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(169,417)</w:t>
            </w:r>
          </w:p>
        </w:tc>
        <w:tc>
          <w:tcPr>
            <w:tcW w:w="260" w:type="dxa"/>
            <w:vAlign w:val="bottom"/>
            <w:shd w:val="clear" w:color="auto" w:fill="E5E6E7"/>
          </w:tcPr>
          <w:p>
            <w:pPr>
              <w:spacing w:after="0"/>
              <w:rPr>
                <w:sz w:val="19"/>
                <w:szCs w:val="19"/>
                <w:color w:val="auto"/>
              </w:rPr>
            </w:pPr>
          </w:p>
        </w:tc>
        <w:tc>
          <w:tcPr>
            <w:tcW w:w="280" w:type="dxa"/>
            <w:vAlign w:val="bottom"/>
            <w:shd w:val="clear" w:color="auto" w:fill="E5E6E7"/>
          </w:tcPr>
          <w:p>
            <w:pPr>
              <w:jc w:val="right"/>
              <w:ind w:right="8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(65,386)</w:t>
            </w:r>
          </w:p>
        </w:tc>
        <w:tc>
          <w:tcPr>
            <w:tcW w:w="260" w:type="dxa"/>
            <w:vAlign w:val="bottom"/>
            <w:shd w:val="clear" w:color="auto" w:fill="E5E6E7"/>
          </w:tcPr>
          <w:p>
            <w:pPr>
              <w:spacing w:after="0"/>
              <w:rPr>
                <w:sz w:val="19"/>
                <w:szCs w:val="19"/>
                <w:color w:val="auto"/>
              </w:rPr>
            </w:pPr>
          </w:p>
        </w:tc>
        <w:tc>
          <w:tcPr>
            <w:tcW w:w="300" w:type="dxa"/>
            <w:vAlign w:val="bottom"/>
            <w:shd w:val="clear" w:color="auto" w:fill="E5E6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(26,411)</w:t>
            </w:r>
          </w:p>
        </w:tc>
        <w:tc>
          <w:tcPr>
            <w:tcW w:w="100" w:type="dxa"/>
            <w:vAlign w:val="bottom"/>
            <w:shd w:val="clear" w:color="auto" w:fill="E5E6E7"/>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454546"/>
              </w:rPr>
              <w:t>Other comprehensive income (loss),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Net unrealized gains (losses) on investments</w:t>
            </w:r>
          </w:p>
        </w:tc>
        <w:tc>
          <w:tcPr>
            <w:tcW w:w="30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309</w:t>
            </w:r>
          </w:p>
        </w:tc>
        <w:tc>
          <w:tcPr>
            <w:tcW w:w="26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12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rPr>
              <w:t>(492)</w:t>
            </w:r>
          </w:p>
        </w:tc>
        <w:tc>
          <w:tcPr>
            <w:tcW w:w="300" w:type="dxa"/>
            <w:vAlign w:val="bottom"/>
            <w:shd w:val="clear" w:color="auto" w:fill="E5E6E7"/>
          </w:tcPr>
          <w:p>
            <w:pPr>
              <w:spacing w:after="0"/>
              <w:rPr>
                <w:sz w:val="19"/>
                <w:szCs w:val="19"/>
                <w:color w:val="auto"/>
              </w:rPr>
            </w:pPr>
          </w:p>
        </w:tc>
        <w:tc>
          <w:tcPr>
            <w:tcW w:w="10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Reclassification of unrealized gains (losses) on investments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(1,219)</w:t>
            </w:r>
          </w:p>
        </w:tc>
      </w:tr>
      <w:tr>
        <w:trPr>
          <w:trHeight w:val="220"/>
        </w:trPr>
        <w:tc>
          <w:tcPr>
            <w:tcW w:w="636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Other comprehensive income (loss), net of tax</w:t>
            </w:r>
          </w:p>
        </w:tc>
        <w:tc>
          <w:tcPr>
            <w:tcW w:w="300" w:type="dxa"/>
            <w:vAlign w:val="bottom"/>
            <w:tcBorders>
              <w:top w:val="single" w:sz="8" w:color="454546"/>
            </w:tcBorders>
            <w:shd w:val="clear" w:color="auto" w:fill="E5E6E7"/>
          </w:tcPr>
          <w:p>
            <w:pPr>
              <w:spacing w:after="0"/>
              <w:rPr>
                <w:sz w:val="19"/>
                <w:szCs w:val="19"/>
                <w:color w:val="auto"/>
              </w:rPr>
            </w:pPr>
          </w:p>
        </w:tc>
        <w:tc>
          <w:tcPr>
            <w:tcW w:w="9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309</w:t>
            </w:r>
          </w:p>
        </w:tc>
        <w:tc>
          <w:tcPr>
            <w:tcW w:w="260" w:type="dxa"/>
            <w:vAlign w:val="bottom"/>
            <w:tcBorders>
              <w:top w:val="single" w:sz="8" w:color="E5E6E7"/>
            </w:tcBorders>
            <w:shd w:val="clear" w:color="auto" w:fill="E5E6E7"/>
          </w:tcPr>
          <w:p>
            <w:pPr>
              <w:spacing w:after="0"/>
              <w:rPr>
                <w:sz w:val="19"/>
                <w:szCs w:val="19"/>
                <w:color w:val="auto"/>
              </w:rPr>
            </w:pPr>
          </w:p>
        </w:tc>
        <w:tc>
          <w:tcPr>
            <w:tcW w:w="280" w:type="dxa"/>
            <w:vAlign w:val="bottom"/>
            <w:tcBorders>
              <w:top w:val="single" w:sz="8" w:color="454546"/>
            </w:tcBorders>
            <w:shd w:val="clear" w:color="auto" w:fill="E5E6E7"/>
          </w:tcPr>
          <w:p>
            <w:pPr>
              <w:spacing w:after="0"/>
              <w:rPr>
                <w:sz w:val="19"/>
                <w:szCs w:val="19"/>
                <w:color w:val="auto"/>
              </w:rPr>
            </w:pPr>
          </w:p>
        </w:tc>
        <w:tc>
          <w:tcPr>
            <w:tcW w:w="9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(492)</w:t>
            </w:r>
          </w:p>
        </w:tc>
        <w:tc>
          <w:tcPr>
            <w:tcW w:w="260" w:type="dxa"/>
            <w:vAlign w:val="bottom"/>
            <w:tcBorders>
              <w:top w:val="single" w:sz="8" w:color="E5E6E7"/>
            </w:tcBorders>
            <w:shd w:val="clear" w:color="auto" w:fill="E5E6E7"/>
          </w:tcPr>
          <w:p>
            <w:pPr>
              <w:spacing w:after="0"/>
              <w:rPr>
                <w:sz w:val="19"/>
                <w:szCs w:val="19"/>
                <w:color w:val="auto"/>
              </w:rPr>
            </w:pPr>
          </w:p>
        </w:tc>
        <w:tc>
          <w:tcPr>
            <w:tcW w:w="300" w:type="dxa"/>
            <w:vAlign w:val="bottom"/>
            <w:tcBorders>
              <w:top w:val="single" w:sz="8" w:color="454546"/>
            </w:tcBorders>
            <w:shd w:val="clear" w:color="auto" w:fill="E5E6E7"/>
          </w:tcPr>
          <w:p>
            <w:pPr>
              <w:spacing w:after="0"/>
              <w:rPr>
                <w:sz w:val="19"/>
                <w:szCs w:val="19"/>
                <w:color w:val="auto"/>
              </w:rPr>
            </w:pPr>
          </w:p>
        </w:tc>
        <w:tc>
          <w:tcPr>
            <w:tcW w:w="9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(1,219)</w:t>
            </w:r>
          </w:p>
        </w:tc>
        <w:tc>
          <w:tcPr>
            <w:tcW w:w="100" w:type="dxa"/>
            <w:vAlign w:val="bottom"/>
            <w:tcBorders>
              <w:top w:val="single" w:sz="8" w:color="E5E6E7"/>
            </w:tcBorders>
            <w:shd w:val="clear" w:color="auto" w:fill="E5E6E7"/>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Comprehensive loss</w:t>
            </w:r>
          </w:p>
        </w:tc>
        <w:tc>
          <w:tcPr>
            <w:tcW w:w="300" w:type="dxa"/>
            <w:vAlign w:val="bottom"/>
            <w:tcBorders>
              <w:bottom w:val="single" w:sz="8" w:color="454546"/>
            </w:tcBorders>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(169,108)</w:t>
            </w:r>
          </w:p>
        </w:tc>
        <w:tc>
          <w:tcPr>
            <w:tcW w:w="260" w:type="dxa"/>
            <w:vAlign w:val="bottom"/>
          </w:tcPr>
          <w:p>
            <w:pPr>
              <w:spacing w:after="0"/>
              <w:rPr>
                <w:sz w:val="19"/>
                <w:szCs w:val="19"/>
                <w:color w:val="auto"/>
              </w:rPr>
            </w:pPr>
          </w:p>
        </w:tc>
        <w:tc>
          <w:tcPr>
            <w:tcW w:w="280" w:type="dxa"/>
            <w:vAlign w:val="bottom"/>
            <w:tcBorders>
              <w:bottom w:val="single" w:sz="8" w:color="454546"/>
            </w:tcBorders>
          </w:tcPr>
          <w:p>
            <w:pPr>
              <w:jc w:val="right"/>
              <w:ind w:right="80"/>
              <w:spacing w:after="0"/>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(65,878)</w:t>
            </w:r>
          </w:p>
        </w:tc>
        <w:tc>
          <w:tcPr>
            <w:tcW w:w="260" w:type="dxa"/>
            <w:vAlign w:val="bottom"/>
          </w:tcPr>
          <w:p>
            <w:pPr>
              <w:spacing w:after="0"/>
              <w:rPr>
                <w:sz w:val="19"/>
                <w:szCs w:val="19"/>
                <w:color w:val="auto"/>
              </w:rPr>
            </w:pPr>
          </w:p>
        </w:tc>
        <w:tc>
          <w:tcPr>
            <w:tcW w:w="300" w:type="dxa"/>
            <w:vAlign w:val="bottom"/>
            <w:tcBorders>
              <w:bottom w:val="single" w:sz="8" w:color="454546"/>
            </w:tcBorders>
          </w:tcPr>
          <w:p>
            <w:pPr>
              <w:jc w:val="right"/>
              <w:ind w:right="100"/>
              <w:spacing w:after="0"/>
              <w:rPr>
                <w:sz w:val="20"/>
                <w:szCs w:val="20"/>
                <w:color w:val="auto"/>
              </w:rPr>
            </w:pPr>
            <w:r>
              <w:rPr>
                <w:rFonts w:ascii="Times New Roman" w:cs="Times New Roman" w:eastAsia="Times New Roman" w:hAnsi="Times New Roman"/>
                <w:sz w:val="20"/>
                <w:szCs w:val="20"/>
                <w:color w:val="454546"/>
                <w:w w:val="79"/>
              </w:rPr>
              <w:t>$</w:t>
            </w: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(27,630)</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See accompanying notes to consolidated financial statements.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76</w:t>
      </w:r>
    </w:p>
    <w:p>
      <w:pPr>
        <w:sectPr>
          <w:pgSz w:w="12240" w:h="15840" w:orient="portrait"/>
          <w:cols w:equalWidth="0" w:num="1">
            <w:col w:w="10800"/>
          </w:cols>
          <w:pgMar w:left="720" w:top="976" w:right="720" w:bottom="175"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454546"/>
        </w:rPr>
        <w:t>AMBARELLA,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54546"/>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color w:val="454546"/>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454546"/>
              </w:rPr>
              <w:t>Retained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1960" w:type="dxa"/>
            <w:vAlign w:val="bottom"/>
            <w:gridSpan w:val="5"/>
          </w:tcPr>
          <w:p>
            <w:pPr>
              <w:jc w:val="right"/>
              <w:ind w:right="461"/>
              <w:spacing w:after="0"/>
              <w:rPr>
                <w:sz w:val="20"/>
                <w:szCs w:val="20"/>
                <w:color w:val="auto"/>
              </w:rPr>
            </w:pPr>
            <w:r>
              <w:rPr>
                <w:rFonts w:ascii="Times New Roman" w:cs="Times New Roman" w:eastAsia="Times New Roman" w:hAnsi="Times New Roman"/>
                <w:sz w:val="16"/>
                <w:szCs w:val="16"/>
                <w:b w:val="1"/>
                <w:bCs w:val="1"/>
                <w:color w:val="454546"/>
              </w:rPr>
              <w:t>Outstanding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454546"/>
              </w:rPr>
              <w:t>Additional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454546"/>
                <w:w w:val="97"/>
              </w:rPr>
              <w:t>Other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454546"/>
                <w:w w:val="99"/>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960" w:type="dxa"/>
            <w:vAlign w:val="bottom"/>
            <w:tcBorders>
              <w:bottom w:val="single" w:sz="8" w:color="454546"/>
            </w:tcBorders>
            <w:gridSpan w:val="5"/>
          </w:tcPr>
          <w:p>
            <w:pPr>
              <w:jc w:val="right"/>
              <w:ind w:right="301"/>
              <w:spacing w:after="0"/>
              <w:rPr>
                <w:sz w:val="20"/>
                <w:szCs w:val="20"/>
                <w:color w:val="auto"/>
              </w:rPr>
            </w:pPr>
            <w:r>
              <w:rPr>
                <w:rFonts w:ascii="Times New Roman" w:cs="Times New Roman" w:eastAsia="Times New Roman" w:hAnsi="Times New Roman"/>
                <w:sz w:val="16"/>
                <w:szCs w:val="16"/>
                <w:b w:val="1"/>
                <w:bCs w:val="1"/>
                <w:color w:val="454546"/>
              </w:rPr>
              <w:t>Ordinary Shares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454546"/>
              </w:rPr>
              <w:t>Paid-in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454546"/>
                <w:w w:val="99"/>
              </w:rPr>
              <w:t>Comprehensive</w:t>
            </w:r>
          </w:p>
        </w:tc>
        <w:tc>
          <w:tcPr>
            <w:tcW w:w="6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(Accumulated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980" w:type="dxa"/>
            <w:vAlign w:val="bottom"/>
          </w:tcPr>
          <w:p>
            <w:pPr>
              <w:jc w:val="right"/>
              <w:ind w:right="163"/>
              <w:spacing w:after="0" w:line="174" w:lineRule="exact"/>
              <w:rPr>
                <w:sz w:val="20"/>
                <w:szCs w:val="20"/>
                <w:color w:val="auto"/>
              </w:rPr>
            </w:pPr>
            <w:r>
              <w:rPr>
                <w:rFonts w:ascii="Times New Roman" w:cs="Times New Roman" w:eastAsia="Times New Roman" w:hAnsi="Times New Roman"/>
                <w:sz w:val="16"/>
                <w:szCs w:val="16"/>
                <w:b w:val="1"/>
                <w:bCs w:val="1"/>
                <w:color w:val="454546"/>
              </w:rPr>
              <w:t>Shares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21"/>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45"/>
              <w:spacing w:after="0" w:line="174" w:lineRule="exact"/>
              <w:rPr>
                <w:sz w:val="20"/>
                <w:szCs w:val="20"/>
                <w:color w:val="auto"/>
              </w:rPr>
            </w:pPr>
            <w:r>
              <w:rPr>
                <w:rFonts w:ascii="Times New Roman" w:cs="Times New Roman" w:eastAsia="Times New Roman" w:hAnsi="Times New Roman"/>
                <w:sz w:val="16"/>
                <w:szCs w:val="16"/>
                <w:b w:val="1"/>
                <w:bCs w:val="1"/>
                <w:color w:val="454546"/>
              </w:rPr>
              <w:t>Capital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100"/>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Income (Loss)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320"/>
              <w:spacing w:after="0" w:line="174" w:lineRule="exact"/>
              <w:rPr>
                <w:sz w:val="20"/>
                <w:szCs w:val="20"/>
                <w:color w:val="auto"/>
              </w:rPr>
            </w:pPr>
            <w:r>
              <w:rPr>
                <w:rFonts w:ascii="Times New Roman" w:cs="Times New Roman" w:eastAsia="Times New Roman" w:hAnsi="Times New Roman"/>
                <w:sz w:val="16"/>
                <w:szCs w:val="16"/>
                <w:b w:val="1"/>
                <w:bCs w:val="1"/>
                <w:color w:val="454546"/>
              </w:rPr>
              <w:t>Total</w:t>
            </w:r>
          </w:p>
        </w:tc>
        <w:tc>
          <w:tcPr>
            <w:tcW w:w="0" w:type="dxa"/>
            <w:vAlign w:val="bottom"/>
          </w:tcPr>
          <w:p>
            <w:pPr>
              <w:spacing w:after="0"/>
              <w:rPr>
                <w:sz w:val="1"/>
                <w:szCs w:val="1"/>
                <w:color w:val="auto"/>
              </w:rPr>
            </w:pPr>
          </w:p>
        </w:tc>
      </w:tr>
      <w:tr>
        <w:trPr>
          <w:trHeight w:val="220"/>
        </w:trPr>
        <w:tc>
          <w:tcPr>
            <w:tcW w:w="440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Balance--January 31, 2021</w:t>
            </w:r>
          </w:p>
        </w:tc>
        <w:tc>
          <w:tcPr>
            <w:tcW w:w="9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35,547,440</w:t>
            </w:r>
          </w:p>
        </w:tc>
        <w:tc>
          <w:tcPr>
            <w:tcW w:w="18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454546"/>
              <w:bottom w:val="single" w:sz="8" w:color="454546"/>
            </w:tcBorders>
            <w:shd w:val="clear" w:color="auto" w:fill="E5E6E7"/>
          </w:tcPr>
          <w:p>
            <w:pPr>
              <w:spacing w:after="0"/>
              <w:rPr>
                <w:sz w:val="19"/>
                <w:szCs w:val="19"/>
                <w:color w:val="auto"/>
              </w:rPr>
            </w:pPr>
          </w:p>
        </w:tc>
        <w:tc>
          <w:tcPr>
            <w:tcW w:w="80" w:type="dxa"/>
            <w:vAlign w:val="bottom"/>
            <w:tcBorders>
              <w:top w:val="single" w:sz="8" w:color="454546"/>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7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w:t>
            </w:r>
          </w:p>
        </w:tc>
        <w:tc>
          <w:tcPr>
            <w:tcW w:w="10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8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97"/>
                <w:shd w:val="clear" w:color="auto" w:fill="E5E6E7"/>
              </w:rPr>
              <w:t>$ 347,458</w:t>
            </w:r>
          </w:p>
        </w:tc>
        <w:tc>
          <w:tcPr>
            <w:tcW w:w="10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454546"/>
              <w:bottom w:val="single" w:sz="8" w:color="454546"/>
            </w:tcBorders>
            <w:shd w:val="clear" w:color="auto" w:fill="E5E6E7"/>
          </w:tcPr>
          <w:p>
            <w:pPr>
              <w:jc w:val="right"/>
              <w:ind w:right="32"/>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6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1,219</w:t>
            </w:r>
          </w:p>
        </w:tc>
        <w:tc>
          <w:tcPr>
            <w:tcW w:w="8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8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126,283</w:t>
            </w:r>
          </w:p>
        </w:tc>
        <w:tc>
          <w:tcPr>
            <w:tcW w:w="10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8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99"/>
                <w:shd w:val="clear" w:color="auto" w:fill="E5E6E7"/>
              </w:rPr>
              <w:t>$ 474,976</w:t>
            </w:r>
          </w:p>
        </w:tc>
        <w:tc>
          <w:tcPr>
            <w:tcW w:w="8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454546"/>
              </w:rPr>
              <w:t>Issuance of shares through employee equity plans</w:t>
            </w:r>
          </w:p>
        </w:tc>
        <w:tc>
          <w:tcPr>
            <w:tcW w:w="98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80" w:type="dxa"/>
            <w:vAlign w:val="bottom"/>
            <w:tcBorders>
              <w:bottom w:val="single" w:sz="8" w:color="454546"/>
            </w:tcBorders>
          </w:tcPr>
          <w:p>
            <w:pPr>
              <w:spacing w:after="0" w:line="20" w:lineRule="exact"/>
              <w:rPr>
                <w:sz w:val="1"/>
                <w:szCs w:val="1"/>
                <w:color w:val="auto"/>
              </w:rPr>
            </w:pPr>
          </w:p>
        </w:tc>
        <w:tc>
          <w:tcPr>
            <w:tcW w:w="700" w:type="dxa"/>
            <w:vAlign w:val="bottom"/>
            <w:tcBorders>
              <w:bottom w:val="single" w:sz="8" w:color="454546"/>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60" w:type="dxa"/>
            <w:vAlign w:val="bottom"/>
            <w:tcBorders>
              <w:bottom w:val="single" w:sz="8" w:color="454546"/>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0" w:type="dxa"/>
            <w:vAlign w:val="bottom"/>
            <w:vMerge w:val="continue"/>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1,636,596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1</w:t>
            </w:r>
          </w:p>
        </w:tc>
        <w:tc>
          <w:tcPr>
            <w:tcW w:w="100" w:type="dxa"/>
            <w:vAlign w:val="bottom"/>
            <w:vMerge w:val="continue"/>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12,194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vMerge w:val="continue"/>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454546"/>
              </w:rPr>
              <w:t>12,195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E5E6E7"/>
          </w:tcPr>
          <w:p>
            <w:pPr>
              <w:ind w:left="200"/>
              <w:spacing w:after="0" w:line="210" w:lineRule="exact"/>
              <w:rPr>
                <w:sz w:val="20"/>
                <w:szCs w:val="20"/>
                <w:color w:val="auto"/>
              </w:rPr>
            </w:pPr>
            <w:r>
              <w:rPr>
                <w:rFonts w:ascii="Times New Roman" w:cs="Times New Roman" w:eastAsia="Times New Roman" w:hAnsi="Times New Roman"/>
                <w:sz w:val="20"/>
                <w:szCs w:val="20"/>
                <w:color w:val="454546"/>
              </w:rPr>
              <w:t>Issuance of shares through employee stock</w:t>
            </w:r>
          </w:p>
        </w:tc>
        <w:tc>
          <w:tcPr>
            <w:tcW w:w="98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7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8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purchase plan</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118,782</w:t>
            </w:r>
          </w:p>
        </w:tc>
        <w:tc>
          <w:tcPr>
            <w:tcW w:w="1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7,208</w:t>
            </w:r>
          </w:p>
        </w:tc>
        <w:tc>
          <w:tcPr>
            <w:tcW w:w="1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7,208</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Fair value of partially vested equity awards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assumed in connection with acquisition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454546"/>
              </w:rPr>
              <w:t>407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407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80,020</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80,020</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Other comprehensive loss - net 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(1,219)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454546"/>
              </w:rPr>
              <w:t>(1,219)</w:t>
            </w: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Net loss</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(26,411)</w:t>
            </w:r>
          </w:p>
        </w:tc>
        <w:tc>
          <w:tcPr>
            <w:tcW w:w="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(26,411)</w:t>
            </w:r>
          </w:p>
        </w:tc>
        <w:tc>
          <w:tcPr>
            <w:tcW w:w="0" w:type="dxa"/>
            <w:vAlign w:val="bottom"/>
          </w:tcPr>
          <w:p>
            <w:pPr>
              <w:spacing w:after="0"/>
              <w:rPr>
                <w:sz w:val="1"/>
                <w:szCs w:val="1"/>
                <w:color w:val="auto"/>
              </w:rPr>
            </w:pPr>
          </w:p>
        </w:tc>
      </w:tr>
      <w:tr>
        <w:trPr>
          <w:trHeight w:val="260"/>
        </w:trPr>
        <w:tc>
          <w:tcPr>
            <w:tcW w:w="4400" w:type="dxa"/>
            <w:vAlign w:val="bottom"/>
            <w:tcBorders>
              <w:bottom w:val="single" w:sz="8" w:color="E5E6E7"/>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Balance--January 31, 2022</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37,302,818</w:t>
            </w:r>
          </w:p>
        </w:tc>
        <w:tc>
          <w:tcPr>
            <w:tcW w:w="18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80" w:type="dxa"/>
            <w:vAlign w:val="bottom"/>
            <w:tcBorders>
              <w:top w:val="single" w:sz="8" w:color="454546"/>
              <w:bottom w:val="single" w:sz="8" w:color="454546"/>
            </w:tcBorders>
          </w:tcPr>
          <w:p>
            <w:pPr>
              <w:spacing w:after="0"/>
              <w:rPr>
                <w:sz w:val="22"/>
                <w:szCs w:val="22"/>
                <w:color w:val="auto"/>
              </w:rPr>
            </w:pPr>
          </w:p>
        </w:tc>
        <w:tc>
          <w:tcPr>
            <w:tcW w:w="7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w:t>
            </w:r>
          </w:p>
        </w:tc>
        <w:tc>
          <w:tcPr>
            <w:tcW w:w="100" w:type="dxa"/>
            <w:vAlign w:val="bottom"/>
            <w:tcBorders>
              <w:bottom w:val="single" w:sz="8" w:color="E5E6E7"/>
            </w:tcBorders>
          </w:tcPr>
          <w:p>
            <w:pPr>
              <w:spacing w:after="0"/>
              <w:rPr>
                <w:sz w:val="22"/>
                <w:szCs w:val="22"/>
                <w:color w:val="auto"/>
              </w:rPr>
            </w:pPr>
          </w:p>
        </w:tc>
        <w:tc>
          <w:tcPr>
            <w:tcW w:w="880" w:type="dxa"/>
            <w:vAlign w:val="bottom"/>
            <w:tcBorders>
              <w:top w:val="single" w:sz="8" w:color="454546"/>
              <w:bottom w:val="single" w:sz="8" w:color="454546"/>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454546"/>
              </w:rPr>
              <w:t>447,287</w:t>
            </w:r>
          </w:p>
        </w:tc>
        <w:tc>
          <w:tcPr>
            <w:tcW w:w="10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60" w:type="dxa"/>
            <w:vAlign w:val="bottom"/>
            <w:tcBorders>
              <w:top w:val="single" w:sz="8" w:color="454546"/>
              <w:bottom w:val="single" w:sz="8" w:color="454546"/>
            </w:tcBorders>
          </w:tcPr>
          <w:p>
            <w:pPr>
              <w:spacing w:after="0"/>
              <w:rPr>
                <w:sz w:val="22"/>
                <w:szCs w:val="22"/>
                <w:color w:val="auto"/>
              </w:rPr>
            </w:pPr>
          </w:p>
        </w:tc>
        <w:tc>
          <w:tcPr>
            <w:tcW w:w="220" w:type="dxa"/>
            <w:vAlign w:val="bottom"/>
            <w:tcBorders>
              <w:top w:val="single" w:sz="8" w:color="454546"/>
              <w:bottom w:val="single" w:sz="8" w:color="454546"/>
            </w:tcBorders>
          </w:tcPr>
          <w:p>
            <w:pPr>
              <w:spacing w:after="0"/>
              <w:rPr>
                <w:sz w:val="22"/>
                <w:szCs w:val="22"/>
                <w:color w:val="auto"/>
              </w:rPr>
            </w:pPr>
          </w:p>
        </w:tc>
        <w:tc>
          <w:tcPr>
            <w:tcW w:w="8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60" w:type="dxa"/>
            <w:vAlign w:val="bottom"/>
            <w:tcBorders>
              <w:top w:val="single" w:sz="8" w:color="454546"/>
              <w:bottom w:val="single" w:sz="8" w:color="454546"/>
            </w:tcBorders>
          </w:tcPr>
          <w:p>
            <w:pPr>
              <w:spacing w:after="0"/>
              <w:rPr>
                <w:sz w:val="22"/>
                <w:szCs w:val="22"/>
                <w:color w:val="auto"/>
              </w:rPr>
            </w:pPr>
          </w:p>
        </w:tc>
        <w:tc>
          <w:tcPr>
            <w:tcW w:w="140" w:type="dxa"/>
            <w:vAlign w:val="bottom"/>
            <w:tcBorders>
              <w:top w:val="single" w:sz="8" w:color="454546"/>
              <w:bottom w:val="single" w:sz="8" w:color="454546"/>
            </w:tcBorders>
          </w:tcPr>
          <w:p>
            <w:pPr>
              <w:spacing w:after="0"/>
              <w:rPr>
                <w:sz w:val="22"/>
                <w:szCs w:val="22"/>
                <w:color w:val="auto"/>
              </w:rPr>
            </w:pP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99,872</w:t>
            </w:r>
          </w:p>
        </w:tc>
        <w:tc>
          <w:tcPr>
            <w:tcW w:w="10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880" w:type="dxa"/>
            <w:vAlign w:val="bottom"/>
            <w:tcBorders>
              <w:top w:val="single" w:sz="8" w:color="454546"/>
              <w:bottom w:val="single" w:sz="8" w:color="454546"/>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547,176</w:t>
            </w:r>
          </w:p>
        </w:tc>
        <w:tc>
          <w:tcPr>
            <w:tcW w:w="80" w:type="dxa"/>
            <w:vAlign w:val="bottom"/>
            <w:tcBorders>
              <w:bottom w:val="single" w:sz="8" w:color="E5E6E7"/>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E5E6E7"/>
          </w:tcPr>
          <w:p>
            <w:pPr>
              <w:ind w:left="200"/>
              <w:spacing w:after="0" w:line="215" w:lineRule="exact"/>
              <w:rPr>
                <w:sz w:val="20"/>
                <w:szCs w:val="20"/>
                <w:color w:val="auto"/>
              </w:rPr>
            </w:pPr>
            <w:r>
              <w:rPr>
                <w:rFonts w:ascii="Times New Roman" w:cs="Times New Roman" w:eastAsia="Times New Roman" w:hAnsi="Times New Roman"/>
                <w:sz w:val="20"/>
                <w:szCs w:val="20"/>
                <w:color w:val="454546"/>
              </w:rPr>
              <w:t>Issuance of shares through employee equity plans</w:t>
            </w:r>
          </w:p>
        </w:tc>
        <w:tc>
          <w:tcPr>
            <w:tcW w:w="98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1,635,596</w:t>
            </w:r>
          </w:p>
        </w:tc>
        <w:tc>
          <w:tcPr>
            <w:tcW w:w="1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70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60" w:type="dxa"/>
            <w:vAlign w:val="bottom"/>
            <w:gridSpan w:val="2"/>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11,408</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2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80" w:type="dxa"/>
            <w:vAlign w:val="bottom"/>
            <w:gridSpan w:val="2"/>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11,409</w:t>
            </w:r>
          </w:p>
        </w:tc>
        <w:tc>
          <w:tcPr>
            <w:tcW w:w="8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Issuance of shares through employee stock</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104,586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454546"/>
              </w:rPr>
              <w:t>6,636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6,636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106,745</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106,745</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Other comprehensive loss - net 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(492)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454546"/>
              </w:rPr>
              <w:t>(492)</w:t>
            </w: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Net loss</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(65,386)</w:t>
            </w:r>
          </w:p>
        </w:tc>
        <w:tc>
          <w:tcPr>
            <w:tcW w:w="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(65,386)</w:t>
            </w:r>
          </w:p>
        </w:tc>
        <w:tc>
          <w:tcPr>
            <w:tcW w:w="0" w:type="dxa"/>
            <w:vAlign w:val="bottom"/>
          </w:tcPr>
          <w:p>
            <w:pPr>
              <w:spacing w:after="0"/>
              <w:rPr>
                <w:sz w:val="1"/>
                <w:szCs w:val="1"/>
                <w:color w:val="auto"/>
              </w:rPr>
            </w:pPr>
          </w:p>
        </w:tc>
      </w:tr>
      <w:tr>
        <w:trPr>
          <w:trHeight w:val="260"/>
        </w:trPr>
        <w:tc>
          <w:tcPr>
            <w:tcW w:w="4400" w:type="dxa"/>
            <w:vAlign w:val="bottom"/>
            <w:tcBorders>
              <w:bottom w:val="single" w:sz="8" w:color="E5E6E7"/>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Balance--January 31, 2023</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39,043,000</w:t>
            </w:r>
          </w:p>
        </w:tc>
        <w:tc>
          <w:tcPr>
            <w:tcW w:w="18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80" w:type="dxa"/>
            <w:vAlign w:val="bottom"/>
            <w:tcBorders>
              <w:top w:val="single" w:sz="8" w:color="454546"/>
              <w:bottom w:val="single" w:sz="8" w:color="454546"/>
            </w:tcBorders>
          </w:tcPr>
          <w:p>
            <w:pPr>
              <w:spacing w:after="0"/>
              <w:rPr>
                <w:sz w:val="22"/>
                <w:szCs w:val="22"/>
                <w:color w:val="auto"/>
              </w:rPr>
            </w:pPr>
          </w:p>
        </w:tc>
        <w:tc>
          <w:tcPr>
            <w:tcW w:w="7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w:t>
            </w:r>
          </w:p>
        </w:tc>
        <w:tc>
          <w:tcPr>
            <w:tcW w:w="100" w:type="dxa"/>
            <w:vAlign w:val="bottom"/>
            <w:tcBorders>
              <w:bottom w:val="single" w:sz="8" w:color="E5E6E7"/>
            </w:tcBorders>
          </w:tcPr>
          <w:p>
            <w:pPr>
              <w:spacing w:after="0"/>
              <w:rPr>
                <w:sz w:val="22"/>
                <w:szCs w:val="22"/>
                <w:color w:val="auto"/>
              </w:rPr>
            </w:pPr>
          </w:p>
        </w:tc>
        <w:tc>
          <w:tcPr>
            <w:tcW w:w="880" w:type="dxa"/>
            <w:vAlign w:val="bottom"/>
            <w:tcBorders>
              <w:top w:val="single" w:sz="8" w:color="454546"/>
              <w:bottom w:val="single" w:sz="8" w:color="454546"/>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454546"/>
              </w:rPr>
              <w:t>572,076</w:t>
            </w:r>
          </w:p>
        </w:tc>
        <w:tc>
          <w:tcPr>
            <w:tcW w:w="10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60" w:type="dxa"/>
            <w:vAlign w:val="bottom"/>
            <w:tcBorders>
              <w:top w:val="single" w:sz="8" w:color="454546"/>
              <w:bottom w:val="single" w:sz="8" w:color="454546"/>
            </w:tcBorders>
          </w:tcPr>
          <w:p>
            <w:pPr>
              <w:spacing w:after="0"/>
              <w:rPr>
                <w:sz w:val="22"/>
                <w:szCs w:val="22"/>
                <w:color w:val="auto"/>
              </w:rPr>
            </w:pPr>
          </w:p>
        </w:tc>
        <w:tc>
          <w:tcPr>
            <w:tcW w:w="220" w:type="dxa"/>
            <w:vAlign w:val="bottom"/>
            <w:tcBorders>
              <w:top w:val="single" w:sz="8" w:color="454546"/>
              <w:bottom w:val="single" w:sz="8" w:color="454546"/>
            </w:tcBorders>
          </w:tcPr>
          <w:p>
            <w:pPr>
              <w:spacing w:after="0"/>
              <w:rPr>
                <w:sz w:val="22"/>
                <w:szCs w:val="22"/>
                <w:color w:val="auto"/>
              </w:rPr>
            </w:pPr>
          </w:p>
        </w:tc>
        <w:tc>
          <w:tcPr>
            <w:tcW w:w="8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(492)</w:t>
            </w:r>
          </w:p>
        </w:tc>
        <w:tc>
          <w:tcPr>
            <w:tcW w:w="8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60" w:type="dxa"/>
            <w:vAlign w:val="bottom"/>
            <w:tcBorders>
              <w:top w:val="single" w:sz="8" w:color="454546"/>
              <w:bottom w:val="single" w:sz="8" w:color="454546"/>
            </w:tcBorders>
          </w:tcPr>
          <w:p>
            <w:pPr>
              <w:spacing w:after="0"/>
              <w:rPr>
                <w:sz w:val="22"/>
                <w:szCs w:val="22"/>
                <w:color w:val="auto"/>
              </w:rPr>
            </w:pPr>
          </w:p>
        </w:tc>
        <w:tc>
          <w:tcPr>
            <w:tcW w:w="140" w:type="dxa"/>
            <w:vAlign w:val="bottom"/>
            <w:tcBorders>
              <w:top w:val="single" w:sz="8" w:color="454546"/>
              <w:bottom w:val="single" w:sz="8" w:color="454546"/>
            </w:tcBorders>
          </w:tcPr>
          <w:p>
            <w:pPr>
              <w:spacing w:after="0"/>
              <w:rPr>
                <w:sz w:val="22"/>
                <w:szCs w:val="22"/>
                <w:color w:val="auto"/>
              </w:rPr>
            </w:pP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34,486</w:t>
            </w:r>
          </w:p>
        </w:tc>
        <w:tc>
          <w:tcPr>
            <w:tcW w:w="100" w:type="dxa"/>
            <w:vAlign w:val="bottom"/>
            <w:tcBorders>
              <w:bottom w:val="single" w:sz="8" w:color="E5E6E7"/>
            </w:tcBorders>
          </w:tcPr>
          <w:p>
            <w:pPr>
              <w:spacing w:after="0"/>
              <w:rPr>
                <w:sz w:val="22"/>
                <w:szCs w:val="22"/>
                <w:color w:val="auto"/>
              </w:rPr>
            </w:pPr>
          </w:p>
        </w:tc>
        <w:tc>
          <w:tcPr>
            <w:tcW w:w="20" w:type="dxa"/>
            <w:vAlign w:val="bottom"/>
            <w:tcBorders>
              <w:top w:val="single" w:sz="8" w:color="454546"/>
              <w:bottom w:val="single" w:sz="8" w:color="454546"/>
            </w:tcBorders>
          </w:tcPr>
          <w:p>
            <w:pPr>
              <w:spacing w:after="0"/>
              <w:rPr>
                <w:sz w:val="22"/>
                <w:szCs w:val="22"/>
                <w:color w:val="auto"/>
              </w:rPr>
            </w:pPr>
          </w:p>
        </w:tc>
        <w:tc>
          <w:tcPr>
            <w:tcW w:w="880" w:type="dxa"/>
            <w:vAlign w:val="bottom"/>
            <w:tcBorders>
              <w:top w:val="single" w:sz="8" w:color="454546"/>
              <w:bottom w:val="single" w:sz="8" w:color="454546"/>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606,088</w:t>
            </w:r>
          </w:p>
        </w:tc>
        <w:tc>
          <w:tcPr>
            <w:tcW w:w="80" w:type="dxa"/>
            <w:vAlign w:val="bottom"/>
            <w:tcBorders>
              <w:bottom w:val="single" w:sz="8" w:color="E5E6E7"/>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400" w:type="dxa"/>
            <w:vAlign w:val="bottom"/>
            <w:shd w:val="clear" w:color="auto" w:fill="E5E6E7"/>
          </w:tcPr>
          <w:p>
            <w:pPr>
              <w:ind w:left="200"/>
              <w:spacing w:after="0" w:line="215" w:lineRule="exact"/>
              <w:rPr>
                <w:sz w:val="20"/>
                <w:szCs w:val="20"/>
                <w:color w:val="auto"/>
              </w:rPr>
            </w:pPr>
            <w:r>
              <w:rPr>
                <w:rFonts w:ascii="Times New Roman" w:cs="Times New Roman" w:eastAsia="Times New Roman" w:hAnsi="Times New Roman"/>
                <w:sz w:val="20"/>
                <w:szCs w:val="20"/>
                <w:color w:val="454546"/>
              </w:rPr>
              <w:t>Issuance of shares through employee equity plans</w:t>
            </w:r>
          </w:p>
        </w:tc>
        <w:tc>
          <w:tcPr>
            <w:tcW w:w="98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1,325,539</w:t>
            </w:r>
          </w:p>
        </w:tc>
        <w:tc>
          <w:tcPr>
            <w:tcW w:w="1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70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60" w:type="dxa"/>
            <w:vAlign w:val="bottom"/>
            <w:gridSpan w:val="2"/>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7,280</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20" w:type="dxa"/>
            <w:vAlign w:val="bottom"/>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880" w:type="dxa"/>
            <w:vAlign w:val="bottom"/>
            <w:gridSpan w:val="2"/>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7,280</w:t>
            </w:r>
          </w:p>
        </w:tc>
        <w:tc>
          <w:tcPr>
            <w:tcW w:w="8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Issuance of shares through employee stock</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152,019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454546"/>
              </w:rPr>
              <w:t>7,934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7,934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4"/>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107,677</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107,677</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Other comprehensive gain - net of tax</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Net loss</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(169,417)</w:t>
            </w:r>
          </w:p>
        </w:tc>
        <w:tc>
          <w:tcPr>
            <w:tcW w:w="20" w:type="dxa"/>
            <w:vAlign w:val="bottom"/>
            <w:shd w:val="clear" w:color="auto" w:fill="E5E6E7"/>
          </w:tcPr>
          <w:p>
            <w:pPr>
              <w:spacing w:after="0"/>
              <w:rPr>
                <w:sz w:val="19"/>
                <w:szCs w:val="19"/>
                <w:color w:val="auto"/>
              </w:rPr>
            </w:pPr>
          </w:p>
        </w:tc>
        <w:tc>
          <w:tcPr>
            <w:tcW w:w="96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(169,417)</w:t>
            </w:r>
          </w:p>
        </w:tc>
        <w:tc>
          <w:tcPr>
            <w:tcW w:w="0" w:type="dxa"/>
            <w:vAlign w:val="bottom"/>
          </w:tcPr>
          <w:p>
            <w:pPr>
              <w:spacing w:after="0"/>
              <w:rPr>
                <w:sz w:val="1"/>
                <w:szCs w:val="1"/>
                <w:color w:val="auto"/>
              </w:rPr>
            </w:pPr>
          </w:p>
        </w:tc>
      </w:tr>
      <w:tr>
        <w:trPr>
          <w:trHeight w:val="220"/>
        </w:trPr>
        <w:tc>
          <w:tcPr>
            <w:tcW w:w="440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Balance--January 31, 2024</w:t>
            </w:r>
          </w:p>
        </w:tc>
        <w:tc>
          <w:tcPr>
            <w:tcW w:w="9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40,520,558</w:t>
            </w:r>
          </w:p>
        </w:tc>
        <w:tc>
          <w:tcPr>
            <w:tcW w:w="180" w:type="dxa"/>
            <w:vAlign w:val="bottom"/>
          </w:tcPr>
          <w:p>
            <w:pPr>
              <w:spacing w:after="0"/>
              <w:rPr>
                <w:sz w:val="19"/>
                <w:szCs w:val="19"/>
                <w:color w:val="auto"/>
              </w:rPr>
            </w:pPr>
          </w:p>
        </w:tc>
        <w:tc>
          <w:tcPr>
            <w:tcW w:w="100" w:type="dxa"/>
            <w:vAlign w:val="bottom"/>
            <w:tcBorders>
              <w:top w:val="single" w:sz="8" w:color="454546"/>
              <w:bottom w:val="single" w:sz="8" w:color="454546"/>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w:t>
            </w:r>
          </w:p>
        </w:tc>
        <w:tc>
          <w:tcPr>
            <w:tcW w:w="180" w:type="dxa"/>
            <w:vAlign w:val="bottom"/>
            <w:gridSpan w:val="3"/>
          </w:tcPr>
          <w:p>
            <w:pPr>
              <w:spacing w:after="0"/>
              <w:rPr>
                <w:sz w:val="19"/>
                <w:szCs w:val="19"/>
                <w:color w:val="auto"/>
              </w:rPr>
            </w:pPr>
          </w:p>
        </w:tc>
        <w:tc>
          <w:tcPr>
            <w:tcW w:w="8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97"/>
              </w:rPr>
              <w:t>$ 694,967</w:t>
            </w:r>
          </w:p>
        </w:tc>
        <w:tc>
          <w:tcPr>
            <w:tcW w:w="180" w:type="dxa"/>
            <w:vAlign w:val="bottom"/>
            <w:gridSpan w:val="3"/>
          </w:tcPr>
          <w:p>
            <w:pPr>
              <w:spacing w:after="0"/>
              <w:rPr>
                <w:sz w:val="19"/>
                <w:szCs w:val="19"/>
                <w:color w:val="auto"/>
              </w:rPr>
            </w:pPr>
          </w:p>
        </w:tc>
        <w:tc>
          <w:tcPr>
            <w:tcW w:w="220" w:type="dxa"/>
            <w:vAlign w:val="bottom"/>
            <w:tcBorders>
              <w:top w:val="single" w:sz="8" w:color="454546"/>
              <w:bottom w:val="single" w:sz="8" w:color="454546"/>
            </w:tcBorders>
          </w:tcPr>
          <w:p>
            <w:pPr>
              <w:jc w:val="right"/>
              <w:ind w:right="32"/>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(134,931</w:t>
            </w: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w w:val="8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99"/>
              </w:rPr>
              <w:t>$ 559,871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80" w:type="dxa"/>
            <w:vAlign w:val="bottom"/>
            <w:tcBorders>
              <w:bottom w:val="single" w:sz="8" w:color="454546"/>
            </w:tcBorders>
          </w:tcPr>
          <w:p>
            <w:pPr>
              <w:spacing w:after="0" w:line="20" w:lineRule="exact"/>
              <w:rPr>
                <w:sz w:val="1"/>
                <w:szCs w:val="1"/>
                <w:color w:val="auto"/>
              </w:rPr>
            </w:pPr>
          </w:p>
        </w:tc>
        <w:tc>
          <w:tcPr>
            <w:tcW w:w="70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See accompanying notes to consolidated financial statements.</w:t>
      </w:r>
    </w:p>
    <w:p>
      <w:pPr>
        <w:sectPr>
          <w:pgSz w:w="12240" w:h="15840" w:orient="portrait"/>
          <w:cols w:equalWidth="0" w:num="1">
            <w:col w:w="10800"/>
          </w:cols>
          <w:pgMar w:left="720" w:top="1207"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77</w:t>
      </w:r>
    </w:p>
    <w:p>
      <w:pPr>
        <w:sectPr>
          <w:pgSz w:w="12240" w:h="15840" w:orient="portrait"/>
          <w:cols w:equalWidth="0" w:num="1">
            <w:col w:w="10800"/>
          </w:cols>
          <w:pgMar w:left="720" w:top="1207" w:right="720" w:bottom="175"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color w:val="454546"/>
        </w:rPr>
        <w:t>AMBARELLA,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454546"/>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spacing w:after="0"/>
              <w:rPr>
                <w:sz w:val="17"/>
                <w:szCs w:val="17"/>
                <w:color w:val="auto"/>
              </w:rPr>
            </w:pPr>
          </w:p>
        </w:tc>
        <w:tc>
          <w:tcPr>
            <w:tcW w:w="1760" w:type="dxa"/>
            <w:vAlign w:val="bottom"/>
            <w:tcBorders>
              <w:bottom w:val="single" w:sz="8" w:color="454546"/>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20" w:type="dxa"/>
            <w:vAlign w:val="bottom"/>
            <w:tcBorders>
              <w:bottom w:val="single" w:sz="8" w:color="454546"/>
            </w:tcBorders>
          </w:tcPr>
          <w:p>
            <w:pPr>
              <w:spacing w:after="0"/>
              <w:rPr>
                <w:sz w:val="17"/>
                <w:szCs w:val="17"/>
                <w:color w:val="auto"/>
              </w:rPr>
            </w:pPr>
          </w:p>
        </w:tc>
        <w:tc>
          <w:tcPr>
            <w:tcW w:w="280" w:type="dxa"/>
            <w:vAlign w:val="bottom"/>
            <w:tcBorders>
              <w:bottom w:val="single" w:sz="8" w:color="454546"/>
            </w:tcBorders>
          </w:tcPr>
          <w:p>
            <w:pPr>
              <w:spacing w:after="0"/>
              <w:rPr>
                <w:sz w:val="17"/>
                <w:szCs w:val="17"/>
                <w:color w:val="auto"/>
              </w:rPr>
            </w:pPr>
          </w:p>
        </w:tc>
        <w:tc>
          <w:tcPr>
            <w:tcW w:w="100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E5E6E7"/>
            </w:tcBorders>
          </w:tcPr>
          <w:p>
            <w:pPr>
              <w:spacing w:after="0"/>
              <w:rPr>
                <w:sz w:val="15"/>
                <w:szCs w:val="15"/>
                <w:color w:val="auto"/>
              </w:rPr>
            </w:pPr>
          </w:p>
        </w:tc>
        <w:tc>
          <w:tcPr>
            <w:tcW w:w="24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1000" w:type="dxa"/>
            <w:vAlign w:val="bottom"/>
            <w:tcBorders>
              <w:bottom w:val="single" w:sz="8" w:color="454546"/>
            </w:tcBorders>
          </w:tcPr>
          <w:p>
            <w:pPr>
              <w:jc w:val="right"/>
              <w:ind w:right="385"/>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Borders>
              <w:bottom w:val="single" w:sz="8" w:color="E5E6E7"/>
            </w:tcBorders>
          </w:tcPr>
          <w:p>
            <w:pPr>
              <w:spacing w:after="0"/>
              <w:rPr>
                <w:sz w:val="15"/>
                <w:szCs w:val="15"/>
                <w:color w:val="auto"/>
              </w:rPr>
            </w:pPr>
          </w:p>
        </w:tc>
        <w:tc>
          <w:tcPr>
            <w:tcW w:w="10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980" w:type="dxa"/>
            <w:vAlign w:val="bottom"/>
            <w:tcBorders>
              <w:bottom w:val="single" w:sz="8" w:color="454546"/>
            </w:tcBorders>
          </w:tcPr>
          <w:p>
            <w:pPr>
              <w:jc w:val="right"/>
              <w:ind w:right="385"/>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40" w:type="dxa"/>
            <w:vAlign w:val="bottom"/>
            <w:tcBorders>
              <w:bottom w:val="single" w:sz="8" w:color="E5E6E7"/>
            </w:tcBorders>
          </w:tcPr>
          <w:p>
            <w:pPr>
              <w:spacing w:after="0"/>
              <w:rPr>
                <w:sz w:val="15"/>
                <w:szCs w:val="15"/>
                <w:color w:val="auto"/>
              </w:rPr>
            </w:pPr>
          </w:p>
        </w:tc>
        <w:tc>
          <w:tcPr>
            <w:tcW w:w="20" w:type="dxa"/>
            <w:vAlign w:val="bottom"/>
            <w:tcBorders>
              <w:bottom w:val="single" w:sz="8" w:color="E5E6E7"/>
            </w:tcBorders>
          </w:tcPr>
          <w:p>
            <w:pPr>
              <w:spacing w:after="0"/>
              <w:rPr>
                <w:sz w:val="15"/>
                <w:szCs w:val="15"/>
                <w:color w:val="auto"/>
              </w:rPr>
            </w:pPr>
          </w:p>
        </w:tc>
        <w:tc>
          <w:tcPr>
            <w:tcW w:w="280" w:type="dxa"/>
            <w:vAlign w:val="bottom"/>
            <w:tcBorders>
              <w:bottom w:val="single" w:sz="8" w:color="454546"/>
            </w:tcBorders>
          </w:tcPr>
          <w:p>
            <w:pPr>
              <w:spacing w:after="0"/>
              <w:rPr>
                <w:sz w:val="15"/>
                <w:szCs w:val="15"/>
                <w:color w:val="auto"/>
              </w:rPr>
            </w:pPr>
          </w:p>
        </w:tc>
        <w:tc>
          <w:tcPr>
            <w:tcW w:w="1000" w:type="dxa"/>
            <w:vAlign w:val="bottom"/>
            <w:tcBorders>
              <w:bottom w:val="single" w:sz="8" w:color="454546"/>
            </w:tcBorders>
          </w:tcPr>
          <w:p>
            <w:pPr>
              <w:jc w:val="right"/>
              <w:ind w:right="385"/>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Borders>
              <w:bottom w:val="single" w:sz="8" w:color="E5E6E7"/>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12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19"/>
                <w:szCs w:val="19"/>
                <w:b w:val="1"/>
                <w:bCs w:val="1"/>
                <w:color w:val="454546"/>
              </w:rPr>
              <w:t>Cash flows from operating activities: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200"/>
              <w:spacing w:after="0"/>
              <w:rPr>
                <w:sz w:val="20"/>
                <w:szCs w:val="20"/>
                <w:color w:val="auto"/>
              </w:rPr>
            </w:pPr>
            <w:r>
              <w:rPr>
                <w:rFonts w:ascii="Times New Roman" w:cs="Times New Roman" w:eastAsia="Times New Roman" w:hAnsi="Times New Roman"/>
                <w:sz w:val="19"/>
                <w:szCs w:val="19"/>
                <w:color w:val="454546"/>
              </w:rPr>
              <w:t>Net loss</w:t>
            </w:r>
          </w:p>
        </w:tc>
        <w:tc>
          <w:tcPr>
            <w:tcW w:w="240" w:type="dxa"/>
            <w:vAlign w:val="bottom"/>
          </w:tcPr>
          <w:p>
            <w:pPr>
              <w:spacing w:after="0"/>
              <w:rPr>
                <w:sz w:val="18"/>
                <w:szCs w:val="18"/>
                <w:color w:val="auto"/>
              </w:rPr>
            </w:pP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454546"/>
                <w:w w:val="8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(169,417)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(65,386)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454546"/>
                <w:w w:val="8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(26,411)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20" w:type="dxa"/>
            <w:vAlign w:val="bottom"/>
            <w:shd w:val="clear" w:color="auto" w:fill="E5E6E7"/>
          </w:tcPr>
          <w:p>
            <w:pPr>
              <w:ind w:left="200"/>
              <w:spacing w:after="0" w:line="199" w:lineRule="exact"/>
              <w:rPr>
                <w:sz w:val="20"/>
                <w:szCs w:val="20"/>
                <w:color w:val="auto"/>
              </w:rPr>
            </w:pPr>
            <w:r>
              <w:rPr>
                <w:rFonts w:ascii="Times New Roman" w:cs="Times New Roman" w:eastAsia="Times New Roman" w:hAnsi="Times New Roman"/>
                <w:sz w:val="19"/>
                <w:szCs w:val="19"/>
                <w:color w:val="454546"/>
              </w:rPr>
              <w:t>Adjustments to reconcile net loss to net cash provided by operating</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00" w:type="dxa"/>
            <w:vAlign w:val="bottom"/>
            <w:shd w:val="clear" w:color="auto" w:fill="E5E6E7"/>
          </w:tcPr>
          <w:p>
            <w:pPr>
              <w:spacing w:after="0"/>
              <w:rPr>
                <w:sz w:val="17"/>
                <w:szCs w:val="17"/>
                <w:color w:val="auto"/>
              </w:rPr>
            </w:pPr>
          </w:p>
        </w:tc>
        <w:tc>
          <w:tcPr>
            <w:tcW w:w="16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980" w:type="dxa"/>
            <w:vAlign w:val="bottom"/>
            <w:shd w:val="clear" w:color="auto" w:fill="E5E6E7"/>
          </w:tcPr>
          <w:p>
            <w:pPr>
              <w:spacing w:after="0"/>
              <w:rPr>
                <w:sz w:val="17"/>
                <w:szCs w:val="17"/>
                <w:color w:val="auto"/>
              </w:rPr>
            </w:pPr>
          </w:p>
        </w:tc>
        <w:tc>
          <w:tcPr>
            <w:tcW w:w="240" w:type="dxa"/>
            <w:vAlign w:val="bottom"/>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0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E5E6E7"/>
          </w:tcPr>
          <w:p>
            <w:pPr>
              <w:ind w:left="340"/>
              <w:spacing w:after="0"/>
              <w:rPr>
                <w:sz w:val="20"/>
                <w:szCs w:val="20"/>
                <w:color w:val="auto"/>
              </w:rPr>
            </w:pPr>
            <w:r>
              <w:rPr>
                <w:rFonts w:ascii="Times New Roman" w:cs="Times New Roman" w:eastAsia="Times New Roman" w:hAnsi="Times New Roman"/>
                <w:sz w:val="19"/>
                <w:szCs w:val="19"/>
                <w:color w:val="454546"/>
              </w:rPr>
              <w:t>activities:</w:t>
            </w:r>
          </w:p>
        </w:tc>
        <w:tc>
          <w:tcPr>
            <w:tcW w:w="24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98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Depreciation and amortization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24,813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19,934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14,007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20" w:type="dxa"/>
            <w:vAlign w:val="bottom"/>
            <w:shd w:val="clear" w:color="auto" w:fill="E5E6E7"/>
          </w:tcPr>
          <w:p>
            <w:pPr>
              <w:ind w:left="400"/>
              <w:spacing w:after="0" w:line="199" w:lineRule="exact"/>
              <w:rPr>
                <w:sz w:val="20"/>
                <w:szCs w:val="20"/>
                <w:color w:val="auto"/>
              </w:rPr>
            </w:pPr>
            <w:r>
              <w:rPr>
                <w:rFonts w:ascii="Times New Roman" w:cs="Times New Roman" w:eastAsia="Times New Roman" w:hAnsi="Times New Roman"/>
                <w:sz w:val="19"/>
                <w:szCs w:val="19"/>
                <w:color w:val="454546"/>
              </w:rPr>
              <w:t>Amortization (accretion) of premium (discount) on marketable debt</w:t>
            </w:r>
          </w:p>
        </w:tc>
        <w:tc>
          <w:tcPr>
            <w:tcW w:w="24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160" w:type="dxa"/>
            <w:vAlign w:val="bottom"/>
            <w:gridSpan w:val="2"/>
            <w:vMerge w:val="restart"/>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(1,154)</w:t>
            </w:r>
          </w:p>
        </w:tc>
        <w:tc>
          <w:tcPr>
            <w:tcW w:w="10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220" w:type="dxa"/>
            <w:vAlign w:val="bottom"/>
            <w:gridSpan w:val="2"/>
            <w:vMerge w:val="restart"/>
            <w:shd w:val="clear" w:color="auto" w:fill="E5E6E7"/>
          </w:tcPr>
          <w:p>
            <w:pPr>
              <w:jc w:val="right"/>
              <w:ind w:right="180"/>
              <w:spacing w:after="0"/>
              <w:rPr>
                <w:sz w:val="20"/>
                <w:szCs w:val="20"/>
                <w:color w:val="auto"/>
              </w:rPr>
            </w:pPr>
            <w:r>
              <w:rPr>
                <w:rFonts w:ascii="Times New Roman" w:cs="Times New Roman" w:eastAsia="Times New Roman" w:hAnsi="Times New Roman"/>
                <w:sz w:val="19"/>
                <w:szCs w:val="19"/>
                <w:color w:val="454546"/>
              </w:rPr>
              <w:t>(683)</w:t>
            </w:r>
          </w:p>
        </w:tc>
        <w:tc>
          <w:tcPr>
            <w:tcW w:w="20" w:type="dxa"/>
            <w:vAlign w:val="bottom"/>
            <w:shd w:val="clear" w:color="auto" w:fill="E5E6E7"/>
          </w:tcPr>
          <w:p>
            <w:pPr>
              <w:spacing w:after="0"/>
              <w:rPr>
                <w:sz w:val="17"/>
                <w:szCs w:val="17"/>
                <w:color w:val="auto"/>
              </w:rPr>
            </w:pPr>
          </w:p>
        </w:tc>
        <w:tc>
          <w:tcPr>
            <w:tcW w:w="280" w:type="dxa"/>
            <w:vAlign w:val="bottom"/>
            <w:shd w:val="clear" w:color="auto" w:fill="E5E6E7"/>
          </w:tcPr>
          <w:p>
            <w:pPr>
              <w:spacing w:after="0"/>
              <w:rPr>
                <w:sz w:val="17"/>
                <w:szCs w:val="17"/>
                <w:color w:val="auto"/>
              </w:rPr>
            </w:pPr>
          </w:p>
        </w:tc>
        <w:tc>
          <w:tcPr>
            <w:tcW w:w="1000" w:type="dxa"/>
            <w:vAlign w:val="bottom"/>
            <w:vMerge w:val="restart"/>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1,034</w:t>
            </w:r>
          </w:p>
        </w:tc>
        <w:tc>
          <w:tcPr>
            <w:tcW w:w="10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securities, net</w:t>
            </w:r>
          </w:p>
        </w:tc>
        <w:tc>
          <w:tcPr>
            <w:tcW w:w="24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160" w:type="dxa"/>
            <w:vAlign w:val="bottom"/>
            <w:gridSpan w:val="2"/>
            <w:vMerge w:val="continue"/>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220" w:type="dxa"/>
            <w:vAlign w:val="bottom"/>
            <w:gridSpan w:val="2"/>
            <w:vMerge w:val="continue"/>
            <w:shd w:val="clear" w:color="auto" w:fill="E5E6E7"/>
          </w:tcPr>
          <w:p>
            <w:pPr>
              <w:spacing w:after="0"/>
              <w:rPr>
                <w:sz w:val="20"/>
                <w:szCs w:val="20"/>
                <w:color w:val="auto"/>
              </w:rPr>
            </w:pP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vMerge w:val="continue"/>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Stock-based compensation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111,316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111,158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87,801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Deferred income taxes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19,042</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2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9"/>
                <w:szCs w:val="19"/>
                <w:color w:val="454546"/>
              </w:rPr>
              <w:t>(3,936)</w:t>
            </w: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(4,426)</w:t>
            </w: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Other non-cash items,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1,121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454546"/>
              </w:rPr>
              <w:t>(751)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454546"/>
              </w:rPr>
              <w:t>(509)</w:t>
            </w: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Changes in operating assets and liabilities: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Accounts receivable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27,037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454546"/>
              </w:rPr>
              <w:t>(7,680)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454546"/>
              </w:rPr>
              <w:t>(18,600)</w:t>
            </w: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Inventories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11,443</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4,733</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(18,944)</w:t>
            </w: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Prepaid expenses and other current assets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54546"/>
              </w:rPr>
              <w:t>(961)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Other non-current assets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38</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978</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832</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Accounts payable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10,658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454546"/>
              </w:rPr>
              <w:t>(13,325)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9,822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Accrued and other current liabilities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(6,660)</w:t>
            </w: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5,225</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(1,954)</w:t>
            </w: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Income taxes payable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54546"/>
              </w:rPr>
              <w:t>(2,571)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2,867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Deferred revenue</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(1,531)</w:t>
            </w: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1,012</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(131)</w:t>
            </w:r>
          </w:p>
        </w:tc>
        <w:tc>
          <w:tcPr>
            <w:tcW w:w="0" w:type="dxa"/>
            <w:vAlign w:val="bottom"/>
          </w:tcPr>
          <w:p>
            <w:pPr>
              <w:spacing w:after="0"/>
              <w:rPr>
                <w:sz w:val="1"/>
                <w:szCs w:val="1"/>
                <w:color w:val="auto"/>
              </w:rPr>
            </w:pPr>
          </w:p>
        </w:tc>
      </w:tr>
      <w:tr>
        <w:trPr>
          <w:trHeight w:val="218"/>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454546"/>
              </w:rPr>
              <w:t>Operating lease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54546"/>
              </w:rPr>
              <w:t>(3,877)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454546"/>
              </w:rPr>
              <w:t>(4,011)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454546"/>
              </w:rPr>
              <w:t>(3,608)</w:t>
            </w:r>
          </w:p>
        </w:tc>
        <w:tc>
          <w:tcPr>
            <w:tcW w:w="0" w:type="dxa"/>
            <w:vAlign w:val="bottom"/>
          </w:tcPr>
          <w:p>
            <w:pPr>
              <w:spacing w:after="0"/>
              <w:rPr>
                <w:sz w:val="1"/>
                <w:szCs w:val="1"/>
                <w:color w:val="auto"/>
              </w:rPr>
            </w:pPr>
          </w:p>
        </w:tc>
      </w:tr>
      <w:tr>
        <w:trPr>
          <w:trHeight w:val="238"/>
        </w:trPr>
        <w:tc>
          <w:tcPr>
            <w:tcW w:w="6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9"/>
                <w:szCs w:val="19"/>
                <w:color w:val="454546"/>
              </w:rPr>
              <w:t>Other long-term liabilities</w:t>
            </w:r>
          </w:p>
        </w:tc>
        <w:tc>
          <w:tcPr>
            <w:tcW w:w="24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1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(273)</w:t>
            </w: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2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9"/>
                <w:szCs w:val="19"/>
                <w:color w:val="454546"/>
              </w:rPr>
              <w:t>(6,195)</w:t>
            </w: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(429)</w:t>
            </w:r>
          </w:p>
        </w:tc>
        <w:tc>
          <w:tcPr>
            <w:tcW w:w="0" w:type="dxa"/>
            <w:vAlign w:val="bottom"/>
          </w:tcPr>
          <w:p>
            <w:pPr>
              <w:spacing w:after="0"/>
              <w:rPr>
                <w:sz w:val="1"/>
                <w:szCs w:val="1"/>
                <w:color w:val="auto"/>
              </w:rPr>
            </w:pPr>
          </w:p>
        </w:tc>
      </w:tr>
      <w:tr>
        <w:trPr>
          <w:trHeight w:val="188"/>
        </w:trPr>
        <w:tc>
          <w:tcPr>
            <w:tcW w:w="6120" w:type="dxa"/>
            <w:vAlign w:val="bottom"/>
            <w:tcBorders>
              <w:top w:val="single" w:sz="8" w:color="E5E6E7"/>
              <w:bottom w:val="single" w:sz="8" w:color="E5E6E7"/>
            </w:tcBorders>
          </w:tcPr>
          <w:p>
            <w:pPr>
              <w:ind w:left="600"/>
              <w:spacing w:after="0" w:line="189" w:lineRule="exact"/>
              <w:rPr>
                <w:sz w:val="20"/>
                <w:szCs w:val="20"/>
                <w:color w:val="auto"/>
              </w:rPr>
            </w:pPr>
            <w:r>
              <w:rPr>
                <w:rFonts w:ascii="Times New Roman" w:cs="Times New Roman" w:eastAsia="Times New Roman" w:hAnsi="Times New Roman"/>
                <w:sz w:val="19"/>
                <w:szCs w:val="19"/>
                <w:color w:val="454546"/>
              </w:rPr>
              <w:t>Net cash provided by operating activities</w:t>
            </w:r>
          </w:p>
        </w:tc>
        <w:tc>
          <w:tcPr>
            <w:tcW w:w="24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19,024</w:t>
            </w:r>
          </w:p>
        </w:tc>
        <w:tc>
          <w:tcPr>
            <w:tcW w:w="160" w:type="dxa"/>
            <w:vAlign w:val="bottom"/>
            <w:tcBorders>
              <w:top w:val="single" w:sz="8" w:color="E5E6E7"/>
              <w:bottom w:val="single" w:sz="8" w:color="E5E6E7"/>
            </w:tcBorders>
          </w:tcPr>
          <w:p>
            <w:pPr>
              <w:spacing w:after="0"/>
              <w:rPr>
                <w:sz w:val="16"/>
                <w:szCs w:val="16"/>
                <w:color w:val="auto"/>
              </w:rPr>
            </w:pPr>
          </w:p>
        </w:tc>
        <w:tc>
          <w:tcPr>
            <w:tcW w:w="10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98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44,093</w:t>
            </w:r>
          </w:p>
        </w:tc>
        <w:tc>
          <w:tcPr>
            <w:tcW w:w="24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38,795</w:t>
            </w:r>
          </w:p>
        </w:tc>
        <w:tc>
          <w:tcPr>
            <w:tcW w:w="100" w:type="dxa"/>
            <w:vAlign w:val="bottom"/>
            <w:tcBorders>
              <w:top w:val="single" w:sz="8" w:color="E5E6E7"/>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19"/>
                <w:szCs w:val="19"/>
                <w:b w:val="1"/>
                <w:bCs w:val="1"/>
                <w:color w:val="454546"/>
              </w:rPr>
              <w:t>Cash flows from investing activities: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0"/>
              <w:spacing w:after="0"/>
              <w:rPr>
                <w:sz w:val="20"/>
                <w:szCs w:val="20"/>
                <w:color w:val="auto"/>
              </w:rPr>
            </w:pPr>
            <w:r>
              <w:rPr>
                <w:rFonts w:ascii="Times New Roman" w:cs="Times New Roman" w:eastAsia="Times New Roman" w:hAnsi="Times New Roman"/>
                <w:sz w:val="19"/>
                <w:szCs w:val="19"/>
                <w:color w:val="454546"/>
              </w:rPr>
              <w:t>Acquisition, net of cash acquired</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(307,038)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Purchases of investments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(34,178)</w:t>
            </w: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2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9"/>
                <w:szCs w:val="19"/>
                <w:color w:val="454546"/>
              </w:rPr>
              <w:t>(97,437)</w:t>
            </w: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(118,726)</w:t>
            </w:r>
          </w:p>
        </w:tc>
        <w:tc>
          <w:tcPr>
            <w:tcW w:w="0" w:type="dxa"/>
            <w:vAlign w:val="bottom"/>
          </w:tcPr>
          <w:p>
            <w:pPr>
              <w:spacing w:after="0"/>
              <w:rPr>
                <w:sz w:val="1"/>
                <w:szCs w:val="1"/>
                <w:color w:val="auto"/>
              </w:rPr>
            </w:pPr>
          </w:p>
        </w:tc>
      </w:tr>
      <w:tr>
        <w:trPr>
          <w:trHeight w:val="218"/>
        </w:trPr>
        <w:tc>
          <w:tcPr>
            <w:tcW w:w="6120" w:type="dxa"/>
            <w:vAlign w:val="bottom"/>
          </w:tcPr>
          <w:p>
            <w:pPr>
              <w:ind w:left="200"/>
              <w:spacing w:after="0"/>
              <w:rPr>
                <w:sz w:val="20"/>
                <w:szCs w:val="20"/>
                <w:color w:val="auto"/>
              </w:rPr>
            </w:pPr>
            <w:r>
              <w:rPr>
                <w:rFonts w:ascii="Times New Roman" w:cs="Times New Roman" w:eastAsia="Times New Roman" w:hAnsi="Times New Roman"/>
                <w:sz w:val="19"/>
                <w:szCs w:val="19"/>
                <w:color w:val="454546"/>
              </w:rPr>
              <w:t>Sales of investments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7,062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2,444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208,132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Maturities of investments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46,935</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2,000</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107,760</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200"/>
              <w:spacing w:after="0"/>
              <w:rPr>
                <w:sz w:val="20"/>
                <w:szCs w:val="20"/>
                <w:color w:val="auto"/>
              </w:rPr>
            </w:pPr>
            <w:r>
              <w:rPr>
                <w:rFonts w:ascii="Times New Roman" w:cs="Times New Roman" w:eastAsia="Times New Roman" w:hAnsi="Times New Roman"/>
                <w:sz w:val="19"/>
                <w:szCs w:val="19"/>
                <w:color w:val="454546"/>
              </w:rPr>
              <w:t>Purchase of tangible and intangible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454546"/>
              </w:rPr>
              <w:t>(11,977)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454546"/>
              </w:rPr>
              <w:t>(15,051)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454546"/>
              </w:rPr>
              <w:t>(9,679)</w:t>
            </w:r>
          </w:p>
        </w:tc>
        <w:tc>
          <w:tcPr>
            <w:tcW w:w="0" w:type="dxa"/>
            <w:vAlign w:val="bottom"/>
          </w:tcPr>
          <w:p>
            <w:pPr>
              <w:spacing w:after="0"/>
              <w:rPr>
                <w:sz w:val="1"/>
                <w:szCs w:val="1"/>
                <w:color w:val="auto"/>
              </w:rPr>
            </w:pPr>
          </w:p>
        </w:tc>
      </w:tr>
      <w:tr>
        <w:trPr>
          <w:trHeight w:val="250"/>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Escrow claim associated with business acquisition</w:t>
            </w:r>
          </w:p>
        </w:tc>
        <w:tc>
          <w:tcPr>
            <w:tcW w:w="24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9"/>
                <w:szCs w:val="19"/>
                <w:color w:val="454546"/>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749</w:t>
            </w:r>
          </w:p>
        </w:tc>
        <w:tc>
          <w:tcPr>
            <w:tcW w:w="24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0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188"/>
        </w:trPr>
        <w:tc>
          <w:tcPr>
            <w:tcW w:w="6120" w:type="dxa"/>
            <w:vAlign w:val="bottom"/>
            <w:tcBorders>
              <w:top w:val="single" w:sz="8" w:color="E5E6E7"/>
              <w:bottom w:val="single" w:sz="8" w:color="E5E6E7"/>
            </w:tcBorders>
          </w:tcPr>
          <w:p>
            <w:pPr>
              <w:ind w:left="600"/>
              <w:spacing w:after="0" w:line="189" w:lineRule="exact"/>
              <w:rPr>
                <w:sz w:val="20"/>
                <w:szCs w:val="20"/>
                <w:color w:val="auto"/>
              </w:rPr>
            </w:pPr>
            <w:r>
              <w:rPr>
                <w:rFonts w:ascii="Times New Roman" w:cs="Times New Roman" w:eastAsia="Times New Roman" w:hAnsi="Times New Roman"/>
                <w:sz w:val="19"/>
                <w:szCs w:val="19"/>
                <w:color w:val="454546"/>
              </w:rPr>
              <w:t>Net cash provided by (used in) investing activities</w:t>
            </w:r>
          </w:p>
        </w:tc>
        <w:tc>
          <w:tcPr>
            <w:tcW w:w="24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7,842</w:t>
            </w:r>
          </w:p>
        </w:tc>
        <w:tc>
          <w:tcPr>
            <w:tcW w:w="160" w:type="dxa"/>
            <w:vAlign w:val="bottom"/>
            <w:tcBorders>
              <w:top w:val="single" w:sz="8" w:color="E5E6E7"/>
              <w:bottom w:val="single" w:sz="8" w:color="E5E6E7"/>
            </w:tcBorders>
          </w:tcPr>
          <w:p>
            <w:pPr>
              <w:spacing w:after="0"/>
              <w:rPr>
                <w:sz w:val="16"/>
                <w:szCs w:val="16"/>
                <w:color w:val="auto"/>
              </w:rPr>
            </w:pPr>
          </w:p>
        </w:tc>
        <w:tc>
          <w:tcPr>
            <w:tcW w:w="10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98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(107,295)</w:t>
            </w:r>
          </w:p>
        </w:tc>
        <w:tc>
          <w:tcPr>
            <w:tcW w:w="24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(119,551)</w:t>
            </w:r>
          </w:p>
        </w:tc>
        <w:tc>
          <w:tcPr>
            <w:tcW w:w="100" w:type="dxa"/>
            <w:vAlign w:val="bottom"/>
            <w:tcBorders>
              <w:top w:val="single" w:sz="8" w:color="E5E6E7"/>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19"/>
                <w:szCs w:val="19"/>
                <w:b w:val="1"/>
                <w:bCs w:val="1"/>
                <w:color w:val="454546"/>
              </w:rPr>
              <w:t>Cash flows from financing activities:</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Pr>
          <w:p>
            <w:pPr>
              <w:ind w:left="200"/>
              <w:spacing w:after="0"/>
              <w:rPr>
                <w:sz w:val="20"/>
                <w:szCs w:val="20"/>
                <w:color w:val="auto"/>
              </w:rPr>
            </w:pPr>
            <w:r>
              <w:rPr>
                <w:rFonts w:ascii="Times New Roman" w:cs="Times New Roman" w:eastAsia="Times New Roman" w:hAnsi="Times New Roman"/>
                <w:sz w:val="19"/>
                <w:szCs w:val="19"/>
                <w:color w:val="454546"/>
              </w:rPr>
              <w:t>Proceeds from exercise of stock options and employee stock purchase plan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10,536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10,585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454546"/>
              </w:rPr>
              <w:t>15,292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Long-term financing payment for intangible assets</w:t>
            </w:r>
          </w:p>
        </w:tc>
        <w:tc>
          <w:tcPr>
            <w:tcW w:w="24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1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9"/>
                <w:szCs w:val="19"/>
                <w:color w:val="454546"/>
              </w:rPr>
              <w:t>(6,030)</w:t>
            </w:r>
          </w:p>
        </w:tc>
        <w:tc>
          <w:tcPr>
            <w:tcW w:w="10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22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9"/>
                <w:szCs w:val="19"/>
                <w:color w:val="454546"/>
              </w:rPr>
              <w:t>(4,887)</w:t>
            </w:r>
          </w:p>
        </w:tc>
        <w:tc>
          <w:tcPr>
            <w:tcW w:w="2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1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9"/>
                <w:szCs w:val="19"/>
                <w:color w:val="454546"/>
              </w:rPr>
              <w:t>(4,767)</w:t>
            </w:r>
          </w:p>
        </w:tc>
        <w:tc>
          <w:tcPr>
            <w:tcW w:w="0" w:type="dxa"/>
            <w:vAlign w:val="bottom"/>
          </w:tcPr>
          <w:p>
            <w:pPr>
              <w:spacing w:after="0"/>
              <w:rPr>
                <w:sz w:val="1"/>
                <w:szCs w:val="1"/>
                <w:color w:val="auto"/>
              </w:rPr>
            </w:pPr>
          </w:p>
        </w:tc>
      </w:tr>
      <w:tr>
        <w:trPr>
          <w:trHeight w:val="188"/>
        </w:trPr>
        <w:tc>
          <w:tcPr>
            <w:tcW w:w="6120" w:type="dxa"/>
            <w:vAlign w:val="bottom"/>
            <w:tcBorders>
              <w:top w:val="single" w:sz="8" w:color="E5E6E7"/>
              <w:bottom w:val="single" w:sz="8" w:color="E5E6E7"/>
            </w:tcBorders>
          </w:tcPr>
          <w:p>
            <w:pPr>
              <w:ind w:left="600"/>
              <w:spacing w:after="0" w:line="189" w:lineRule="exact"/>
              <w:rPr>
                <w:sz w:val="20"/>
                <w:szCs w:val="20"/>
                <w:color w:val="auto"/>
              </w:rPr>
            </w:pPr>
            <w:r>
              <w:rPr>
                <w:rFonts w:ascii="Times New Roman" w:cs="Times New Roman" w:eastAsia="Times New Roman" w:hAnsi="Times New Roman"/>
                <w:sz w:val="19"/>
                <w:szCs w:val="19"/>
                <w:color w:val="454546"/>
              </w:rPr>
              <w:t>Net cash provided by financing activities</w:t>
            </w:r>
          </w:p>
        </w:tc>
        <w:tc>
          <w:tcPr>
            <w:tcW w:w="24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4,506</w:t>
            </w:r>
          </w:p>
        </w:tc>
        <w:tc>
          <w:tcPr>
            <w:tcW w:w="160" w:type="dxa"/>
            <w:vAlign w:val="bottom"/>
            <w:tcBorders>
              <w:top w:val="single" w:sz="8" w:color="E5E6E7"/>
              <w:bottom w:val="single" w:sz="8" w:color="E5E6E7"/>
            </w:tcBorders>
          </w:tcPr>
          <w:p>
            <w:pPr>
              <w:spacing w:after="0"/>
              <w:rPr>
                <w:sz w:val="16"/>
                <w:szCs w:val="16"/>
                <w:color w:val="auto"/>
              </w:rPr>
            </w:pPr>
          </w:p>
        </w:tc>
        <w:tc>
          <w:tcPr>
            <w:tcW w:w="10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98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5,698</w:t>
            </w:r>
          </w:p>
        </w:tc>
        <w:tc>
          <w:tcPr>
            <w:tcW w:w="240" w:type="dxa"/>
            <w:vAlign w:val="bottom"/>
            <w:tcBorders>
              <w:top w:val="single" w:sz="8" w:color="E5E6E7"/>
              <w:bottom w:val="single" w:sz="8" w:color="E5E6E7"/>
            </w:tcBorders>
          </w:tcPr>
          <w:p>
            <w:pPr>
              <w:spacing w:after="0"/>
              <w:rPr>
                <w:sz w:val="16"/>
                <w:szCs w:val="16"/>
                <w:color w:val="auto"/>
              </w:rPr>
            </w:pPr>
          </w:p>
        </w:tc>
        <w:tc>
          <w:tcPr>
            <w:tcW w:w="20" w:type="dxa"/>
            <w:vAlign w:val="bottom"/>
            <w:tcBorders>
              <w:top w:val="single" w:sz="8" w:color="E5E6E7"/>
              <w:bottom w:val="single" w:sz="8" w:color="E5E6E7"/>
            </w:tcBorders>
          </w:tcPr>
          <w:p>
            <w:pPr>
              <w:spacing w:after="0"/>
              <w:rPr>
                <w:sz w:val="16"/>
                <w:szCs w:val="16"/>
                <w:color w:val="auto"/>
              </w:rPr>
            </w:pPr>
          </w:p>
        </w:tc>
        <w:tc>
          <w:tcPr>
            <w:tcW w:w="280" w:type="dxa"/>
            <w:vAlign w:val="bottom"/>
            <w:tcBorders>
              <w:top w:val="single" w:sz="8" w:color="454546"/>
              <w:bottom w:val="single" w:sz="8" w:color="454546"/>
            </w:tcBorders>
          </w:tcPr>
          <w:p>
            <w:pPr>
              <w:spacing w:after="0"/>
              <w:rPr>
                <w:sz w:val="16"/>
                <w:szCs w:val="16"/>
                <w:color w:val="auto"/>
              </w:rPr>
            </w:pPr>
          </w:p>
        </w:tc>
        <w:tc>
          <w:tcPr>
            <w:tcW w:w="1000" w:type="dxa"/>
            <w:vAlign w:val="bottom"/>
            <w:tcBorders>
              <w:top w:val="single" w:sz="8" w:color="454546"/>
              <w:bottom w:val="single" w:sz="8" w:color="454546"/>
            </w:tcBorders>
          </w:tcPr>
          <w:p>
            <w:pPr>
              <w:jc w:val="right"/>
              <w:spacing w:after="0" w:line="189" w:lineRule="exact"/>
              <w:rPr>
                <w:sz w:val="20"/>
                <w:szCs w:val="20"/>
                <w:color w:val="auto"/>
              </w:rPr>
            </w:pPr>
            <w:r>
              <w:rPr>
                <w:rFonts w:ascii="Times New Roman" w:cs="Times New Roman" w:eastAsia="Times New Roman" w:hAnsi="Times New Roman"/>
                <w:sz w:val="19"/>
                <w:szCs w:val="19"/>
                <w:color w:val="454546"/>
              </w:rPr>
              <w:t>10,525</w:t>
            </w:r>
          </w:p>
        </w:tc>
        <w:tc>
          <w:tcPr>
            <w:tcW w:w="100" w:type="dxa"/>
            <w:vAlign w:val="bottom"/>
            <w:tcBorders>
              <w:top w:val="single" w:sz="8" w:color="E5E6E7"/>
              <w:bottom w:val="single" w:sz="8" w:color="E5E6E7"/>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12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19"/>
                <w:szCs w:val="19"/>
                <w:color w:val="454546"/>
              </w:rPr>
              <w:t>Net increase (decrease) in cash, cash equivalents and restricted cash</w:t>
            </w:r>
          </w:p>
        </w:tc>
        <w:tc>
          <w:tcPr>
            <w:tcW w:w="24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31,372</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980" w:type="dxa"/>
            <w:vAlign w:val="bottom"/>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(57,504)</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1000" w:type="dxa"/>
            <w:vAlign w:val="bottom"/>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(70,231)</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9"/>
                <w:szCs w:val="19"/>
                <w:color w:val="454546"/>
              </w:rPr>
              <w:t>Cash, cash equivalents and restricted cash at beginning of period</w:t>
            </w:r>
          </w:p>
        </w:tc>
        <w:tc>
          <w:tcPr>
            <w:tcW w:w="240" w:type="dxa"/>
            <w:vAlign w:val="bottom"/>
            <w:tcBorders>
              <w:bottom w:val="single" w:sz="8" w:color="E5E6E7"/>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9"/>
                <w:szCs w:val="19"/>
                <w:color w:val="454546"/>
              </w:rPr>
              <w:t>113,549</w:t>
            </w:r>
          </w:p>
        </w:tc>
        <w:tc>
          <w:tcPr>
            <w:tcW w:w="160" w:type="dxa"/>
            <w:vAlign w:val="bottom"/>
            <w:tcBorders>
              <w:bottom w:val="single" w:sz="8" w:color="E5E6E7"/>
            </w:tcBorders>
          </w:tcPr>
          <w:p>
            <w:pPr>
              <w:spacing w:after="0"/>
              <w:rPr>
                <w:sz w:val="18"/>
                <w:szCs w:val="18"/>
                <w:color w:val="auto"/>
              </w:rPr>
            </w:pPr>
          </w:p>
        </w:tc>
        <w:tc>
          <w:tcPr>
            <w:tcW w:w="100" w:type="dxa"/>
            <w:vAlign w:val="bottom"/>
            <w:tcBorders>
              <w:bottom w:val="single" w:sz="8" w:color="E5E6E7"/>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9"/>
                <w:szCs w:val="19"/>
                <w:color w:val="454546"/>
              </w:rPr>
              <w:t>171,053</w:t>
            </w:r>
          </w:p>
        </w:tc>
        <w:tc>
          <w:tcPr>
            <w:tcW w:w="240" w:type="dxa"/>
            <w:vAlign w:val="bottom"/>
            <w:tcBorders>
              <w:bottom w:val="single" w:sz="8" w:color="E5E6E7"/>
            </w:tcBorders>
          </w:tcPr>
          <w:p>
            <w:pPr>
              <w:spacing w:after="0"/>
              <w:rPr>
                <w:sz w:val="18"/>
                <w:szCs w:val="18"/>
                <w:color w:val="auto"/>
              </w:rPr>
            </w:pPr>
          </w:p>
        </w:tc>
        <w:tc>
          <w:tcPr>
            <w:tcW w:w="20" w:type="dxa"/>
            <w:vAlign w:val="bottom"/>
            <w:tcBorders>
              <w:bottom w:val="single" w:sz="8" w:color="E5E6E7"/>
            </w:tcBorders>
          </w:tcPr>
          <w:p>
            <w:pPr>
              <w:spacing w:after="0"/>
              <w:rPr>
                <w:sz w:val="18"/>
                <w:szCs w:val="18"/>
                <w:color w:val="auto"/>
              </w:rPr>
            </w:pPr>
          </w:p>
        </w:tc>
        <w:tc>
          <w:tcPr>
            <w:tcW w:w="280" w:type="dxa"/>
            <w:vAlign w:val="bottom"/>
            <w:tcBorders>
              <w:bottom w:val="single" w:sz="8" w:color="454546"/>
            </w:tcBorders>
          </w:tcPr>
          <w:p>
            <w:pPr>
              <w:spacing w:after="0"/>
              <w:rPr>
                <w:sz w:val="18"/>
                <w:szCs w:val="18"/>
                <w:color w:val="auto"/>
              </w:rPr>
            </w:pPr>
          </w:p>
        </w:tc>
        <w:tc>
          <w:tcPr>
            <w:tcW w:w="10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9"/>
                <w:szCs w:val="19"/>
                <w:color w:val="454546"/>
              </w:rPr>
              <w:t>241,284</w:t>
            </w:r>
          </w:p>
        </w:tc>
        <w:tc>
          <w:tcPr>
            <w:tcW w:w="100" w:type="dxa"/>
            <w:vAlign w:val="bottom"/>
            <w:tcBorders>
              <w:bottom w:val="single" w:sz="8" w:color="E5E6E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E5E6E7"/>
          </w:tcPr>
          <w:p>
            <w:pPr>
              <w:spacing w:after="0" w:line="209" w:lineRule="exact"/>
              <w:rPr>
                <w:sz w:val="20"/>
                <w:szCs w:val="20"/>
                <w:color w:val="auto"/>
              </w:rPr>
            </w:pPr>
            <w:r>
              <w:rPr>
                <w:rFonts w:ascii="Times New Roman" w:cs="Times New Roman" w:eastAsia="Times New Roman" w:hAnsi="Times New Roman"/>
                <w:sz w:val="19"/>
                <w:szCs w:val="19"/>
                <w:color w:val="454546"/>
              </w:rPr>
              <w:t>Cash, cash equivalents and restricted cash at end of period</w:t>
            </w:r>
          </w:p>
        </w:tc>
        <w:tc>
          <w:tcPr>
            <w:tcW w:w="240" w:type="dxa"/>
            <w:vAlign w:val="bottom"/>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jc w:val="right"/>
              <w:ind w:right="85"/>
              <w:spacing w:after="0" w:line="209" w:lineRule="exact"/>
              <w:rPr>
                <w:sz w:val="20"/>
                <w:szCs w:val="20"/>
                <w:color w:val="auto"/>
              </w:rPr>
            </w:pPr>
            <w:r>
              <w:rPr>
                <w:rFonts w:ascii="Times New Roman" w:cs="Times New Roman" w:eastAsia="Times New Roman" w:hAnsi="Times New Roman"/>
                <w:sz w:val="19"/>
                <w:szCs w:val="19"/>
                <w:color w:val="454546"/>
                <w:w w:val="83"/>
              </w:rPr>
              <w:t>$</w:t>
            </w:r>
          </w:p>
        </w:tc>
        <w:tc>
          <w:tcPr>
            <w:tcW w:w="1000" w:type="dxa"/>
            <w:vAlign w:val="bottom"/>
            <w:tcBorders>
              <w:bottom w:val="single" w:sz="8" w:color="454546"/>
            </w:tcBorders>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144,921</w:t>
            </w:r>
          </w:p>
        </w:tc>
        <w:tc>
          <w:tcPr>
            <w:tcW w:w="16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jc w:val="right"/>
              <w:ind w:right="116"/>
              <w:spacing w:after="0"/>
              <w:rPr>
                <w:sz w:val="20"/>
                <w:szCs w:val="20"/>
                <w:color w:val="auto"/>
              </w:rPr>
            </w:pPr>
            <w:r>
              <w:rPr>
                <w:rFonts w:ascii="Times New Roman" w:cs="Times New Roman" w:eastAsia="Times New Roman" w:hAnsi="Times New Roman"/>
                <w:sz w:val="17"/>
                <w:szCs w:val="17"/>
                <w:color w:val="454546"/>
                <w:w w:val="70"/>
              </w:rPr>
              <w:t>$</w:t>
            </w:r>
          </w:p>
        </w:tc>
        <w:tc>
          <w:tcPr>
            <w:tcW w:w="980" w:type="dxa"/>
            <w:vAlign w:val="bottom"/>
            <w:tcBorders>
              <w:bottom w:val="single" w:sz="8" w:color="454546"/>
            </w:tcBorders>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113,549</w:t>
            </w:r>
          </w:p>
        </w:tc>
        <w:tc>
          <w:tcPr>
            <w:tcW w:w="24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80" w:type="dxa"/>
            <w:vAlign w:val="bottom"/>
            <w:tcBorders>
              <w:bottom w:val="single" w:sz="8" w:color="454546"/>
            </w:tcBorders>
            <w:shd w:val="clear" w:color="auto" w:fill="E5E6E7"/>
          </w:tcPr>
          <w:p>
            <w:pPr>
              <w:jc w:val="right"/>
              <w:ind w:right="85"/>
              <w:spacing w:after="0" w:line="209" w:lineRule="exact"/>
              <w:rPr>
                <w:sz w:val="20"/>
                <w:szCs w:val="20"/>
                <w:color w:val="auto"/>
              </w:rPr>
            </w:pPr>
            <w:r>
              <w:rPr>
                <w:rFonts w:ascii="Times New Roman" w:cs="Times New Roman" w:eastAsia="Times New Roman" w:hAnsi="Times New Roman"/>
                <w:sz w:val="19"/>
                <w:szCs w:val="19"/>
                <w:color w:val="454546"/>
                <w:w w:val="83"/>
              </w:rPr>
              <w:t>$</w:t>
            </w:r>
          </w:p>
        </w:tc>
        <w:tc>
          <w:tcPr>
            <w:tcW w:w="1000" w:type="dxa"/>
            <w:vAlign w:val="bottom"/>
            <w:tcBorders>
              <w:bottom w:val="single" w:sz="8" w:color="454546"/>
            </w:tcBorders>
            <w:shd w:val="clear" w:color="auto" w:fill="E5E6E7"/>
          </w:tcPr>
          <w:p>
            <w:pPr>
              <w:jc w:val="right"/>
              <w:spacing w:after="0" w:line="209" w:lineRule="exact"/>
              <w:rPr>
                <w:sz w:val="20"/>
                <w:szCs w:val="20"/>
                <w:color w:val="auto"/>
              </w:rPr>
            </w:pPr>
            <w:r>
              <w:rPr>
                <w:rFonts w:ascii="Times New Roman" w:cs="Times New Roman" w:eastAsia="Times New Roman" w:hAnsi="Times New Roman"/>
                <w:sz w:val="19"/>
                <w:szCs w:val="19"/>
                <w:color w:val="454546"/>
              </w:rPr>
              <w:t>171,053</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454546"/>
              </w:rPr>
              <w:t>Supplemental disclosure of cash flow information:</w:t>
            </w:r>
          </w:p>
        </w:tc>
        <w:tc>
          <w:tcPr>
            <w:tcW w:w="24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00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Cash paid for income taxes</w:t>
            </w:r>
          </w:p>
        </w:tc>
        <w:tc>
          <w:tcPr>
            <w:tcW w:w="520" w:type="dxa"/>
            <w:vAlign w:val="bottom"/>
            <w:gridSpan w:val="2"/>
            <w:shd w:val="clear" w:color="auto" w:fill="E5E6E7"/>
          </w:tcPr>
          <w:p>
            <w:pPr>
              <w:jc w:val="right"/>
              <w:ind w:right="85"/>
              <w:spacing w:after="0"/>
              <w:rPr>
                <w:sz w:val="20"/>
                <w:szCs w:val="20"/>
                <w:color w:val="auto"/>
              </w:rPr>
            </w:pPr>
            <w:r>
              <w:rPr>
                <w:rFonts w:ascii="Times New Roman" w:cs="Times New Roman" w:eastAsia="Times New Roman" w:hAnsi="Times New Roman"/>
                <w:sz w:val="19"/>
                <w:szCs w:val="19"/>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7,112</w:t>
            </w:r>
          </w:p>
        </w:tc>
        <w:tc>
          <w:tcPr>
            <w:tcW w:w="160" w:type="dxa"/>
            <w:vAlign w:val="bottom"/>
            <w:shd w:val="clear" w:color="auto" w:fill="E5E6E7"/>
          </w:tcPr>
          <w:p>
            <w:pPr>
              <w:spacing w:after="0"/>
              <w:rPr>
                <w:sz w:val="18"/>
                <w:szCs w:val="18"/>
                <w:color w:val="auto"/>
              </w:rPr>
            </w:pPr>
          </w:p>
        </w:tc>
        <w:tc>
          <w:tcPr>
            <w:tcW w:w="380" w:type="dxa"/>
            <w:vAlign w:val="bottom"/>
            <w:gridSpan w:val="2"/>
            <w:shd w:val="clear" w:color="auto" w:fill="E5E6E7"/>
          </w:tcPr>
          <w:p>
            <w:pPr>
              <w:jc w:val="right"/>
              <w:ind w:right="116"/>
              <w:spacing w:after="0"/>
              <w:rPr>
                <w:sz w:val="20"/>
                <w:szCs w:val="20"/>
                <w:color w:val="auto"/>
              </w:rPr>
            </w:pPr>
            <w:r>
              <w:rPr>
                <w:rFonts w:ascii="Times New Roman" w:cs="Times New Roman" w:eastAsia="Times New Roman" w:hAnsi="Times New Roman"/>
                <w:sz w:val="19"/>
                <w:szCs w:val="19"/>
                <w:color w:val="454546"/>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1,444</w:t>
            </w:r>
          </w:p>
        </w:tc>
        <w:tc>
          <w:tcPr>
            <w:tcW w:w="240" w:type="dxa"/>
            <w:vAlign w:val="bottom"/>
            <w:shd w:val="clear" w:color="auto" w:fill="E5E6E7"/>
          </w:tcPr>
          <w:p>
            <w:pPr>
              <w:spacing w:after="0"/>
              <w:rPr>
                <w:sz w:val="18"/>
                <w:szCs w:val="18"/>
                <w:color w:val="auto"/>
              </w:rPr>
            </w:pPr>
          </w:p>
        </w:tc>
        <w:tc>
          <w:tcPr>
            <w:tcW w:w="300" w:type="dxa"/>
            <w:vAlign w:val="bottom"/>
            <w:gridSpan w:val="2"/>
            <w:shd w:val="clear" w:color="auto" w:fill="E5E6E7"/>
          </w:tcPr>
          <w:p>
            <w:pPr>
              <w:jc w:val="right"/>
              <w:ind w:right="85"/>
              <w:spacing w:after="0"/>
              <w:rPr>
                <w:sz w:val="20"/>
                <w:szCs w:val="20"/>
                <w:color w:val="auto"/>
              </w:rPr>
            </w:pPr>
            <w:r>
              <w:rPr>
                <w:rFonts w:ascii="Times New Roman" w:cs="Times New Roman" w:eastAsia="Times New Roman" w:hAnsi="Times New Roman"/>
                <w:sz w:val="19"/>
                <w:szCs w:val="19"/>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1,869</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454546"/>
              </w:rPr>
              <w:t>Supplemental disclosure of noncash investing activities:</w:t>
            </w:r>
          </w:p>
        </w:tc>
        <w:tc>
          <w:tcPr>
            <w:tcW w:w="24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9"/>
                <w:szCs w:val="19"/>
                <w:color w:val="454546"/>
              </w:rPr>
              <w:t>Unpaid liabilities related to tangible and intangible assets purchases</w:t>
            </w:r>
          </w:p>
        </w:tc>
        <w:tc>
          <w:tcPr>
            <w:tcW w:w="520" w:type="dxa"/>
            <w:vAlign w:val="bottom"/>
            <w:gridSpan w:val="2"/>
            <w:shd w:val="clear" w:color="auto" w:fill="E5E6E7"/>
          </w:tcPr>
          <w:p>
            <w:pPr>
              <w:jc w:val="right"/>
              <w:ind w:right="85"/>
              <w:spacing w:after="0"/>
              <w:rPr>
                <w:sz w:val="20"/>
                <w:szCs w:val="20"/>
                <w:color w:val="auto"/>
              </w:rPr>
            </w:pPr>
            <w:r>
              <w:rPr>
                <w:rFonts w:ascii="Times New Roman" w:cs="Times New Roman" w:eastAsia="Times New Roman" w:hAnsi="Times New Roman"/>
                <w:sz w:val="19"/>
                <w:szCs w:val="19"/>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6,880</w:t>
            </w:r>
          </w:p>
        </w:tc>
        <w:tc>
          <w:tcPr>
            <w:tcW w:w="160" w:type="dxa"/>
            <w:vAlign w:val="bottom"/>
            <w:shd w:val="clear" w:color="auto" w:fill="E5E6E7"/>
          </w:tcPr>
          <w:p>
            <w:pPr>
              <w:spacing w:after="0"/>
              <w:rPr>
                <w:sz w:val="18"/>
                <w:szCs w:val="18"/>
                <w:color w:val="auto"/>
              </w:rPr>
            </w:pPr>
          </w:p>
        </w:tc>
        <w:tc>
          <w:tcPr>
            <w:tcW w:w="380" w:type="dxa"/>
            <w:vAlign w:val="bottom"/>
            <w:gridSpan w:val="2"/>
            <w:shd w:val="clear" w:color="auto" w:fill="E5E6E7"/>
          </w:tcPr>
          <w:p>
            <w:pPr>
              <w:jc w:val="right"/>
              <w:ind w:right="116"/>
              <w:spacing w:after="0"/>
              <w:rPr>
                <w:sz w:val="20"/>
                <w:szCs w:val="20"/>
                <w:color w:val="auto"/>
              </w:rPr>
            </w:pPr>
            <w:r>
              <w:rPr>
                <w:rFonts w:ascii="Times New Roman" w:cs="Times New Roman" w:eastAsia="Times New Roman" w:hAnsi="Times New Roman"/>
                <w:sz w:val="19"/>
                <w:szCs w:val="19"/>
                <w:color w:val="454546"/>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16,410</w:t>
            </w:r>
          </w:p>
        </w:tc>
        <w:tc>
          <w:tcPr>
            <w:tcW w:w="240" w:type="dxa"/>
            <w:vAlign w:val="bottom"/>
            <w:shd w:val="clear" w:color="auto" w:fill="E5E6E7"/>
          </w:tcPr>
          <w:p>
            <w:pPr>
              <w:spacing w:after="0"/>
              <w:rPr>
                <w:sz w:val="18"/>
                <w:szCs w:val="18"/>
                <w:color w:val="auto"/>
              </w:rPr>
            </w:pPr>
          </w:p>
        </w:tc>
        <w:tc>
          <w:tcPr>
            <w:tcW w:w="300" w:type="dxa"/>
            <w:vAlign w:val="bottom"/>
            <w:gridSpan w:val="2"/>
            <w:shd w:val="clear" w:color="auto" w:fill="E5E6E7"/>
          </w:tcPr>
          <w:p>
            <w:pPr>
              <w:jc w:val="right"/>
              <w:ind w:right="85"/>
              <w:spacing w:after="0"/>
              <w:rPr>
                <w:sz w:val="20"/>
                <w:szCs w:val="20"/>
                <w:color w:val="auto"/>
              </w:rPr>
            </w:pPr>
            <w:r>
              <w:rPr>
                <w:rFonts w:ascii="Times New Roman" w:cs="Times New Roman" w:eastAsia="Times New Roman" w:hAnsi="Times New Roman"/>
                <w:sz w:val="19"/>
                <w:szCs w:val="19"/>
                <w:color w:val="454546"/>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9"/>
                <w:szCs w:val="19"/>
                <w:color w:val="454546"/>
              </w:rPr>
              <w:t>1,569</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980" w:type="dxa"/>
            <w:vAlign w:val="bottom"/>
            <w:tcBorders>
              <w:top w:val="single" w:sz="8" w:color="454546"/>
              <w:bottom w:val="single" w:sz="8" w:color="45454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454546"/>
              <w:bottom w:val="single" w:sz="8" w:color="454546"/>
            </w:tcBorders>
          </w:tcPr>
          <w:p>
            <w:pPr>
              <w:spacing w:after="0" w:line="20" w:lineRule="exact"/>
              <w:rPr>
                <w:sz w:val="1"/>
                <w:szCs w:val="1"/>
                <w:color w:val="auto"/>
              </w:rPr>
            </w:pPr>
          </w:p>
        </w:tc>
        <w:tc>
          <w:tcPr>
            <w:tcW w:w="1000" w:type="dxa"/>
            <w:vAlign w:val="bottom"/>
            <w:tcBorders>
              <w:top w:val="single" w:sz="8" w:color="454546"/>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See accompanying notes to consolidated financial statements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78</w:t>
      </w:r>
    </w:p>
    <w:p>
      <w:pPr>
        <w:sectPr>
          <w:pgSz w:w="12240" w:h="15840" w:orient="portrait"/>
          <w:cols w:equalWidth="0" w:num="1">
            <w:col w:w="10800"/>
          </w:cols>
          <w:pgMar w:left="720" w:top="976" w:right="720" w:bottom="175" w:gutter="0" w:footer="0" w:header="0"/>
          <w:type w:val="continuous"/>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20"/>
          <w:szCs w:val="20"/>
          <w:b w:val="1"/>
          <w:bCs w:val="1"/>
          <w:color w:val="454546"/>
        </w:rPr>
        <w:t>AMBARELLA,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454546"/>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 Organization and Summary of Significant Accounting Policies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Organization</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Ambarella, Inc. (the Company) was incorporated in the Cayman Islands on January 15, 2004. The Company is a leading developer of low-power semiconductor solutions offering high-definition (HD) and Ultra HD compression, advanced image signal processing, and powerful artificial intelligence, or AI,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312"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454546"/>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Basis of Consolidation</w:t>
      </w:r>
    </w:p>
    <w:p>
      <w:pPr>
        <w:spacing w:after="0" w:line="120" w:lineRule="exact"/>
        <w:rPr>
          <w:sz w:val="20"/>
          <w:szCs w:val="20"/>
          <w:color w:val="auto"/>
        </w:rPr>
      </w:pPr>
    </w:p>
    <w:p>
      <w:pPr>
        <w:jc w:val="both"/>
        <w:ind w:right="40" w:firstLine="490"/>
        <w:spacing w:after="0" w:line="277" w:lineRule="auto"/>
        <w:rPr>
          <w:sz w:val="20"/>
          <w:szCs w:val="20"/>
          <w:color w:val="auto"/>
        </w:rPr>
      </w:pPr>
      <w:r>
        <w:rPr>
          <w:rFonts w:ascii="Times New Roman" w:cs="Times New Roman" w:eastAsia="Times New Roman" w:hAnsi="Times New Roman"/>
          <w:sz w:val="20"/>
          <w:szCs w:val="20"/>
          <w:color w:val="454546"/>
        </w:rPr>
        <w:t>The Company’s fiscal year ends on January 31. The consolidated financial statements of the Company and its subsidiaries have been prepared in conformity with U.S. GAAP. All intercompany transactions and balances have been eliminated upon consolidation.</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Use of Estimates</w:t>
      </w:r>
    </w:p>
    <w:p>
      <w:pPr>
        <w:spacing w:after="0" w:line="1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454546"/>
        </w:rPr>
        <w:t>On an ongoing basis, management evaluates its estimates and assumptions, including those related to (i) business combinations;</w:t>
      </w:r>
    </w:p>
    <w:p>
      <w:pPr>
        <w:spacing w:after="0" w:line="40" w:lineRule="exact"/>
        <w:rPr>
          <w:sz w:val="20"/>
          <w:szCs w:val="20"/>
          <w:color w:val="auto"/>
        </w:rPr>
      </w:pPr>
    </w:p>
    <w:p>
      <w:pPr>
        <w:ind w:right="180"/>
        <w:spacing w:after="0" w:line="241" w:lineRule="auto"/>
        <w:tabs>
          <w:tab w:leader="none" w:pos="295"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write downs of excess and obsolete inventories; (iii) the estimated useful lives of long-lived assets; (iv) the valuation of stock-based compensation awards; (v)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the Company believes to be reasonable under the circumstances. The Company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Concentration of Risk</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30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16 for additional information regarding revenue and credit concentration with these customers.</w:t>
      </w:r>
    </w:p>
    <w:p>
      <w:pPr>
        <w:sectPr>
          <w:pgSz w:w="12240" w:h="15840" w:orient="portrait"/>
          <w:cols w:equalWidth="0" w:num="1">
            <w:col w:w="10740"/>
          </w:cols>
          <w:pgMar w:left="720" w:top="972" w:right="780" w:bottom="17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79</w:t>
      </w:r>
    </w:p>
    <w:p>
      <w:pPr>
        <w:sectPr>
          <w:pgSz w:w="12240" w:h="15840" w:orient="portrait"/>
          <w:cols w:equalWidth="0" w:num="1">
            <w:col w:w="10740"/>
          </w:cols>
          <w:pgMar w:left="720" w:top="972" w:right="780" w:bottom="175" w:gutter="0" w:footer="0" w:header="0"/>
          <w:type w:val="continuous"/>
        </w:sectPr>
      </w:pPr>
    </w:p>
    <w:bookmarkStart w:id="84" w:name="page85"/>
    <w:bookmarkEnd w:id="84"/>
    <w:p>
      <w:pPr>
        <w:ind w:right="100" w:firstLine="490"/>
        <w:spacing w:after="0" w:line="246" w:lineRule="auto"/>
        <w:rPr>
          <w:sz w:val="20"/>
          <w:szCs w:val="20"/>
          <w:color w:val="auto"/>
        </w:rPr>
      </w:pPr>
      <w:r>
        <w:rPr>
          <w:rFonts w:ascii="Times New Roman" w:cs="Times New Roman" w:eastAsia="Times New Roman" w:hAnsi="Times New Roman"/>
          <w:sz w:val="20"/>
          <w:szCs w:val="20"/>
          <w:color w:val="454546"/>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commercial paper, corporate bonds, asset-backed securities and U.S. government securities which management assesses to be highly liquid. The Company does not hold or issue financial instruments for trading purposes.</w:t>
      </w:r>
    </w:p>
    <w:p>
      <w:pPr>
        <w:spacing w:after="0" w:line="19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454546"/>
        </w:rPr>
        <w:t>The Company performs ongoing credit evaluation of its customers and adjusts credit limits based upon payment history and customers’ credit worthiness. The Company regularly monitors collections and payments from its customers.</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Foreign Currency Transactions</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454546"/>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Fair Value of Financial Instruments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Cash Equivalents and Marketable Debt Securities</w:t>
      </w:r>
    </w:p>
    <w:p>
      <w:pPr>
        <w:spacing w:after="0" w:line="24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454546"/>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accordance with Accounting Standards Update (ASU) No. 2016-13, Financial Instruments-Credit Losses (Topic 326): Measurement of Credit Losses on Financial Instruments,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w:t>
      </w:r>
    </w:p>
    <w:p>
      <w:pPr>
        <w:spacing w:after="0" w:line="20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454546"/>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The Company does not have debt securities under unobservable inputs and classified within Level 3.</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80</w:t>
      </w:r>
    </w:p>
    <w:p>
      <w:pPr>
        <w:sectPr>
          <w:pgSz w:w="12240" w:h="15840" w:orient="portrait"/>
          <w:cols w:equalWidth="0" w:num="1">
            <w:col w:w="10800"/>
          </w:cols>
          <w:pgMar w:left="720" w:top="976" w:right="720" w:bottom="175" w:gutter="0" w:footer="0" w:header="0"/>
          <w:type w:val="continuous"/>
        </w:sectPr>
      </w:pPr>
    </w:p>
    <w:bookmarkStart w:id="85" w:name="page86"/>
    <w:bookmarkEnd w:id="85"/>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Restricted Cash</w:t>
      </w:r>
    </w:p>
    <w:p>
      <w:pPr>
        <w:spacing w:after="0" w:line="24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454546"/>
        </w:rPr>
        <w:t>Amounts included in restricted cash represent those required to be set aside to secure certain transactions in a foreign entity. As of January 31, 2024 and 2023, the restricted cash was immaterial, respectively. The following table presents cash, cash equivalents and restricted cash reported on the consolidated balance sheets, and the sums are presented on the consolidated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bottom w:val="single" w:sz="8" w:color="454546"/>
            </w:tcBorders>
          </w:tcPr>
          <w:p>
            <w:pPr>
              <w:spacing w:after="0"/>
              <w:rPr>
                <w:sz w:val="17"/>
                <w:szCs w:val="17"/>
                <w:color w:val="auto"/>
              </w:rPr>
            </w:pPr>
          </w:p>
        </w:tc>
        <w:tc>
          <w:tcPr>
            <w:tcW w:w="640" w:type="dxa"/>
            <w:vAlign w:val="bottom"/>
            <w:tcBorders>
              <w:bottom w:val="single" w:sz="8" w:color="454546"/>
            </w:tcBorders>
          </w:tcPr>
          <w:p>
            <w:pPr>
              <w:spacing w:after="0"/>
              <w:rPr>
                <w:sz w:val="17"/>
                <w:szCs w:val="17"/>
                <w:color w:val="auto"/>
              </w:rPr>
            </w:pPr>
          </w:p>
        </w:tc>
        <w:tc>
          <w:tcPr>
            <w:tcW w:w="26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460" w:type="dxa"/>
            <w:vAlign w:val="bottom"/>
            <w:tcBorders>
              <w:bottom w:val="single" w:sz="8" w:color="454546"/>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454546"/>
                <w:w w:val="99"/>
              </w:rPr>
              <w:t>As of January 31,</w:t>
            </w:r>
          </w:p>
        </w:tc>
        <w:tc>
          <w:tcPr>
            <w:tcW w:w="260" w:type="dxa"/>
            <w:vAlign w:val="bottom"/>
            <w:tcBorders>
              <w:bottom w:val="single" w:sz="8" w:color="454546"/>
            </w:tcBorders>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124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40" w:type="dxa"/>
            <w:vAlign w:val="bottom"/>
            <w:tcBorders>
              <w:bottom w:val="single" w:sz="8" w:color="454546"/>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454546"/>
            </w:tcBorders>
          </w:tcPr>
          <w:p>
            <w:pPr>
              <w:spacing w:after="0"/>
              <w:rPr>
                <w:sz w:val="16"/>
                <w:szCs w:val="16"/>
                <w:color w:val="auto"/>
              </w:rPr>
            </w:pPr>
          </w:p>
        </w:tc>
        <w:tc>
          <w:tcPr>
            <w:tcW w:w="1460" w:type="dxa"/>
            <w:vAlign w:val="bottom"/>
            <w:tcBorders>
              <w:bottom w:val="single" w:sz="8" w:color="454546"/>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454546"/>
                <w:w w:val="99"/>
              </w:rPr>
              <w:t>2023</w:t>
            </w:r>
          </w:p>
        </w:tc>
        <w:tc>
          <w:tcPr>
            <w:tcW w:w="260" w:type="dxa"/>
            <w:vAlign w:val="bottom"/>
          </w:tcPr>
          <w:p>
            <w:pPr>
              <w:spacing w:after="0"/>
              <w:rPr>
                <w:sz w:val="16"/>
                <w:szCs w:val="16"/>
                <w:color w:val="auto"/>
              </w:rPr>
            </w:pPr>
          </w:p>
        </w:tc>
        <w:tc>
          <w:tcPr>
            <w:tcW w:w="380" w:type="dxa"/>
            <w:vAlign w:val="bottom"/>
            <w:tcBorders>
              <w:bottom w:val="single" w:sz="8" w:color="454546"/>
            </w:tcBorders>
          </w:tcPr>
          <w:p>
            <w:pPr>
              <w:spacing w:after="0"/>
              <w:rPr>
                <w:sz w:val="16"/>
                <w:szCs w:val="16"/>
                <w:color w:val="auto"/>
              </w:rPr>
            </w:pPr>
          </w:p>
        </w:tc>
        <w:tc>
          <w:tcPr>
            <w:tcW w:w="1240" w:type="dxa"/>
            <w:vAlign w:val="bottom"/>
            <w:tcBorders>
              <w:bottom w:val="single" w:sz="8" w:color="454546"/>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Pr>
          <w:p>
            <w:pPr>
              <w:spacing w:after="0"/>
              <w:rPr>
                <w:sz w:val="16"/>
                <w:szCs w:val="16"/>
                <w:color w:val="auto"/>
              </w:rPr>
            </w:pPr>
          </w:p>
        </w:tc>
      </w:tr>
      <w:tr>
        <w:trPr>
          <w:trHeight w:val="185"/>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9"/>
        </w:trPr>
        <w:tc>
          <w:tcPr>
            <w:tcW w:w="5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1280" w:type="dxa"/>
            <w:vAlign w:val="bottom"/>
            <w:gridSpan w:val="2"/>
            <w:shd w:val="clear" w:color="auto" w:fill="E5E6E7"/>
          </w:tcPr>
          <w:p>
            <w:pPr>
              <w:jc w:val="right"/>
              <w:ind w:right="790"/>
              <w:spacing w:after="0"/>
              <w:rPr>
                <w:sz w:val="20"/>
                <w:szCs w:val="20"/>
                <w:color w:val="auto"/>
              </w:rPr>
            </w:pPr>
            <w:r>
              <w:rPr>
                <w:rFonts w:ascii="Times New Roman" w:cs="Times New Roman" w:eastAsia="Times New Roman" w:hAnsi="Times New Roman"/>
                <w:sz w:val="20"/>
                <w:szCs w:val="20"/>
                <w:color w:val="454546"/>
              </w:rPr>
              <w:t>$</w:t>
            </w: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95"/>
              </w:rPr>
              <w:t>144,914</w:t>
            </w:r>
          </w:p>
        </w:tc>
        <w:tc>
          <w:tcPr>
            <w:tcW w:w="4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4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113,541</w:t>
            </w:r>
          </w:p>
        </w:tc>
        <w:tc>
          <w:tcPr>
            <w:tcW w:w="6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12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171,043</w:t>
            </w:r>
          </w:p>
        </w:tc>
        <w:tc>
          <w:tcPr>
            <w:tcW w:w="100" w:type="dxa"/>
            <w:vAlign w:val="bottom"/>
            <w:shd w:val="clear" w:color="auto" w:fill="E5E6E7"/>
          </w:tcPr>
          <w:p>
            <w:pPr>
              <w:spacing w:after="0"/>
              <w:rPr>
                <w:sz w:val="23"/>
                <w:szCs w:val="23"/>
                <w:color w:val="auto"/>
              </w:rPr>
            </w:pPr>
          </w:p>
        </w:tc>
      </w:tr>
      <w:tr>
        <w:trPr>
          <w:trHeight w:val="269"/>
        </w:trPr>
        <w:tc>
          <w:tcPr>
            <w:tcW w:w="50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Restricted cash</w:t>
            </w:r>
          </w:p>
        </w:tc>
        <w:tc>
          <w:tcPr>
            <w:tcW w:w="300" w:type="dxa"/>
            <w:vAlign w:val="bottom"/>
            <w:tcBorders>
              <w:bottom w:val="single" w:sz="8" w:color="E5E6E7"/>
            </w:tcBorders>
          </w:tcPr>
          <w:p>
            <w:pPr>
              <w:spacing w:after="0"/>
              <w:rPr>
                <w:sz w:val="23"/>
                <w:szCs w:val="23"/>
                <w:color w:val="auto"/>
              </w:rPr>
            </w:pPr>
          </w:p>
        </w:tc>
        <w:tc>
          <w:tcPr>
            <w:tcW w:w="980" w:type="dxa"/>
            <w:vAlign w:val="bottom"/>
            <w:tcBorders>
              <w:bottom w:val="single" w:sz="8" w:color="454546"/>
            </w:tcBorders>
          </w:tcPr>
          <w:p>
            <w:pPr>
              <w:spacing w:after="0"/>
              <w:rPr>
                <w:sz w:val="23"/>
                <w:szCs w:val="23"/>
                <w:color w:val="auto"/>
              </w:rPr>
            </w:pPr>
          </w:p>
        </w:tc>
        <w:tc>
          <w:tcPr>
            <w:tcW w:w="6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w:t>
            </w:r>
          </w:p>
        </w:tc>
        <w:tc>
          <w:tcPr>
            <w:tcW w:w="260" w:type="dxa"/>
            <w:vAlign w:val="bottom"/>
            <w:tcBorders>
              <w:bottom w:val="single" w:sz="8" w:color="E5E6E7"/>
            </w:tcBorders>
          </w:tcPr>
          <w:p>
            <w:pPr>
              <w:spacing w:after="0"/>
              <w:rPr>
                <w:sz w:val="23"/>
                <w:szCs w:val="23"/>
                <w:color w:val="auto"/>
              </w:rPr>
            </w:pPr>
          </w:p>
        </w:tc>
        <w:tc>
          <w:tcPr>
            <w:tcW w:w="140" w:type="dxa"/>
            <w:vAlign w:val="bottom"/>
            <w:tcBorders>
              <w:bottom w:val="single" w:sz="8" w:color="454546"/>
            </w:tcBorders>
          </w:tcPr>
          <w:p>
            <w:pPr>
              <w:spacing w:after="0"/>
              <w:rPr>
                <w:sz w:val="23"/>
                <w:szCs w:val="23"/>
                <w:color w:val="auto"/>
              </w:rPr>
            </w:pPr>
          </w:p>
        </w:tc>
        <w:tc>
          <w:tcPr>
            <w:tcW w:w="14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w:t>
            </w:r>
          </w:p>
        </w:tc>
        <w:tc>
          <w:tcPr>
            <w:tcW w:w="260" w:type="dxa"/>
            <w:vAlign w:val="bottom"/>
            <w:tcBorders>
              <w:bottom w:val="single" w:sz="8" w:color="E5E6E7"/>
            </w:tcBorders>
          </w:tcPr>
          <w:p>
            <w:pPr>
              <w:spacing w:after="0"/>
              <w:rPr>
                <w:sz w:val="23"/>
                <w:szCs w:val="23"/>
                <w:color w:val="auto"/>
              </w:rPr>
            </w:pPr>
          </w:p>
        </w:tc>
        <w:tc>
          <w:tcPr>
            <w:tcW w:w="380" w:type="dxa"/>
            <w:vAlign w:val="bottom"/>
            <w:tcBorders>
              <w:bottom w:val="single" w:sz="8" w:color="454546"/>
            </w:tcBorders>
          </w:tcPr>
          <w:p>
            <w:pPr>
              <w:spacing w:after="0"/>
              <w:rPr>
                <w:sz w:val="23"/>
                <w:szCs w:val="23"/>
                <w:color w:val="auto"/>
              </w:rPr>
            </w:pPr>
          </w:p>
        </w:tc>
        <w:tc>
          <w:tcPr>
            <w:tcW w:w="12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10</w:t>
            </w:r>
          </w:p>
        </w:tc>
        <w:tc>
          <w:tcPr>
            <w:tcW w:w="100" w:type="dxa"/>
            <w:vAlign w:val="bottom"/>
            <w:tcBorders>
              <w:bottom w:val="single" w:sz="8" w:color="E5E6E7"/>
            </w:tcBorders>
          </w:tcPr>
          <w:p>
            <w:pPr>
              <w:spacing w:after="0"/>
              <w:rPr>
                <w:sz w:val="23"/>
                <w:szCs w:val="23"/>
                <w:color w:val="auto"/>
              </w:rPr>
            </w:pPr>
          </w:p>
        </w:tc>
      </w:tr>
      <w:tr>
        <w:trPr>
          <w:trHeight w:val="201"/>
        </w:trPr>
        <w:tc>
          <w:tcPr>
            <w:tcW w:w="5040" w:type="dxa"/>
            <w:vAlign w:val="bottom"/>
            <w:shd w:val="clear" w:color="auto" w:fill="E5E6E7"/>
          </w:tcPr>
          <w:p>
            <w:pPr>
              <w:ind w:left="200"/>
              <w:spacing w:after="0" w:line="201" w:lineRule="exact"/>
              <w:rPr>
                <w:sz w:val="20"/>
                <w:szCs w:val="20"/>
                <w:color w:val="auto"/>
              </w:rPr>
            </w:pPr>
            <w:r>
              <w:rPr>
                <w:rFonts w:ascii="Times New Roman" w:cs="Times New Roman" w:eastAsia="Times New Roman" w:hAnsi="Times New Roman"/>
                <w:sz w:val="20"/>
                <w:szCs w:val="20"/>
                <w:color w:val="454546"/>
              </w:rPr>
              <w:t>Total as presented in the consolidated statements of cash</w:t>
            </w:r>
          </w:p>
        </w:tc>
        <w:tc>
          <w:tcPr>
            <w:tcW w:w="300" w:type="dxa"/>
            <w:vAlign w:val="bottom"/>
            <w:shd w:val="clear" w:color="auto" w:fill="E5E6E7"/>
          </w:tcPr>
          <w:p>
            <w:pPr>
              <w:spacing w:after="0"/>
              <w:rPr>
                <w:sz w:val="17"/>
                <w:szCs w:val="17"/>
                <w:color w:val="auto"/>
              </w:rPr>
            </w:pPr>
          </w:p>
        </w:tc>
        <w:tc>
          <w:tcPr>
            <w:tcW w:w="980" w:type="dxa"/>
            <w:vAlign w:val="bottom"/>
            <w:shd w:val="clear" w:color="auto" w:fill="E5E6E7"/>
          </w:tcPr>
          <w:p>
            <w:pPr>
              <w:spacing w:after="0"/>
              <w:rPr>
                <w:sz w:val="17"/>
                <w:szCs w:val="17"/>
                <w:color w:val="auto"/>
              </w:rPr>
            </w:pPr>
          </w:p>
        </w:tc>
        <w:tc>
          <w:tcPr>
            <w:tcW w:w="64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1460" w:type="dxa"/>
            <w:vAlign w:val="bottom"/>
            <w:shd w:val="clear" w:color="auto" w:fill="E5E6E7"/>
          </w:tcPr>
          <w:p>
            <w:pPr>
              <w:spacing w:after="0"/>
              <w:rPr>
                <w:sz w:val="17"/>
                <w:szCs w:val="17"/>
                <w:color w:val="auto"/>
              </w:rPr>
            </w:pPr>
          </w:p>
        </w:tc>
        <w:tc>
          <w:tcPr>
            <w:tcW w:w="260" w:type="dxa"/>
            <w:vAlign w:val="bottom"/>
            <w:shd w:val="clear" w:color="auto" w:fill="E5E6E7"/>
          </w:tcPr>
          <w:p>
            <w:pPr>
              <w:spacing w:after="0"/>
              <w:rPr>
                <w:sz w:val="17"/>
                <w:szCs w:val="17"/>
                <w:color w:val="auto"/>
              </w:rPr>
            </w:pPr>
          </w:p>
        </w:tc>
        <w:tc>
          <w:tcPr>
            <w:tcW w:w="380" w:type="dxa"/>
            <w:vAlign w:val="bottom"/>
            <w:shd w:val="clear" w:color="auto" w:fill="E5E6E7"/>
          </w:tcPr>
          <w:p>
            <w:pPr>
              <w:spacing w:after="0"/>
              <w:rPr>
                <w:sz w:val="17"/>
                <w:szCs w:val="17"/>
                <w:color w:val="auto"/>
              </w:rPr>
            </w:pPr>
          </w:p>
        </w:tc>
        <w:tc>
          <w:tcPr>
            <w:tcW w:w="1240" w:type="dxa"/>
            <w:vAlign w:val="bottom"/>
            <w:shd w:val="clear" w:color="auto" w:fill="E5E6E7"/>
          </w:tcPr>
          <w:p>
            <w:pPr>
              <w:spacing w:after="0"/>
              <w:rPr>
                <w:sz w:val="17"/>
                <w:szCs w:val="17"/>
                <w:color w:val="auto"/>
              </w:rPr>
            </w:pPr>
          </w:p>
        </w:tc>
        <w:tc>
          <w:tcPr>
            <w:tcW w:w="100" w:type="dxa"/>
            <w:vAlign w:val="bottom"/>
            <w:shd w:val="clear" w:color="auto" w:fill="E5E6E7"/>
          </w:tcPr>
          <w:p>
            <w:pPr>
              <w:spacing w:after="0"/>
              <w:rPr>
                <w:sz w:val="17"/>
                <w:szCs w:val="17"/>
                <w:color w:val="auto"/>
              </w:rPr>
            </w:pPr>
          </w:p>
        </w:tc>
      </w:tr>
      <w:tr>
        <w:trPr>
          <w:trHeight w:val="249"/>
        </w:trPr>
        <w:tc>
          <w:tcPr>
            <w:tcW w:w="50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flows</w:t>
            </w:r>
          </w:p>
        </w:tc>
        <w:tc>
          <w:tcPr>
            <w:tcW w:w="300" w:type="dxa"/>
            <w:vAlign w:val="bottom"/>
            <w:shd w:val="clear" w:color="auto" w:fill="E5E6E7"/>
          </w:tcPr>
          <w:p>
            <w:pPr>
              <w:spacing w:after="0"/>
              <w:rPr>
                <w:sz w:val="21"/>
                <w:szCs w:val="21"/>
                <w:color w:val="auto"/>
              </w:rPr>
            </w:pPr>
          </w:p>
        </w:tc>
        <w:tc>
          <w:tcPr>
            <w:tcW w:w="980" w:type="dxa"/>
            <w:vAlign w:val="bottom"/>
            <w:tcBorders>
              <w:bottom w:val="single" w:sz="8" w:color="454546"/>
            </w:tcBorders>
            <w:shd w:val="clear" w:color="auto" w:fill="E5E6E7"/>
          </w:tcPr>
          <w:p>
            <w:pPr>
              <w:jc w:val="right"/>
              <w:ind w:right="790"/>
              <w:spacing w:after="0"/>
              <w:rPr>
                <w:sz w:val="20"/>
                <w:szCs w:val="20"/>
                <w:color w:val="auto"/>
              </w:rPr>
            </w:pPr>
            <w:r>
              <w:rPr>
                <w:rFonts w:ascii="Times New Roman" w:cs="Times New Roman" w:eastAsia="Times New Roman" w:hAnsi="Times New Roman"/>
                <w:sz w:val="20"/>
                <w:szCs w:val="20"/>
                <w:color w:val="454546"/>
                <w:w w:val="79"/>
              </w:rPr>
              <w:t>$</w:t>
            </w:r>
          </w:p>
        </w:tc>
        <w:tc>
          <w:tcPr>
            <w:tcW w:w="6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95"/>
              </w:rPr>
              <w:t>144,921</w:t>
            </w:r>
          </w:p>
        </w:tc>
        <w:tc>
          <w:tcPr>
            <w:tcW w:w="260" w:type="dxa"/>
            <w:vAlign w:val="bottom"/>
            <w:shd w:val="clear" w:color="auto" w:fill="E5E6E7"/>
          </w:tcPr>
          <w:p>
            <w:pPr>
              <w:spacing w:after="0"/>
              <w:rPr>
                <w:sz w:val="21"/>
                <w:szCs w:val="21"/>
                <w:color w:val="auto"/>
              </w:rPr>
            </w:pPr>
          </w:p>
        </w:tc>
        <w:tc>
          <w:tcPr>
            <w:tcW w:w="1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4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113,549</w:t>
            </w:r>
          </w:p>
        </w:tc>
        <w:tc>
          <w:tcPr>
            <w:tcW w:w="260" w:type="dxa"/>
            <w:vAlign w:val="bottom"/>
            <w:shd w:val="clear" w:color="auto" w:fill="E5E6E7"/>
          </w:tcPr>
          <w:p>
            <w:pPr>
              <w:spacing w:after="0"/>
              <w:rPr>
                <w:sz w:val="21"/>
                <w:szCs w:val="21"/>
                <w:color w:val="auto"/>
              </w:rPr>
            </w:pPr>
          </w:p>
        </w:tc>
        <w:tc>
          <w:tcPr>
            <w:tcW w:w="380" w:type="dxa"/>
            <w:vAlign w:val="bottom"/>
            <w:tcBorders>
              <w:bottom w:val="single" w:sz="8" w:color="454546"/>
            </w:tcBorders>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54546"/>
                <w:w w:val="79"/>
              </w:rPr>
              <w:t>$</w:t>
            </w:r>
          </w:p>
        </w:tc>
        <w:tc>
          <w:tcPr>
            <w:tcW w:w="124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171,053</w:t>
            </w:r>
          </w:p>
        </w:tc>
        <w:tc>
          <w:tcPr>
            <w:tcW w:w="100" w:type="dxa"/>
            <w:vAlign w:val="bottom"/>
            <w:shd w:val="clear" w:color="auto" w:fill="E5E6E7"/>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454546"/>
            </w:tcBorders>
          </w:tcPr>
          <w:p>
            <w:pPr>
              <w:spacing w:after="0" w:line="20" w:lineRule="exact"/>
              <w:rPr>
                <w:sz w:val="1"/>
                <w:szCs w:val="1"/>
                <w:color w:val="auto"/>
              </w:rPr>
            </w:pPr>
          </w:p>
        </w:tc>
        <w:tc>
          <w:tcPr>
            <w:tcW w:w="64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1460" w:type="dxa"/>
            <w:vAlign w:val="bottom"/>
            <w:tcBorders>
              <w:bottom w:val="single" w:sz="8" w:color="45454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454546"/>
            </w:tcBorders>
          </w:tcPr>
          <w:p>
            <w:pPr>
              <w:spacing w:after="0" w:line="20" w:lineRule="exact"/>
              <w:rPr>
                <w:sz w:val="1"/>
                <w:szCs w:val="1"/>
                <w:color w:val="auto"/>
              </w:rPr>
            </w:pPr>
          </w:p>
        </w:tc>
        <w:tc>
          <w:tcPr>
            <w:tcW w:w="12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Trade Accounts Receivable and Allowance for Credit Losses</w:t>
      </w:r>
    </w:p>
    <w:p>
      <w:pPr>
        <w:spacing w:after="0" w:line="16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454546"/>
        </w:rPr>
        <w:t>The Company’s accounts receivables are recorded at invoiced amounts less allowance for any credit losses. In arrangements where revenue recognition occurs in advance of invoicing, an unbilled receivable is recorded, less allowance for any credit losses, within accounts receivable, when collection of these unbilled amounts are conditional only on the passage of time. According to ASU 2016-13,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 material credit losses and write-offs of accounts receivable for the fiscal years ended January 31, 2024, 2023 and 2022, respectively. There was no material allowance recorded as of January 31, 2024 and 2023, respectively.</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Inventories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w:t>
      </w:r>
    </w:p>
    <w:p>
      <w:pPr>
        <w:spacing w:after="0" w:line="120" w:lineRule="exact"/>
        <w:rPr>
          <w:sz w:val="20"/>
          <w:szCs w:val="20"/>
          <w:color w:val="auto"/>
        </w:rPr>
      </w:pPr>
    </w:p>
    <w:p>
      <w:pPr>
        <w:ind w:right="320" w:firstLine="490"/>
        <w:spacing w:after="0" w:line="278" w:lineRule="auto"/>
        <w:rPr>
          <w:sz w:val="20"/>
          <w:szCs w:val="20"/>
          <w:color w:val="auto"/>
        </w:rPr>
      </w:pPr>
      <w:r>
        <w:rPr>
          <w:rFonts w:ascii="Times New Roman" w:cs="Times New Roman" w:eastAsia="Times New Roman" w:hAnsi="Times New Roman"/>
          <w:sz w:val="19"/>
          <w:szCs w:val="19"/>
          <w:color w:val="454546"/>
        </w:rPr>
        <w:t>Property and equipment are stated at cost and depreciated using the straight- 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Intangible Assets</w:t>
      </w:r>
    </w:p>
    <w:p>
      <w:pPr>
        <w:spacing w:after="0" w:line="120"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454546"/>
        </w:rPr>
        <w:t>The Company’s intangible assets primarily consist of acquired intangible assets, including developed technology, customer relationships and trade name, as well as software licenses. The acquired intangible assets are amortized over their estimated useful lives.</w:t>
      </w:r>
    </w:p>
    <w:p>
      <w:pPr>
        <w:spacing w:after="0" w:line="6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The Company's in-process research and development, or IPR&amp;D, is initially capitalized at fair value with an indefinite life and amortization commences upon completion of the underlying projects. When a project underlying reported IPR&amp;D is completed, the corresponding amount of IPR&amp;D is reclassified as an amortizable purchased intangible asset and is amortized over its estimated useful life.</w:t>
      </w:r>
    </w:p>
    <w:p>
      <w:pPr>
        <w:spacing w:after="0" w:line="74" w:lineRule="exact"/>
        <w:rPr>
          <w:sz w:val="20"/>
          <w:szCs w:val="20"/>
          <w:color w:val="auto"/>
        </w:rPr>
      </w:pPr>
    </w:p>
    <w:p>
      <w:pPr>
        <w:jc w:val="both"/>
        <w:ind w:right="280" w:firstLine="490"/>
        <w:spacing w:after="0" w:line="252" w:lineRule="auto"/>
        <w:rPr>
          <w:sz w:val="20"/>
          <w:szCs w:val="20"/>
          <w:color w:val="auto"/>
        </w:rPr>
      </w:pPr>
      <w:r>
        <w:rPr>
          <w:rFonts w:ascii="Times New Roman" w:cs="Times New Roman" w:eastAsia="Times New Roman" w:hAnsi="Times New Roman"/>
          <w:sz w:val="20"/>
          <w:szCs w:val="20"/>
          <w:color w:val="454546"/>
        </w:rPr>
        <w:t>The Company accounts for a noncancelable on-premise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The software license is amortized over its license term.</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81</w:t>
      </w:r>
    </w:p>
    <w:p>
      <w:pPr>
        <w:sectPr>
          <w:pgSz w:w="12240" w:h="15840" w:orient="portrait"/>
          <w:cols w:equalWidth="0" w:num="1">
            <w:col w:w="10800"/>
          </w:cols>
          <w:pgMar w:left="720" w:top="976" w:right="720" w:bottom="175" w:gutter="0" w:footer="0" w:header="0"/>
          <w:type w:val="continuous"/>
        </w:sectPr>
      </w:pPr>
    </w:p>
    <w:bookmarkStart w:id="86" w:name="page87"/>
    <w:bookmarkEnd w:id="86"/>
    <w:p>
      <w:pPr>
        <w:ind w:firstLine="490"/>
        <w:spacing w:after="0" w:line="249" w:lineRule="auto"/>
        <w:rPr>
          <w:sz w:val="20"/>
          <w:szCs w:val="20"/>
          <w:color w:val="auto"/>
        </w:rPr>
      </w:pPr>
      <w:r>
        <w:rPr>
          <w:rFonts w:ascii="Times New Roman" w:cs="Times New Roman" w:eastAsia="Times New Roman" w:hAnsi="Times New Roman"/>
          <w:sz w:val="20"/>
          <w:szCs w:val="20"/>
          <w:color w:val="454546"/>
        </w:rPr>
        <w:t>The Company expenses the cost of purchased software that is to be sold, leased or otherwise marketed as part of a product until the technological feasibility of the product has been established.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over the remaining estimated economic life of the product.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Leases</w:t>
      </w:r>
    </w:p>
    <w:p>
      <w:pPr>
        <w:spacing w:after="0" w:line="23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In accordance with the Accounting Standards Codification (ASC) Topic 842, Leases,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asset and liability calculation if it is reasonably certain that the Company will exercise the option. The Company's finance leases were immaterial as of January 31, 2024 and 2023, respectively.</w:t>
      </w:r>
    </w:p>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Business Combinations</w:t>
      </w:r>
    </w:p>
    <w:p>
      <w:pPr>
        <w:spacing w:after="0" w:line="16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454546"/>
        </w:rPr>
        <w:t>In the application of purchase accounting in a business combination, the Company allocates the purchase price to the assets acquired and liabilities assumed based on their estimated fair values. The excess of the purchase price over the fair values of the identifiable assets and liabilities is recorded as goodwill. The Company identifies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the Company is required to make significant estimates and assumptions. Critical estimates and assumptions used in valuation techniques include, but are not limited to, revenue growth, technology migration curve, customer attrition rate, royalty rates and risk-adjusted discount rates. The estimates are based on historical data, various internal estimates, and external sources that the Company believes to be reasonable upon the acquisition date. Actual results could differ from these estimates under different assumptions or circumstances and such differences could be material.</w:t>
      </w: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Goodwill</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The Company does not amortize goodwill. The Company tests goodwill for impairment at least annually in the fourth fiscal quarter, or sooner whenever events or changes in circumstances indicate that the asset may be impaired. There is only one single reporting unit for goodwill impairment test purposes based on the Company’s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20"/>
          <w:szCs w:val="20"/>
          <w:color w:val="515153"/>
        </w:rPr>
        <w:t>.</w:t>
      </w:r>
      <w:r>
        <w:rPr>
          <w:rFonts w:ascii="Times New Roman" w:cs="Times New Roman" w:eastAsia="Times New Roman" w:hAnsi="Times New Roman"/>
          <w:sz w:val="20"/>
          <w:szCs w:val="20"/>
          <w:color w:val="454546"/>
        </w:rPr>
        <w:t xml:space="preserve"> No goodwill impairment has been identified to date based on the Company’s qualitative factors assessment.</w:t>
      </w:r>
    </w:p>
    <w:p>
      <w:pPr>
        <w:sectPr>
          <w:pgSz w:w="12240" w:h="15840" w:orient="portrait"/>
          <w:cols w:equalWidth="0" w:num="1">
            <w:col w:w="10740"/>
          </w:cols>
          <w:pgMar w:left="720" w:top="97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82</w:t>
      </w:r>
    </w:p>
    <w:p>
      <w:pPr>
        <w:sectPr>
          <w:pgSz w:w="12240" w:h="15840" w:orient="portrait"/>
          <w:cols w:equalWidth="0" w:num="1">
            <w:col w:w="10740"/>
          </w:cols>
          <w:pgMar w:left="720" w:top="976" w:right="780" w:bottom="175" w:gutter="0" w:footer="0" w:header="0"/>
          <w:type w:val="continuous"/>
        </w:sectPr>
      </w:pPr>
    </w:p>
    <w:bookmarkStart w:id="87" w:name="page88"/>
    <w:bookmarkEnd w:id="87"/>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Impairment of Long-Lived Assets Excluding Goodwill</w:t>
      </w:r>
    </w:p>
    <w:p>
      <w:pPr>
        <w:spacing w:after="0" w:line="12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or indications to date that would trigger an impairment. As such, no impairment charge has been recognized as of January 31, 2024.</w:t>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Equity Investments</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454546"/>
        </w:rPr>
        <w:t>The Company accounts for its investments in privately held companies as equity investments and reports the investments in other non-current assets in the consolidated balance sheets. The Company chooses to measure these equity investments that do not have readily determinable fair value at cost minus any recorded impairments, adjusted for subsequent observable price changes in transactions for an identical or similar investment of the same issuers. Upon determining that an impairment or observable price change exists, the Company records any adjustment to the fair value of the investment through other income, net in the consolidated statements of operations. There was approximately $1.2 million of impairment recognized in the fiscal year ended January 31, 2024, while approximately $0.7 million of realized gain was recognized in the fiscal year ended January 31, 2023. There were no significant changes in the fair value of the investments and the Company did not recognize any impairment losses related to these investments in the fiscal year ended January 31, 2022.</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Revenue Recognition</w:t>
      </w:r>
    </w:p>
    <w:p>
      <w:pPr>
        <w:spacing w:after="0" w:line="12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454546"/>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For a limited number of contracts that include volume-based tiered pricing,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83</w:t>
      </w:r>
    </w:p>
    <w:p>
      <w:pPr>
        <w:sectPr>
          <w:pgSz w:w="12240" w:h="15840" w:orient="portrait"/>
          <w:cols w:equalWidth="0" w:num="1">
            <w:col w:w="10800"/>
          </w:cols>
          <w:pgMar w:left="720" w:top="976" w:right="720" w:bottom="175" w:gutter="0" w:footer="0" w:header="0"/>
          <w:type w:val="continuous"/>
        </w:sectPr>
      </w:pPr>
    </w:p>
    <w:bookmarkStart w:id="88" w:name="page89"/>
    <w:bookmarkEnd w:id="88"/>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The Company also enters into various project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its SoC into the customer’s product. Accordingly, the Company determines that they are not separately identifiable and shall be treated as a single performance obligation. For fixed-price project service contracts, the Company recognizes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the Company recognizes revenue in the amount for which the Company has the right to invoice as the Company believes the amount invoiced directly corresponds with the value to the customer of its performance completed to date.</w:t>
      </w:r>
    </w:p>
    <w:p>
      <w:pPr>
        <w:spacing w:after="0" w:line="8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454546"/>
        </w:rPr>
        <w:t>Timing of revenue recognition may differ from the timing of invoicing to the Company’s customers. The Company records contract assets when revenue is recognized prior to invoicing. The Company’s contract assets are primarily related to the satisfied but unbilled performance obligations associated with project service agreements at the reporting date. As of January 31, 2024 and 2023, the contract assets for these unbilled receivables were not material, respectively. The Company’s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During fiscal year 2024, the Company recognized approximately $2.2 million of revenue that was included in the deferred revenue balance at January 31, 2023.</w:t>
      </w:r>
    </w:p>
    <w:p>
      <w:pPr>
        <w:spacing w:after="0" w:line="88"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454546"/>
        </w:rPr>
        <w:t>As of January 31, 2024, the amount of remaining unsatisfied performance obligations on contracts, primarily consisting of product purchase orders with original contract duration of more than one year, was approximately $6.9 million, of which approximately 96% is expected to be recognized within the next 12 months. The Company also elects not to disclose the value of unsatisfied or partially unsatisfied performance obligations for contracts with original expected contract duration of one year or less, and elects to exclude amounts collected from customers for all sales taxes from the transaction price.</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Cost of Revenue</w:t>
      </w:r>
    </w:p>
    <w:p>
      <w:pPr>
        <w:spacing w:after="0" w:line="120" w:lineRule="exact"/>
        <w:rPr>
          <w:sz w:val="20"/>
          <w:szCs w:val="20"/>
          <w:color w:val="auto"/>
        </w:rPr>
      </w:pPr>
    </w:p>
    <w:p>
      <w:pPr>
        <w:ind w:right="380" w:firstLine="490"/>
        <w:spacing w:after="0" w:line="249" w:lineRule="auto"/>
        <w:rPr>
          <w:sz w:val="20"/>
          <w:szCs w:val="20"/>
          <w:color w:val="auto"/>
        </w:rPr>
      </w:pPr>
      <w:r>
        <w:rPr>
          <w:rFonts w:ascii="Times New Roman" w:cs="Times New Roman" w:eastAsia="Times New Roman" w:hAnsi="Times New Roman"/>
          <w:sz w:val="20"/>
          <w:szCs w:val="20"/>
          <w:color w:val="454546"/>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commitments, allocation of facility costs, amortization of developed technology and software licenses, warranty and other general overhead costs.</w:t>
      </w:r>
    </w:p>
    <w:p>
      <w:pPr>
        <w:spacing w:after="0" w:line="3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w:t>
      </w:r>
    </w:p>
    <w:p>
      <w:pPr>
        <w:spacing w:after="0" w:line="23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Research and development costs are expensed as incurred and consist primarily of personnel costs, product development costs, outside services, costs of development for software and hardware tools, costs and amortization of licensing intellectual property from third parties for product development, costs of fabrication of masks for prototype products, equipment expenses, depreciation of equipment and tools and allocation of facility costs.</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Selling, General and Administrative</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Selling, general and administrative expenses consist of personnel costs, travel and trade show costs, legal expenses, amortization of trade name and customer relationships, professional services and occupancy costs. Advertising expenses were not material for the fiscal years ended January 31, 2024, 2023 and 2022, respectively.</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84</w:t>
      </w:r>
    </w:p>
    <w:p>
      <w:pPr>
        <w:sectPr>
          <w:pgSz w:w="12240" w:h="15840" w:orient="portrait"/>
          <w:cols w:equalWidth="0" w:num="1">
            <w:col w:w="10800"/>
          </w:cols>
          <w:pgMar w:left="720" w:top="976" w:right="720" w:bottom="175" w:gutter="0" w:footer="0" w:header="0"/>
          <w:type w:val="continuous"/>
        </w:sectPr>
      </w:pPr>
    </w:p>
    <w:bookmarkStart w:id="89" w:name="page90"/>
    <w:bookmarkEnd w:id="89"/>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Company measures stock-based compensation for equity awards granted to employees and directors based on the estimated fair value on the grant date, and recognizes that compensation as expense using the straight-line attribution method for service condition awards or using the graded-vesting attribution method for awards with performance conditions over the requisite service period, which is typically the vesting period of each award. The Company determines the fair value of restricted stock and restricted stock units with service or performance conditions based on the fair market value of its ordinary shares on the grant date. The Company uses the Black -Scholes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The Company calculates expected volatility based on its own historical stock price for a period commensurate with the expected term, which is computed based on its own historical exercise behavior. The risk-free interest rate is derived from an average of the U.S. Treasury constant maturity rates for the respective periods most closely commensurate with the expected term. The expected dividend yield is zero because the Company has not historically paid dividends and has no present intention to pay dividends. The Company uses the Lattice pricing model and Monte Carlo Simulations to evaluate the fair value of awards with market conditions, including assumptions of historical volatility and risk-free interest rate commensurate with the vesting term. The Company elects to account for forfeitures as they occur.</w:t>
      </w: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Income Taxes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8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454546"/>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3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Net Income (Loss) Per Ordinary Share</w:t>
      </w:r>
    </w:p>
    <w:p>
      <w:pPr>
        <w:spacing w:after="0" w:line="24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454546"/>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and unvested restricted stock units. The dilutive effect of potentially dilutive securities is reflected in diluted earnings (losses) per share by application of the treasury stock method.</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Comprehensive Loss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Comprehensive loss includes unrealized gains or losses from available-for-sale securities that are excluded from net loss.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85</w:t>
      </w:r>
    </w:p>
    <w:p>
      <w:pPr>
        <w:sectPr>
          <w:pgSz w:w="12240" w:h="15840" w:orient="portrait"/>
          <w:cols w:equalWidth="0" w:num="1">
            <w:col w:w="10800"/>
          </w:cols>
          <w:pgMar w:left="720" w:top="976" w:right="720" w:bottom="175" w:gutter="0" w:footer="0" w:header="0"/>
          <w:type w:val="continuous"/>
        </w:sectPr>
      </w:pPr>
    </w:p>
    <w:bookmarkStart w:id="90" w:name="page91"/>
    <w:bookmarkEnd w:id="90"/>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Recent Accounting Pronouncements</w:t>
      </w:r>
    </w:p>
    <w:p>
      <w:pPr>
        <w:spacing w:after="0" w:line="240" w:lineRule="exact"/>
        <w:rPr>
          <w:sz w:val="20"/>
          <w:szCs w:val="20"/>
          <w:color w:val="auto"/>
        </w:rPr>
      </w:pPr>
    </w:p>
    <w:p>
      <w:pPr>
        <w:ind w:right="320" w:firstLine="490"/>
        <w:spacing w:after="0" w:line="260" w:lineRule="auto"/>
        <w:rPr>
          <w:sz w:val="20"/>
          <w:szCs w:val="20"/>
          <w:color w:val="auto"/>
        </w:rPr>
      </w:pPr>
      <w:r>
        <w:rPr>
          <w:rFonts w:ascii="Times New Roman" w:cs="Times New Roman" w:eastAsia="Times New Roman" w:hAnsi="Times New Roman"/>
          <w:sz w:val="19"/>
          <w:szCs w:val="19"/>
          <w:color w:val="454546"/>
        </w:rPr>
        <w:t xml:space="preserve">In November 2023, the Financial Accounting Standards Board (FASB) issued Accounting Standard Update (ASU) 2023-07, </w:t>
      </w:r>
      <w:r>
        <w:rPr>
          <w:rFonts w:ascii="Times New Roman" w:cs="Times New Roman" w:eastAsia="Times New Roman" w:hAnsi="Times New Roman"/>
          <w:sz w:val="19"/>
          <w:szCs w:val="19"/>
          <w:i w:val="1"/>
          <w:iCs w:val="1"/>
          <w:color w:val="454546"/>
        </w:rPr>
        <w:t>Segment Reporting (Topic 280): Improvements to Reportable Segment Disclosures</w:t>
      </w:r>
      <w:r>
        <w:rPr>
          <w:rFonts w:ascii="Times New Roman" w:cs="Times New Roman" w:eastAsia="Times New Roman" w:hAnsi="Times New Roman"/>
          <w:sz w:val="19"/>
          <w:szCs w:val="19"/>
          <w:color w:val="454546"/>
        </w:rPr>
        <w:t>. This new guidance requires public entities to</w:t>
      </w:r>
      <w:r>
        <w:rPr>
          <w:rFonts w:ascii="Times New Roman" w:cs="Times New Roman" w:eastAsia="Times New Roman" w:hAnsi="Times New Roman"/>
          <w:sz w:val="19"/>
          <w:szCs w:val="19"/>
          <w:i w:val="1"/>
          <w:iCs w:val="1"/>
          <w:color w:val="454546"/>
        </w:rPr>
        <w:t xml:space="preserve"> </w:t>
      </w:r>
      <w:r>
        <w:rPr>
          <w:rFonts w:ascii="Times New Roman" w:cs="Times New Roman" w:eastAsia="Times New Roman" w:hAnsi="Times New Roman"/>
          <w:sz w:val="19"/>
          <w:szCs w:val="19"/>
          <w:color w:val="454546"/>
        </w:rPr>
        <w:t xml:space="preserve">disclose significant segment expenses and other segment items on an annual and interim basis and to provide in interim periods all disclosures about a reportable segment’s profit or loss and assets that are currently required annually. Public entities with a single reportable segment are required to provide the new disclosures and all the disclosures required under ASC 280 </w:t>
      </w:r>
      <w:r>
        <w:rPr>
          <w:rFonts w:ascii="Times New Roman" w:cs="Times New Roman" w:eastAsia="Times New Roman" w:hAnsi="Times New Roman"/>
          <w:sz w:val="19"/>
          <w:szCs w:val="19"/>
          <w:i w:val="1"/>
          <w:iCs w:val="1"/>
          <w:color w:val="454546"/>
        </w:rPr>
        <w:t>Segment Reporting</w:t>
      </w:r>
      <w:r>
        <w:rPr>
          <w:rFonts w:ascii="Times New Roman" w:cs="Times New Roman" w:eastAsia="Times New Roman" w:hAnsi="Times New Roman"/>
          <w:sz w:val="19"/>
          <w:szCs w:val="19"/>
          <w:color w:val="454546"/>
        </w:rPr>
        <w:t>. The ASU shall be applied retrospectively to all periods presented in financial statements and is effective for fiscal years beginning after December 15, 2023 and for interim periods beginning after December 15, 2024. Early adoption is permitted. The Company is currently evaluating the impact of adoption of this new guidance on its consolidated financial statements and disclosures.</w:t>
      </w:r>
    </w:p>
    <w:p>
      <w:pPr>
        <w:spacing w:after="0" w:line="1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454546"/>
        </w:rPr>
        <w:t xml:space="preserve">In December 2023, the FASB issued ASU 2023-09, </w:t>
      </w:r>
      <w:r>
        <w:rPr>
          <w:rFonts w:ascii="Times New Roman" w:cs="Times New Roman" w:eastAsia="Times New Roman" w:hAnsi="Times New Roman"/>
          <w:sz w:val="20"/>
          <w:szCs w:val="20"/>
          <w:i w:val="1"/>
          <w:iCs w:val="1"/>
          <w:color w:val="454546"/>
        </w:rPr>
        <w:t>Income Taxes (Topic 740): Improvements to Income Tax Disclosures</w:t>
      </w:r>
      <w:r>
        <w:rPr>
          <w:rFonts w:ascii="Times New Roman" w:cs="Times New Roman" w:eastAsia="Times New Roman" w:hAnsi="Times New Roman"/>
          <w:sz w:val="20"/>
          <w:szCs w:val="20"/>
          <w:color w:val="454546"/>
        </w:rPr>
        <w:t>. This new guidance requires additional disclosures related to effective tax rate reconciliation, disaggregated income taxes paid and other modified income tax-related disclosures. The ASU shall be applied on a prospective basis with retrospective application permitted, and is effective for fiscal years beginning after December 15, 2024. Early adoption is permitted. The Company is currently evaluating the impact of adoption of this new guidance on its consolidated financial statements and disclosures.</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In March 2024, the Securities and Exchange Commission (SEC) adopted final rules that will require the registrants to disclose climate-related risks that are reasonably likely to have a material impact on a registrant's business strategy, results of operations and financial condition. The new rules include disclosures relating to climate-related risks and risk managements, registrant's governance of such risks, financial impact on the audited financial statements, as well as greenhouse gas emissions. The new rules shall be applied prospectively, with information for prior periods required only to the extent it was previously disclosed in an SEC filing. The earliest adoption date starts from the registrant's fiscal year beginning calendar 2025. The Company is currently evaluating the impact of adoption of this new guidance on its consolidated financial statements and disclosures.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2. Business Combination</w:t>
      </w:r>
    </w:p>
    <w:p>
      <w:pPr>
        <w:spacing w:after="0" w:line="234"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454546"/>
        </w:rPr>
        <w:t>The Company did not enter into any business combination agreements during the fiscal years ended January 31, 2024 and 2023. The Company acquired the following business during the fiscal year ended January 31, 2022 which was accounted for as a business combination:</w:t>
      </w:r>
    </w:p>
    <w:p>
      <w:pPr>
        <w:spacing w:after="0" w:line="178"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454546"/>
        </w:rPr>
        <w:t>On November 5, 2021, pursuant to a merger agreement, the Company completed the 100% voting rights acquisition of Oculii Corp., or Oculii, a privately-held Ohio-based company that develops adaptive radar perception algorithms for automotive, including advanced driver assistance systems, autonomous vehicle driving systems and other commercial applications, for a total purchase consideration of $355.7 million. As a result, there was $277.0 million attributed to goodwill, $ 32.8 million attributed to intangible assets and $45.9 million attributed to net assets acquired. Goodwill is primarily attributable to expected synergies for the combined operations and the assembled workforce acquired and is assigned to the Company’s sole reportable segment. The Company also assumed all of the unvested options to purchase Oculii capital stock that were held by continuing Oculii service providers, subject to customary adjustments with respect to the exercise price and number of shares underlying such options. The acquisition-related costs included in selling, general and administrative expense in the consolidated statements of operations were approximately $3.8 million in fiscal year 2022.</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aggregate purchase consideration has been allocated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454546"/>
              </w:rPr>
              <w:t>Amount</w:t>
            </w:r>
          </w:p>
        </w:tc>
      </w:tr>
      <w:tr>
        <w:trPr>
          <w:trHeight w:val="155"/>
        </w:trPr>
        <w:tc>
          <w:tcPr>
            <w:tcW w:w="7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Borders>
              <w:top w:val="single" w:sz="8" w:color="454546"/>
            </w:tcBorders>
          </w:tcPr>
          <w:p>
            <w:pPr>
              <w:spacing w:after="0"/>
              <w:rPr>
                <w:sz w:val="13"/>
                <w:szCs w:val="13"/>
                <w:color w:val="auto"/>
              </w:rPr>
            </w:pPr>
          </w:p>
        </w:tc>
        <w:tc>
          <w:tcPr>
            <w:tcW w:w="1640" w:type="dxa"/>
            <w:vAlign w:val="bottom"/>
            <w:tcBorders>
              <w:top w:val="single" w:sz="8" w:color="454546"/>
            </w:tcBorders>
          </w:tcPr>
          <w:p>
            <w:pPr>
              <w:jc w:val="right"/>
              <w:ind w:right="387"/>
              <w:spacing w:after="0" w:line="155"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100" w:type="dxa"/>
            <w:vAlign w:val="bottom"/>
          </w:tcPr>
          <w:p>
            <w:pPr>
              <w:spacing w:after="0"/>
              <w:rPr>
                <w:sz w:val="13"/>
                <w:szCs w:val="13"/>
                <w:color w:val="auto"/>
              </w:rPr>
            </w:pPr>
          </w:p>
        </w:tc>
      </w:tr>
      <w:tr>
        <w:trPr>
          <w:trHeight w:val="249"/>
        </w:trPr>
        <w:tc>
          <w:tcPr>
            <w:tcW w:w="7900" w:type="dxa"/>
            <w:vAlign w:val="bottom"/>
          </w:tcPr>
          <w:p>
            <w:pPr>
              <w:spacing w:after="0"/>
              <w:rPr>
                <w:sz w:val="20"/>
                <w:szCs w:val="20"/>
                <w:color w:val="auto"/>
              </w:rPr>
            </w:pPr>
            <w:r>
              <w:rPr>
                <w:rFonts w:ascii="Times New Roman" w:cs="Times New Roman" w:eastAsia="Times New Roman" w:hAnsi="Times New Roman"/>
                <w:sz w:val="20"/>
                <w:szCs w:val="20"/>
                <w:color w:val="454546"/>
              </w:rPr>
              <w:t>Cash consideration transferred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355,071</w:t>
            </w:r>
          </w:p>
        </w:tc>
        <w:tc>
          <w:tcPr>
            <w:tcW w:w="100" w:type="dxa"/>
            <w:vAlign w:val="bottom"/>
          </w:tcPr>
          <w:p>
            <w:pPr>
              <w:spacing w:after="0"/>
              <w:rPr>
                <w:sz w:val="21"/>
                <w:szCs w:val="21"/>
                <w:color w:val="auto"/>
              </w:rPr>
            </w:pPr>
          </w:p>
        </w:tc>
      </w:tr>
      <w:tr>
        <w:trPr>
          <w:trHeight w:val="230"/>
        </w:trPr>
        <w:tc>
          <w:tcPr>
            <w:tcW w:w="7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Net working capital adjustment</w:t>
            </w:r>
          </w:p>
        </w:tc>
        <w:tc>
          <w:tcPr>
            <w:tcW w:w="88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1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247</w:t>
            </w:r>
          </w:p>
        </w:tc>
        <w:tc>
          <w:tcPr>
            <w:tcW w:w="100" w:type="dxa"/>
            <w:vAlign w:val="bottom"/>
            <w:shd w:val="clear" w:color="auto" w:fill="E5E6E7"/>
          </w:tcPr>
          <w:p>
            <w:pPr>
              <w:spacing w:after="0"/>
              <w:rPr>
                <w:sz w:val="19"/>
                <w:szCs w:val="19"/>
                <w:color w:val="auto"/>
              </w:rPr>
            </w:pPr>
          </w:p>
        </w:tc>
      </w:tr>
      <w:tr>
        <w:trPr>
          <w:trHeight w:val="230"/>
        </w:trPr>
        <w:tc>
          <w:tcPr>
            <w:tcW w:w="79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Fair value of stock-based compensation awards attributable to pre-combination services</w:t>
            </w:r>
          </w:p>
        </w:tc>
        <w:tc>
          <w:tcPr>
            <w:tcW w:w="880" w:type="dxa"/>
            <w:vAlign w:val="bottom"/>
            <w:tcBorders>
              <w:bottom w:val="single" w:sz="8" w:color="E5E6E7"/>
            </w:tcBorders>
          </w:tcPr>
          <w:p>
            <w:pPr>
              <w:spacing w:after="0"/>
              <w:rPr>
                <w:sz w:val="19"/>
                <w:szCs w:val="19"/>
                <w:color w:val="auto"/>
              </w:rPr>
            </w:pPr>
          </w:p>
        </w:tc>
        <w:tc>
          <w:tcPr>
            <w:tcW w:w="280" w:type="dxa"/>
            <w:vAlign w:val="bottom"/>
            <w:tcBorders>
              <w:bottom w:val="single" w:sz="8" w:color="454546"/>
            </w:tcBorders>
          </w:tcPr>
          <w:p>
            <w:pPr>
              <w:spacing w:after="0"/>
              <w:rPr>
                <w:sz w:val="19"/>
                <w:szCs w:val="19"/>
                <w:color w:val="auto"/>
              </w:rPr>
            </w:pPr>
          </w:p>
        </w:tc>
        <w:tc>
          <w:tcPr>
            <w:tcW w:w="16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407</w:t>
            </w:r>
          </w:p>
        </w:tc>
        <w:tc>
          <w:tcPr>
            <w:tcW w:w="100" w:type="dxa"/>
            <w:vAlign w:val="bottom"/>
            <w:tcBorders>
              <w:bottom w:val="single" w:sz="8" w:color="E5E6E7"/>
            </w:tcBorders>
          </w:tcPr>
          <w:p>
            <w:pPr>
              <w:spacing w:after="0"/>
              <w:rPr>
                <w:sz w:val="19"/>
                <w:szCs w:val="19"/>
                <w:color w:val="auto"/>
              </w:rPr>
            </w:pPr>
          </w:p>
        </w:tc>
      </w:tr>
      <w:tr>
        <w:trPr>
          <w:trHeight w:val="220"/>
        </w:trPr>
        <w:tc>
          <w:tcPr>
            <w:tcW w:w="790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purchase consideration</w:t>
            </w:r>
          </w:p>
        </w:tc>
        <w:tc>
          <w:tcPr>
            <w:tcW w:w="880" w:type="dxa"/>
            <w:vAlign w:val="bottom"/>
            <w:shd w:val="clear" w:color="auto" w:fill="E5E6E7"/>
          </w:tcPr>
          <w:p>
            <w:pPr>
              <w:spacing w:after="0"/>
              <w:rPr>
                <w:sz w:val="19"/>
                <w:szCs w:val="19"/>
                <w:color w:val="auto"/>
              </w:rPr>
            </w:pPr>
          </w:p>
        </w:tc>
        <w:tc>
          <w:tcPr>
            <w:tcW w:w="280" w:type="dxa"/>
            <w:vAlign w:val="bottom"/>
            <w:tcBorders>
              <w:bottom w:val="single" w:sz="8" w:color="454546"/>
            </w:tcBorders>
            <w:shd w:val="clear" w:color="auto" w:fill="E5E6E7"/>
          </w:tcPr>
          <w:p>
            <w:pPr>
              <w:jc w:val="right"/>
              <w:ind w:right="8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6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355,725</w:t>
            </w:r>
          </w:p>
        </w:tc>
        <w:tc>
          <w:tcPr>
            <w:tcW w:w="100" w:type="dxa"/>
            <w:vAlign w:val="bottom"/>
            <w:shd w:val="clear" w:color="auto" w:fill="E5E6E7"/>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16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Below is a summary of intangible assets acquired in the acquisition:</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86</w:t>
      </w:r>
    </w:p>
    <w:p>
      <w:pPr>
        <w:sectPr>
          <w:pgSz w:w="12240" w:h="15840" w:orient="portrait"/>
          <w:cols w:equalWidth="0" w:num="1">
            <w:col w:w="10800"/>
          </w:cols>
          <w:pgMar w:left="720" w:top="976" w:right="720" w:bottom="175"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80" w:type="dxa"/>
            <w:vAlign w:val="bottom"/>
          </w:tcPr>
          <w:p>
            <w:pPr>
              <w:jc w:val="center"/>
              <w:ind w:left="475"/>
              <w:spacing w:after="0"/>
              <w:rPr>
                <w:sz w:val="20"/>
                <w:szCs w:val="20"/>
                <w:color w:val="auto"/>
              </w:rPr>
            </w:pPr>
            <w:r>
              <w:rPr>
                <w:rFonts w:ascii="Times New Roman" w:cs="Times New Roman" w:eastAsia="Times New Roman" w:hAnsi="Times New Roman"/>
                <w:sz w:val="16"/>
                <w:szCs w:val="16"/>
                <w:b w:val="1"/>
                <w:bCs w:val="1"/>
                <w:color w:val="454546"/>
                <w:w w:val="99"/>
              </w:rPr>
              <w:t>Acquisition Date</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Estimated</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80" w:type="dxa"/>
            <w:vAlign w:val="bottom"/>
            <w:tcBorders>
              <w:bottom w:val="single" w:sz="8" w:color="454546"/>
            </w:tcBorders>
          </w:tcPr>
          <w:p>
            <w:pPr>
              <w:jc w:val="center"/>
              <w:ind w:left="475"/>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560" w:type="dxa"/>
            <w:vAlign w:val="bottom"/>
            <w:tcBorders>
              <w:bottom w:val="single" w:sz="8" w:color="454546"/>
            </w:tcBorders>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Useful Lives</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jc w:val="center"/>
              <w:ind w:left="475"/>
              <w:spacing w:after="0" w:line="174"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Trade name (1)</w:t>
            </w:r>
          </w:p>
        </w:tc>
        <w:tc>
          <w:tcPr>
            <w:tcW w:w="3620" w:type="dxa"/>
            <w:vAlign w:val="bottom"/>
            <w:gridSpan w:val="2"/>
            <w:shd w:val="clear" w:color="auto" w:fill="E5E6E7"/>
          </w:tcPr>
          <w:p>
            <w:pPr>
              <w:jc w:val="right"/>
              <w:ind w:right="1595"/>
              <w:spacing w:after="0"/>
              <w:rPr>
                <w:sz w:val="20"/>
                <w:szCs w:val="20"/>
                <w:color w:val="auto"/>
              </w:rPr>
            </w:pPr>
            <w:r>
              <w:rPr>
                <w:rFonts w:ascii="Times New Roman" w:cs="Times New Roman" w:eastAsia="Times New Roman" w:hAnsi="Times New Roman"/>
                <w:sz w:val="20"/>
                <w:szCs w:val="20"/>
                <w:color w:val="454546"/>
              </w:rPr>
              <w:t>$</w:t>
            </w:r>
          </w:p>
        </w:tc>
        <w:tc>
          <w:tcPr>
            <w:tcW w:w="5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2,500</w:t>
            </w:r>
          </w:p>
        </w:tc>
        <w:tc>
          <w:tcPr>
            <w:tcW w:w="440" w:type="dxa"/>
            <w:vAlign w:val="bottom"/>
            <w:shd w:val="clear" w:color="auto" w:fill="E5E6E7"/>
          </w:tcPr>
          <w:p>
            <w:pPr>
              <w:spacing w:after="0"/>
              <w:rPr>
                <w:sz w:val="19"/>
                <w:szCs w:val="19"/>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rPr>
              <w:t>7 years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454546"/>
              </w:rPr>
              <w:t>Customer relationships (2)</w:t>
            </w:r>
          </w:p>
        </w:tc>
        <w:tc>
          <w:tcPr>
            <w:tcW w:w="1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8"/>
              </w:rPr>
              <w:t>13,200</w:t>
            </w:r>
          </w:p>
        </w:tc>
        <w:tc>
          <w:tcPr>
            <w:tcW w:w="4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454546"/>
              </w:rPr>
              <w:t>9 years</w:t>
            </w:r>
          </w:p>
        </w:tc>
        <w:tc>
          <w:tcPr>
            <w:tcW w:w="0" w:type="dxa"/>
            <w:vAlign w:val="bottom"/>
          </w:tcPr>
          <w:p>
            <w:pPr>
              <w:spacing w:after="0"/>
              <w:rPr>
                <w:sz w:val="1"/>
                <w:szCs w:val="1"/>
                <w:color w:val="auto"/>
              </w:rPr>
            </w:pPr>
          </w:p>
        </w:tc>
      </w:tr>
      <w:tr>
        <w:trPr>
          <w:trHeight w:val="230"/>
        </w:trPr>
        <w:tc>
          <w:tcPr>
            <w:tcW w:w="45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Developed technology (1)</w:t>
            </w:r>
          </w:p>
        </w:tc>
        <w:tc>
          <w:tcPr>
            <w:tcW w:w="1840" w:type="dxa"/>
            <w:vAlign w:val="bottom"/>
            <w:shd w:val="clear" w:color="auto" w:fill="E5E6E7"/>
          </w:tcPr>
          <w:p>
            <w:pPr>
              <w:spacing w:after="0"/>
              <w:rPr>
                <w:sz w:val="19"/>
                <w:szCs w:val="19"/>
                <w:color w:val="auto"/>
              </w:rPr>
            </w:pPr>
          </w:p>
        </w:tc>
        <w:tc>
          <w:tcPr>
            <w:tcW w:w="1780" w:type="dxa"/>
            <w:vAlign w:val="bottom"/>
            <w:tcBorders>
              <w:bottom w:val="single" w:sz="8" w:color="454546"/>
            </w:tcBorders>
            <w:shd w:val="clear" w:color="auto" w:fill="E5E6E7"/>
          </w:tcPr>
          <w:p>
            <w:pPr>
              <w:spacing w:after="0"/>
              <w:rPr>
                <w:sz w:val="19"/>
                <w:szCs w:val="19"/>
                <w:color w:val="auto"/>
              </w:rPr>
            </w:pPr>
          </w:p>
        </w:tc>
        <w:tc>
          <w:tcPr>
            <w:tcW w:w="5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98"/>
              </w:rPr>
              <w:t>17,100</w:t>
            </w:r>
          </w:p>
        </w:tc>
        <w:tc>
          <w:tcPr>
            <w:tcW w:w="440" w:type="dxa"/>
            <w:vAlign w:val="bottom"/>
            <w:shd w:val="clear" w:color="auto" w:fill="E5E6E7"/>
          </w:tcPr>
          <w:p>
            <w:pPr>
              <w:spacing w:after="0"/>
              <w:rPr>
                <w:sz w:val="19"/>
                <w:szCs w:val="19"/>
                <w:color w:val="auto"/>
              </w:rPr>
            </w:pPr>
          </w:p>
        </w:tc>
        <w:tc>
          <w:tcPr>
            <w:tcW w:w="16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54546"/>
              </w:rPr>
              <w:t>7 years</w:t>
            </w:r>
          </w:p>
        </w:tc>
        <w:tc>
          <w:tcPr>
            <w:tcW w:w="0" w:type="dxa"/>
            <w:vAlign w:val="bottom"/>
          </w:tcPr>
          <w:p>
            <w:pPr>
              <w:spacing w:after="0"/>
              <w:rPr>
                <w:sz w:val="1"/>
                <w:szCs w:val="1"/>
                <w:color w:val="auto"/>
              </w:rPr>
            </w:pPr>
          </w:p>
        </w:tc>
      </w:tr>
      <w:tr>
        <w:trPr>
          <w:trHeight w:val="220"/>
        </w:trPr>
        <w:tc>
          <w:tcPr>
            <w:tcW w:w="45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intangible assets acquired</w:t>
            </w:r>
          </w:p>
        </w:tc>
        <w:tc>
          <w:tcPr>
            <w:tcW w:w="1840" w:type="dxa"/>
            <w:vAlign w:val="bottom"/>
          </w:tcPr>
          <w:p>
            <w:pPr>
              <w:spacing w:after="0"/>
              <w:rPr>
                <w:sz w:val="19"/>
                <w:szCs w:val="19"/>
                <w:color w:val="auto"/>
              </w:rPr>
            </w:pPr>
          </w:p>
        </w:tc>
        <w:tc>
          <w:tcPr>
            <w:tcW w:w="1780" w:type="dxa"/>
            <w:vAlign w:val="bottom"/>
            <w:tcBorders>
              <w:bottom w:val="single" w:sz="8" w:color="454546"/>
            </w:tcBorders>
          </w:tcPr>
          <w:p>
            <w:pPr>
              <w:jc w:val="right"/>
              <w:ind w:right="1595"/>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56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98"/>
              </w:rPr>
              <w:t>32,800</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_____________</w:t>
            </w:r>
          </w:p>
        </w:tc>
        <w:tc>
          <w:tcPr>
            <w:tcW w:w="1840" w:type="dxa"/>
            <w:vAlign w:val="bottom"/>
          </w:tcPr>
          <w:p>
            <w:pPr>
              <w:spacing w:after="0" w:line="20" w:lineRule="exact"/>
              <w:rPr>
                <w:sz w:val="1"/>
                <w:szCs w:val="1"/>
                <w:color w:val="auto"/>
              </w:rPr>
            </w:pPr>
          </w:p>
        </w:tc>
        <w:tc>
          <w:tcPr>
            <w:tcW w:w="1780" w:type="dxa"/>
            <w:vAlign w:val="bottom"/>
            <w:tcBorders>
              <w:bottom w:val="single" w:sz="8" w:color="454546"/>
            </w:tcBorders>
          </w:tcPr>
          <w:p>
            <w:pPr>
              <w:spacing w:after="0" w:line="20" w:lineRule="exact"/>
              <w:rPr>
                <w:sz w:val="1"/>
                <w:szCs w:val="1"/>
                <w:color w:val="auto"/>
              </w:rPr>
            </w:pPr>
          </w:p>
        </w:tc>
        <w:tc>
          <w:tcPr>
            <w:tcW w:w="560" w:type="dxa"/>
            <w:vAlign w:val="bottom"/>
            <w:tcBorders>
              <w:bottom w:val="single" w:sz="8" w:color="454546"/>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00" w:right="260" w:hanging="500"/>
        <w:spacing w:after="0"/>
        <w:tabs>
          <w:tab w:leader="none" w:pos="5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fair values of trade name and developed technology were determined by applying the Relief-from-Royalty Method under the income approach.</w:t>
      </w:r>
    </w:p>
    <w:p>
      <w:pPr>
        <w:ind w:left="500" w:hanging="500"/>
        <w:spacing w:after="0"/>
        <w:tabs>
          <w:tab w:leader="none" w:pos="5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Customer relationships represent the fair value of the existing relationships using the Multi-Period Excess Earnings Method.</w:t>
      </w:r>
    </w:p>
    <w:p>
      <w:pPr>
        <w:spacing w:after="0" w:line="224" w:lineRule="exact"/>
        <w:rPr>
          <w:sz w:val="20"/>
          <w:szCs w:val="20"/>
          <w:color w:val="auto"/>
        </w:rPr>
      </w:pPr>
    </w:p>
    <w:p>
      <w:pPr>
        <w:ind w:right="240" w:firstLine="490"/>
        <w:spacing w:after="0" w:line="281" w:lineRule="auto"/>
        <w:rPr>
          <w:sz w:val="20"/>
          <w:szCs w:val="20"/>
          <w:color w:val="auto"/>
        </w:rPr>
      </w:pPr>
      <w:r>
        <w:rPr>
          <w:rFonts w:ascii="Times New Roman" w:cs="Times New Roman" w:eastAsia="Times New Roman" w:hAnsi="Times New Roman"/>
          <w:sz w:val="20"/>
          <w:szCs w:val="20"/>
          <w:color w:val="454546"/>
        </w:rPr>
        <w:t>The finite-lived intangible assets will be amortized over the estimated useful lives based on the pattern in which the economic benefits are expected to be received to the cost of revenue and operating expenses and have a weighted average useful life of 7.8 years.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454546"/>
        </w:rPr>
        <w:t>Pro Forma Information (Unaudited)</w:t>
      </w:r>
    </w:p>
    <w:p>
      <w:pPr>
        <w:spacing w:after="0" w:line="262" w:lineRule="exact"/>
        <w:rPr>
          <w:sz w:val="20"/>
          <w:szCs w:val="20"/>
          <w:color w:val="auto"/>
        </w:rPr>
      </w:pPr>
    </w:p>
    <w:p>
      <w:pPr>
        <w:ind w:firstLine="500"/>
        <w:spacing w:after="0" w:line="269" w:lineRule="auto"/>
        <w:rPr>
          <w:sz w:val="20"/>
          <w:szCs w:val="20"/>
          <w:color w:val="auto"/>
        </w:rPr>
      </w:pPr>
      <w:r>
        <w:rPr>
          <w:rFonts w:ascii="Times New Roman" w:cs="Times New Roman" w:eastAsia="Times New Roman" w:hAnsi="Times New Roman"/>
          <w:sz w:val="20"/>
          <w:szCs w:val="20"/>
          <w:color w:val="454546"/>
        </w:rPr>
        <w:t>The following table presents unaudited pro forma information as if the acquisition of Oculii had occurred in the beginning of the applicable comparable prior annual reporting period. The unaudited pro forma information for the period indicated includes adjustments for non-recurring transaction costs, amortization of intangibles arising from the acquisition, stock-based compensation expense and the related income tax effects. The unaudited pro forma financial information is not necessarily indicative of the results of operations that would have occurred had the acquisition been effected at the beginning of the period presented. In addition, these results are not intended to be a projection of future results and do not reflect events that may occur after the acquisition, including but not limited to revenue enhancements, cost savings or operating synergies that the combined entity may achieve as a result of the acquisition.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00" w:type="dxa"/>
            <w:vAlign w:val="bottom"/>
            <w:gridSpan w:val="2"/>
          </w:tcPr>
          <w:p>
            <w:pPr>
              <w:jc w:val="center"/>
              <w:ind w:right="1000"/>
              <w:spacing w:after="0"/>
              <w:rPr>
                <w:sz w:val="20"/>
                <w:szCs w:val="20"/>
                <w:color w:val="auto"/>
              </w:rPr>
            </w:pPr>
            <w:r>
              <w:rPr>
                <w:rFonts w:ascii="Times New Roman" w:cs="Times New Roman" w:eastAsia="Times New Roman" w:hAnsi="Times New Roman"/>
                <w:sz w:val="16"/>
                <w:szCs w:val="16"/>
                <w:b w:val="1"/>
                <w:bCs w:val="1"/>
                <w:color w:val="454546"/>
              </w:rPr>
              <w:t>Pro Forma Year Ended</w:t>
            </w:r>
          </w:p>
        </w:tc>
      </w:tr>
      <w:tr>
        <w:trPr>
          <w:trHeight w:val="174"/>
        </w:trPr>
        <w:tc>
          <w:tcPr>
            <w:tcW w:w="5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top w:val="single" w:sz="8" w:color="454546"/>
              <w:bottom w:val="single" w:sz="8" w:color="454546"/>
            </w:tcBorders>
          </w:tcPr>
          <w:p>
            <w:pPr>
              <w:spacing w:after="0"/>
              <w:rPr>
                <w:sz w:val="15"/>
                <w:szCs w:val="15"/>
                <w:color w:val="auto"/>
              </w:rPr>
            </w:pPr>
          </w:p>
        </w:tc>
        <w:tc>
          <w:tcPr>
            <w:tcW w:w="4200" w:type="dxa"/>
            <w:vAlign w:val="bottom"/>
            <w:tcBorders>
              <w:top w:val="single" w:sz="8" w:color="454546"/>
              <w:bottom w:val="single" w:sz="8" w:color="454546"/>
            </w:tcBorders>
          </w:tcPr>
          <w:p>
            <w:pPr>
              <w:jc w:val="center"/>
              <w:ind w:right="812"/>
              <w:spacing w:after="0" w:line="174" w:lineRule="exact"/>
              <w:rPr>
                <w:sz w:val="20"/>
                <w:szCs w:val="20"/>
                <w:color w:val="auto"/>
              </w:rPr>
            </w:pPr>
            <w:r>
              <w:rPr>
                <w:rFonts w:ascii="Times New Roman" w:cs="Times New Roman" w:eastAsia="Times New Roman" w:hAnsi="Times New Roman"/>
                <w:sz w:val="16"/>
                <w:szCs w:val="16"/>
                <w:b w:val="1"/>
                <w:bCs w:val="1"/>
                <w:color w:val="454546"/>
              </w:rPr>
              <w:t>January 31, 2022</w:t>
            </w:r>
          </w:p>
        </w:tc>
        <w:tc>
          <w:tcPr>
            <w:tcW w:w="100" w:type="dxa"/>
            <w:vAlign w:val="bottom"/>
          </w:tcPr>
          <w:p>
            <w:pPr>
              <w:spacing w:after="0"/>
              <w:rPr>
                <w:sz w:val="15"/>
                <w:szCs w:val="15"/>
                <w:color w:val="auto"/>
              </w:rPr>
            </w:pPr>
          </w:p>
        </w:tc>
      </w:tr>
      <w:tr>
        <w:trPr>
          <w:trHeight w:val="174"/>
        </w:trPr>
        <w:tc>
          <w:tcPr>
            <w:tcW w:w="5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0" w:type="dxa"/>
            <w:vAlign w:val="bottom"/>
          </w:tcPr>
          <w:p>
            <w:pPr>
              <w:jc w:val="center"/>
              <w:ind w:right="812"/>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(unaudited, in thousands)</w:t>
            </w:r>
          </w:p>
        </w:tc>
        <w:tc>
          <w:tcPr>
            <w:tcW w:w="100" w:type="dxa"/>
            <w:vAlign w:val="bottom"/>
          </w:tcPr>
          <w:p>
            <w:pPr>
              <w:spacing w:after="0"/>
              <w:rPr>
                <w:sz w:val="15"/>
                <w:szCs w:val="15"/>
                <w:color w:val="auto"/>
              </w:rPr>
            </w:pPr>
          </w:p>
        </w:tc>
      </w:tr>
      <w:tr>
        <w:trPr>
          <w:trHeight w:val="230"/>
        </w:trPr>
        <w:tc>
          <w:tcPr>
            <w:tcW w:w="5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Revenue</w:t>
            </w:r>
          </w:p>
        </w:tc>
        <w:tc>
          <w:tcPr>
            <w:tcW w:w="1280" w:type="dxa"/>
            <w:vAlign w:val="bottom"/>
            <w:gridSpan w:val="2"/>
            <w:shd w:val="clear" w:color="auto" w:fill="E5E6E7"/>
          </w:tcPr>
          <w:p>
            <w:pPr>
              <w:jc w:val="right"/>
              <w:ind w:right="780"/>
              <w:spacing w:after="0"/>
              <w:rPr>
                <w:sz w:val="20"/>
                <w:szCs w:val="20"/>
                <w:color w:val="auto"/>
              </w:rPr>
            </w:pPr>
            <w:r>
              <w:rPr>
                <w:rFonts w:ascii="Times New Roman" w:cs="Times New Roman" w:eastAsia="Times New Roman" w:hAnsi="Times New Roman"/>
                <w:sz w:val="20"/>
                <w:szCs w:val="20"/>
                <w:color w:val="454546"/>
              </w:rPr>
              <w:t>$</w:t>
            </w:r>
          </w:p>
        </w:tc>
        <w:tc>
          <w:tcPr>
            <w:tcW w:w="4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333,323</w:t>
            </w:r>
          </w:p>
        </w:tc>
        <w:tc>
          <w:tcPr>
            <w:tcW w:w="100" w:type="dxa"/>
            <w:vAlign w:val="bottom"/>
            <w:shd w:val="clear" w:color="auto" w:fill="E5E6E7"/>
          </w:tcPr>
          <w:p>
            <w:pPr>
              <w:spacing w:after="0"/>
              <w:rPr>
                <w:sz w:val="19"/>
                <w:szCs w:val="19"/>
                <w:color w:val="auto"/>
              </w:rPr>
            </w:pPr>
          </w:p>
        </w:tc>
      </w:tr>
      <w:tr>
        <w:trPr>
          <w:trHeight w:val="266"/>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454546"/>
              </w:rPr>
              <w:t>Net loss</w:t>
            </w:r>
          </w:p>
        </w:tc>
        <w:tc>
          <w:tcPr>
            <w:tcW w:w="1280" w:type="dxa"/>
            <w:vAlign w:val="bottom"/>
            <w:gridSpan w:val="2"/>
          </w:tcPr>
          <w:p>
            <w:pPr>
              <w:jc w:val="right"/>
              <w:ind w:right="780"/>
              <w:spacing w:after="0"/>
              <w:rPr>
                <w:sz w:val="20"/>
                <w:szCs w:val="20"/>
                <w:color w:val="auto"/>
              </w:rPr>
            </w:pPr>
            <w:r>
              <w:rPr>
                <w:rFonts w:ascii="Times New Roman" w:cs="Times New Roman" w:eastAsia="Times New Roman" w:hAnsi="Times New Roman"/>
                <w:sz w:val="20"/>
                <w:szCs w:val="20"/>
                <w:color w:val="454546"/>
              </w:rPr>
              <w:t>$</w:t>
            </w:r>
          </w:p>
        </w:tc>
        <w:tc>
          <w:tcPr>
            <w:tcW w:w="4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(35,330)</w:t>
            </w:r>
          </w:p>
        </w:tc>
      </w:tr>
    </w:tbl>
    <w:p>
      <w:pPr>
        <w:spacing w:after="0" w:line="174" w:lineRule="exact"/>
        <w:rPr>
          <w:sz w:val="20"/>
          <w:szCs w:val="20"/>
          <w:color w:val="auto"/>
        </w:rPr>
      </w:pPr>
    </w:p>
    <w:p>
      <w:pPr>
        <w:jc w:val="both"/>
        <w:ind w:right="40" w:firstLine="490"/>
        <w:spacing w:after="0" w:line="277" w:lineRule="auto"/>
        <w:rPr>
          <w:sz w:val="20"/>
          <w:szCs w:val="20"/>
          <w:color w:val="auto"/>
        </w:rPr>
      </w:pPr>
      <w:r>
        <w:rPr>
          <w:rFonts w:ascii="Times New Roman" w:cs="Times New Roman" w:eastAsia="Times New Roman" w:hAnsi="Times New Roman"/>
          <w:sz w:val="20"/>
          <w:szCs w:val="20"/>
          <w:color w:val="454546"/>
        </w:rPr>
        <w:t>Approximately $0.5 million of revenue and $6.1 million of net loss attributable to Oculii since the acquisition date of November 5, 2021 was included in the consolidated statements of operations for the fiscal year ended January 31, 2022.</w:t>
      </w:r>
    </w:p>
    <w:p>
      <w:pPr>
        <w:sectPr>
          <w:pgSz w:w="12240" w:h="15840" w:orient="portrait"/>
          <w:cols w:equalWidth="0" w:num="1">
            <w:col w:w="10800"/>
          </w:cols>
          <w:pgMar w:left="720" w:top="1061"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87</w:t>
      </w:r>
    </w:p>
    <w:p>
      <w:pPr>
        <w:sectPr>
          <w:pgSz w:w="12240" w:h="15840" w:orient="portrait"/>
          <w:cols w:equalWidth="0" w:num="1">
            <w:col w:w="10800"/>
          </w:cols>
          <w:pgMar w:left="720" w:top="1061" w:right="720" w:bottom="175"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454546"/>
        </w:rPr>
        <w:t>3. Financial Instruments and Fair Value</w:t>
      </w:r>
    </w:p>
    <w:p>
      <w:pPr>
        <w:spacing w:after="0" w:line="124" w:lineRule="exact"/>
        <w:rPr>
          <w:sz w:val="20"/>
          <w:szCs w:val="20"/>
          <w:color w:val="auto"/>
        </w:rPr>
      </w:pPr>
    </w:p>
    <w:p>
      <w:pPr>
        <w:ind w:right="440" w:firstLine="490"/>
        <w:spacing w:after="0" w:line="252" w:lineRule="auto"/>
        <w:rPr>
          <w:sz w:val="20"/>
          <w:szCs w:val="20"/>
          <w:color w:val="auto"/>
        </w:rPr>
      </w:pPr>
      <w:r>
        <w:rPr>
          <w:rFonts w:ascii="Times New Roman" w:cs="Times New Roman" w:eastAsia="Times New Roman" w:hAnsi="Times New Roman"/>
          <w:sz w:val="20"/>
          <w:szCs w:val="20"/>
          <w:color w:val="454546"/>
        </w:rPr>
        <w:t>The Company invests a portion of its cash in money market funds and debt securities that are denominated in United States dollars. The debt security investment portfolio consists of commercial paper, corporate bonds, asset-backed securities and U.S. government securities. All of the investments are classified as available-for-sale securities and reported at fair value in the consolidated balance sheets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454546"/>
            </w:tcBorders>
          </w:tcPr>
          <w:p>
            <w:pPr>
              <w:spacing w:after="0"/>
              <w:rPr>
                <w:sz w:val="17"/>
                <w:szCs w:val="17"/>
                <w:color w:val="auto"/>
              </w:rPr>
            </w:pPr>
          </w:p>
        </w:tc>
        <w:tc>
          <w:tcPr>
            <w:tcW w:w="820" w:type="dxa"/>
            <w:vAlign w:val="bottom"/>
            <w:tcBorders>
              <w:bottom w:val="single" w:sz="8" w:color="454546"/>
            </w:tcBorders>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300" w:type="dxa"/>
            <w:vAlign w:val="bottom"/>
            <w:tcBorders>
              <w:bottom w:val="single" w:sz="8" w:color="454546"/>
            </w:tcBorders>
          </w:tcPr>
          <w:p>
            <w:pPr>
              <w:spacing w:after="0"/>
              <w:rPr>
                <w:sz w:val="17"/>
                <w:szCs w:val="17"/>
                <w:color w:val="auto"/>
              </w:rPr>
            </w:pPr>
          </w:p>
        </w:tc>
        <w:tc>
          <w:tcPr>
            <w:tcW w:w="1860" w:type="dxa"/>
            <w:vAlign w:val="bottom"/>
            <w:tcBorders>
              <w:bottom w:val="single" w:sz="8" w:color="454546"/>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454546"/>
              </w:rPr>
              <w:t>As of January 31, 2024</w:t>
            </w:r>
          </w:p>
        </w:tc>
        <w:tc>
          <w:tcPr>
            <w:tcW w:w="46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6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92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54546"/>
                <w:w w:val="96"/>
              </w:rPr>
              <w:t>Amortized Cost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454546"/>
              </w:rPr>
              <w:t>Unrealized Gains</w:t>
            </w:r>
          </w:p>
        </w:tc>
        <w:tc>
          <w:tcPr>
            <w:tcW w:w="2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454546"/>
              </w:rPr>
              <w:t>Unrealized 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100" w:type="dxa"/>
            <w:vAlign w:val="bottom"/>
          </w:tcPr>
          <w:p>
            <w:pPr>
              <w:spacing w:after="0"/>
              <w:rPr>
                <w:sz w:val="16"/>
                <w:szCs w:val="16"/>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454546"/>
          </w:tcPr>
          <w:p>
            <w:pPr>
              <w:spacing w:after="0" w:line="20" w:lineRule="exact"/>
              <w:rPr>
                <w:sz w:val="1"/>
                <w:szCs w:val="1"/>
                <w:color w:val="auto"/>
              </w:rPr>
            </w:pPr>
          </w:p>
        </w:tc>
        <w:tc>
          <w:tcPr>
            <w:tcW w:w="82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454546"/>
          </w:tcPr>
          <w:p>
            <w:pPr>
              <w:spacing w:after="0" w:line="20" w:lineRule="exact"/>
              <w:rPr>
                <w:sz w:val="1"/>
                <w:szCs w:val="1"/>
                <w:color w:val="auto"/>
              </w:rPr>
            </w:pPr>
          </w:p>
        </w:tc>
        <w:tc>
          <w:tcPr>
            <w:tcW w:w="88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454546"/>
          </w:tcPr>
          <w:p>
            <w:pPr>
              <w:spacing w:after="0" w:line="20" w:lineRule="exact"/>
              <w:rPr>
                <w:sz w:val="1"/>
                <w:szCs w:val="1"/>
                <w:color w:val="auto"/>
              </w:rPr>
            </w:pPr>
          </w:p>
        </w:tc>
        <w:tc>
          <w:tcPr>
            <w:tcW w:w="460" w:type="dxa"/>
            <w:vAlign w:val="bottom"/>
            <w:shd w:val="clear" w:color="auto" w:fill="45454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454546"/>
          </w:tcPr>
          <w:p>
            <w:pPr>
              <w:spacing w:after="0" w:line="20" w:lineRule="exact"/>
              <w:rPr>
                <w:sz w:val="1"/>
                <w:szCs w:val="1"/>
                <w:color w:val="auto"/>
              </w:rPr>
            </w:pPr>
          </w:p>
        </w:tc>
        <w:tc>
          <w:tcPr>
            <w:tcW w:w="920" w:type="dxa"/>
            <w:vAlign w:val="bottom"/>
            <w:shd w:val="clear" w:color="auto" w:fill="45454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5"/>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98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thousands)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Money market funds</w:t>
            </w:r>
          </w:p>
        </w:tc>
        <w:tc>
          <w:tcPr>
            <w:tcW w:w="26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296</w:t>
            </w:r>
          </w:p>
        </w:tc>
        <w:tc>
          <w:tcPr>
            <w:tcW w:w="50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w:t>
            </w:r>
          </w:p>
        </w:tc>
        <w:tc>
          <w:tcPr>
            <w:tcW w:w="60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296</w:t>
            </w:r>
          </w:p>
        </w:tc>
        <w:tc>
          <w:tcPr>
            <w:tcW w:w="100" w:type="dxa"/>
            <w:vAlign w:val="bottom"/>
            <w:shd w:val="clear" w:color="auto" w:fill="E5E6E7"/>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454546"/>
              </w:rPr>
              <w:t>Commercial paper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30,806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30,806</w:t>
            </w:r>
          </w:p>
        </w:tc>
        <w:tc>
          <w:tcPr>
            <w:tcW w:w="100" w:type="dxa"/>
            <w:vAlign w:val="bottom"/>
          </w:tcPr>
          <w:p>
            <w:pPr>
              <w:spacing w:after="0"/>
              <w:rPr>
                <w:sz w:val="19"/>
                <w:szCs w:val="19"/>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Corporate bonds</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38,867</w:t>
            </w:r>
          </w:p>
        </w:tc>
        <w:tc>
          <w:tcPr>
            <w:tcW w:w="20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180</w:t>
            </w:r>
          </w:p>
        </w:tc>
        <w:tc>
          <w:tcPr>
            <w:tcW w:w="20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6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(135)</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38,912</w:t>
            </w:r>
          </w:p>
        </w:tc>
        <w:tc>
          <w:tcPr>
            <w:tcW w:w="100" w:type="dxa"/>
            <w:vAlign w:val="bottom"/>
            <w:shd w:val="clear" w:color="auto" w:fill="E5E6E7"/>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454546"/>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15,212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15,130</w:t>
            </w:r>
          </w:p>
        </w:tc>
        <w:tc>
          <w:tcPr>
            <w:tcW w:w="100" w:type="dxa"/>
            <w:vAlign w:val="bottom"/>
          </w:tcPr>
          <w:p>
            <w:pPr>
              <w:spacing w:after="0"/>
              <w:rPr>
                <w:sz w:val="19"/>
                <w:szCs w:val="19"/>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government securities</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21,118</w:t>
            </w:r>
          </w:p>
        </w:tc>
        <w:tc>
          <w:tcPr>
            <w:tcW w:w="20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6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(146)</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20,972</w:t>
            </w:r>
          </w:p>
        </w:tc>
        <w:tc>
          <w:tcPr>
            <w:tcW w:w="100" w:type="dxa"/>
            <w:vAlign w:val="bottom"/>
            <w:shd w:val="clear" w:color="auto" w:fill="E5E6E7"/>
          </w:tcPr>
          <w:p>
            <w:pPr>
              <w:spacing w:after="0"/>
              <w:rPr>
                <w:sz w:val="19"/>
                <w:szCs w:val="19"/>
                <w:color w:val="auto"/>
              </w:rPr>
            </w:pPr>
          </w:p>
        </w:tc>
      </w:tr>
      <w:tr>
        <w:trPr>
          <w:trHeight w:val="220"/>
        </w:trPr>
        <w:tc>
          <w:tcPr>
            <w:tcW w:w="55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cash equivalents and marketable debt securities</w:t>
            </w:r>
          </w:p>
        </w:tc>
        <w:tc>
          <w:tcPr>
            <w:tcW w:w="20" w:type="dxa"/>
            <w:vAlign w:val="bottom"/>
          </w:tcPr>
          <w:p>
            <w:pPr>
              <w:spacing w:after="0"/>
              <w:rPr>
                <w:sz w:val="19"/>
                <w:szCs w:val="19"/>
                <w:color w:val="auto"/>
              </w:rPr>
            </w:pPr>
          </w:p>
        </w:tc>
        <w:tc>
          <w:tcPr>
            <w:tcW w:w="240" w:type="dxa"/>
            <w:vAlign w:val="bottom"/>
            <w:tcBorders>
              <w:top w:val="single" w:sz="8" w:color="454546"/>
              <w:bottom w:val="single" w:sz="8" w:color="454546"/>
            </w:tcBorders>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106,299</w:t>
            </w:r>
          </w:p>
        </w:tc>
        <w:tc>
          <w:tcPr>
            <w:tcW w:w="200" w:type="dxa"/>
            <w:vAlign w:val="bottom"/>
          </w:tcPr>
          <w:p>
            <w:pPr>
              <w:spacing w:after="0"/>
              <w:rPr>
                <w:sz w:val="19"/>
                <w:szCs w:val="19"/>
                <w:color w:val="auto"/>
              </w:rPr>
            </w:pPr>
          </w:p>
        </w:tc>
        <w:tc>
          <w:tcPr>
            <w:tcW w:w="300" w:type="dxa"/>
            <w:vAlign w:val="bottom"/>
            <w:tcBorders>
              <w:top w:val="single" w:sz="8" w:color="454546"/>
              <w:bottom w:val="single" w:sz="8" w:color="454546"/>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194</w:t>
            </w:r>
          </w:p>
        </w:tc>
        <w:tc>
          <w:tcPr>
            <w:tcW w:w="200" w:type="dxa"/>
            <w:vAlign w:val="bottom"/>
          </w:tcPr>
          <w:p>
            <w:pPr>
              <w:spacing w:after="0"/>
              <w:rPr>
                <w:sz w:val="19"/>
                <w:szCs w:val="19"/>
                <w:color w:val="auto"/>
              </w:rPr>
            </w:pPr>
          </w:p>
        </w:tc>
        <w:tc>
          <w:tcPr>
            <w:tcW w:w="780" w:type="dxa"/>
            <w:vAlign w:val="bottom"/>
            <w:tcBorders>
              <w:top w:val="single" w:sz="8" w:color="454546"/>
              <w:bottom w:val="single" w:sz="8" w:color="454546"/>
            </w:tcBorders>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4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106,116</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88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4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454546"/>
            </w:tcBorders>
          </w:tcPr>
          <w:p>
            <w:pPr>
              <w:spacing w:after="0"/>
              <w:rPr>
                <w:sz w:val="24"/>
                <w:szCs w:val="24"/>
                <w:color w:val="auto"/>
              </w:rPr>
            </w:pPr>
          </w:p>
        </w:tc>
        <w:tc>
          <w:tcPr>
            <w:tcW w:w="820" w:type="dxa"/>
            <w:vAlign w:val="bottom"/>
            <w:tcBorders>
              <w:bottom w:val="single" w:sz="8" w:color="454546"/>
            </w:tcBorders>
          </w:tcPr>
          <w:p>
            <w:pPr>
              <w:spacing w:after="0"/>
              <w:rPr>
                <w:sz w:val="24"/>
                <w:szCs w:val="24"/>
                <w:color w:val="auto"/>
              </w:rPr>
            </w:pPr>
          </w:p>
        </w:tc>
        <w:tc>
          <w:tcPr>
            <w:tcW w:w="200" w:type="dxa"/>
            <w:vAlign w:val="bottom"/>
            <w:tcBorders>
              <w:bottom w:val="single" w:sz="8" w:color="454546"/>
            </w:tcBorders>
          </w:tcPr>
          <w:p>
            <w:pPr>
              <w:spacing w:after="0"/>
              <w:rPr>
                <w:sz w:val="24"/>
                <w:szCs w:val="24"/>
                <w:color w:val="auto"/>
              </w:rPr>
            </w:pPr>
          </w:p>
        </w:tc>
        <w:tc>
          <w:tcPr>
            <w:tcW w:w="300" w:type="dxa"/>
            <w:vAlign w:val="bottom"/>
            <w:tcBorders>
              <w:bottom w:val="single" w:sz="8" w:color="454546"/>
            </w:tcBorders>
          </w:tcPr>
          <w:p>
            <w:pPr>
              <w:spacing w:after="0"/>
              <w:rPr>
                <w:sz w:val="24"/>
                <w:szCs w:val="24"/>
                <w:color w:val="auto"/>
              </w:rPr>
            </w:pPr>
          </w:p>
        </w:tc>
        <w:tc>
          <w:tcPr>
            <w:tcW w:w="1860" w:type="dxa"/>
            <w:vAlign w:val="bottom"/>
            <w:tcBorders>
              <w:bottom w:val="single" w:sz="8" w:color="454546"/>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454546"/>
              </w:rPr>
              <w:t>As of January 31, 2023</w:t>
            </w:r>
          </w:p>
        </w:tc>
        <w:tc>
          <w:tcPr>
            <w:tcW w:w="460" w:type="dxa"/>
            <w:vAlign w:val="bottom"/>
            <w:tcBorders>
              <w:bottom w:val="single" w:sz="8" w:color="454546"/>
            </w:tcBorders>
          </w:tcPr>
          <w:p>
            <w:pPr>
              <w:spacing w:after="0"/>
              <w:rPr>
                <w:sz w:val="24"/>
                <w:szCs w:val="24"/>
                <w:color w:val="auto"/>
              </w:rPr>
            </w:pPr>
          </w:p>
        </w:tc>
        <w:tc>
          <w:tcPr>
            <w:tcW w:w="140" w:type="dxa"/>
            <w:vAlign w:val="bottom"/>
            <w:tcBorders>
              <w:bottom w:val="single" w:sz="8" w:color="454546"/>
            </w:tcBorders>
          </w:tcPr>
          <w:p>
            <w:pPr>
              <w:spacing w:after="0"/>
              <w:rPr>
                <w:sz w:val="24"/>
                <w:szCs w:val="24"/>
                <w:color w:val="auto"/>
              </w:rPr>
            </w:pPr>
          </w:p>
        </w:tc>
        <w:tc>
          <w:tcPr>
            <w:tcW w:w="60" w:type="dxa"/>
            <w:vAlign w:val="bottom"/>
            <w:tcBorders>
              <w:bottom w:val="single" w:sz="8" w:color="454546"/>
            </w:tcBorders>
          </w:tcPr>
          <w:p>
            <w:pPr>
              <w:spacing w:after="0"/>
              <w:rPr>
                <w:sz w:val="24"/>
                <w:szCs w:val="24"/>
                <w:color w:val="auto"/>
              </w:rPr>
            </w:pPr>
          </w:p>
        </w:tc>
        <w:tc>
          <w:tcPr>
            <w:tcW w:w="140" w:type="dxa"/>
            <w:vAlign w:val="bottom"/>
            <w:tcBorders>
              <w:bottom w:val="single" w:sz="8" w:color="454546"/>
            </w:tcBorders>
          </w:tcPr>
          <w:p>
            <w:pPr>
              <w:spacing w:after="0"/>
              <w:rPr>
                <w:sz w:val="24"/>
                <w:szCs w:val="24"/>
                <w:color w:val="auto"/>
              </w:rPr>
            </w:pPr>
          </w:p>
        </w:tc>
        <w:tc>
          <w:tcPr>
            <w:tcW w:w="920" w:type="dxa"/>
            <w:vAlign w:val="bottom"/>
            <w:tcBorders>
              <w:bottom w:val="single" w:sz="8" w:color="454546"/>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54546"/>
                <w:w w:val="96"/>
              </w:rPr>
              <w:t>Amortized Cost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454546"/>
              </w:rPr>
              <w:t>Unrealized Gains</w:t>
            </w:r>
          </w:p>
        </w:tc>
        <w:tc>
          <w:tcPr>
            <w:tcW w:w="2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454546"/>
              </w:rPr>
              <w:t>Unrealized 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100" w:type="dxa"/>
            <w:vAlign w:val="bottom"/>
          </w:tcPr>
          <w:p>
            <w:pPr>
              <w:spacing w:after="0"/>
              <w:rPr>
                <w:sz w:val="16"/>
                <w:szCs w:val="16"/>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454546"/>
          </w:tcPr>
          <w:p>
            <w:pPr>
              <w:spacing w:after="0" w:line="20" w:lineRule="exact"/>
              <w:rPr>
                <w:sz w:val="1"/>
                <w:szCs w:val="1"/>
                <w:color w:val="auto"/>
              </w:rPr>
            </w:pPr>
          </w:p>
        </w:tc>
        <w:tc>
          <w:tcPr>
            <w:tcW w:w="82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454546"/>
          </w:tcPr>
          <w:p>
            <w:pPr>
              <w:spacing w:after="0" w:line="20" w:lineRule="exact"/>
              <w:rPr>
                <w:sz w:val="1"/>
                <w:szCs w:val="1"/>
                <w:color w:val="auto"/>
              </w:rPr>
            </w:pPr>
          </w:p>
        </w:tc>
        <w:tc>
          <w:tcPr>
            <w:tcW w:w="88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454546"/>
          </w:tcPr>
          <w:p>
            <w:pPr>
              <w:spacing w:after="0" w:line="20" w:lineRule="exact"/>
              <w:rPr>
                <w:sz w:val="1"/>
                <w:szCs w:val="1"/>
                <w:color w:val="auto"/>
              </w:rPr>
            </w:pPr>
          </w:p>
        </w:tc>
        <w:tc>
          <w:tcPr>
            <w:tcW w:w="460" w:type="dxa"/>
            <w:vAlign w:val="bottom"/>
            <w:shd w:val="clear" w:color="auto" w:fill="45454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454546"/>
          </w:tcPr>
          <w:p>
            <w:pPr>
              <w:spacing w:after="0" w:line="20" w:lineRule="exact"/>
              <w:rPr>
                <w:sz w:val="1"/>
                <w:szCs w:val="1"/>
                <w:color w:val="auto"/>
              </w:rPr>
            </w:pPr>
          </w:p>
        </w:tc>
        <w:tc>
          <w:tcPr>
            <w:tcW w:w="920" w:type="dxa"/>
            <w:vAlign w:val="bottom"/>
            <w:shd w:val="clear" w:color="auto" w:fill="45454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5"/>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98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454546"/>
              </w:rPr>
              <w:t>thousands)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Money market funds</w:t>
            </w:r>
          </w:p>
        </w:tc>
        <w:tc>
          <w:tcPr>
            <w:tcW w:w="26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7,872</w:t>
            </w:r>
          </w:p>
        </w:tc>
        <w:tc>
          <w:tcPr>
            <w:tcW w:w="50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w:t>
            </w:r>
          </w:p>
        </w:tc>
        <w:tc>
          <w:tcPr>
            <w:tcW w:w="60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7,872</w:t>
            </w:r>
          </w:p>
        </w:tc>
        <w:tc>
          <w:tcPr>
            <w:tcW w:w="100" w:type="dxa"/>
            <w:vAlign w:val="bottom"/>
            <w:shd w:val="clear" w:color="auto" w:fill="E5E6E7"/>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454546"/>
              </w:rPr>
              <w:t>Commercial paper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18,333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18,333</w:t>
            </w:r>
          </w:p>
        </w:tc>
        <w:tc>
          <w:tcPr>
            <w:tcW w:w="100" w:type="dxa"/>
            <w:vAlign w:val="bottom"/>
          </w:tcPr>
          <w:p>
            <w:pPr>
              <w:spacing w:after="0"/>
              <w:rPr>
                <w:sz w:val="19"/>
                <w:szCs w:val="19"/>
                <w:color w:val="auto"/>
              </w:rPr>
            </w:pPr>
          </w:p>
        </w:tc>
      </w:tr>
      <w:tr>
        <w:trPr>
          <w:trHeight w:val="23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Corporate bonds</w:t>
            </w:r>
          </w:p>
        </w:tc>
        <w:tc>
          <w:tcPr>
            <w:tcW w:w="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23,472</w:t>
            </w:r>
          </w:p>
        </w:tc>
        <w:tc>
          <w:tcPr>
            <w:tcW w:w="20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50</w:t>
            </w:r>
          </w:p>
        </w:tc>
        <w:tc>
          <w:tcPr>
            <w:tcW w:w="20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6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(224)</w:t>
            </w:r>
          </w:p>
        </w:tc>
        <w:tc>
          <w:tcPr>
            <w:tcW w:w="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23,298</w:t>
            </w:r>
          </w:p>
        </w:tc>
        <w:tc>
          <w:tcPr>
            <w:tcW w:w="100" w:type="dxa"/>
            <w:vAlign w:val="bottom"/>
            <w:shd w:val="clear" w:color="auto" w:fill="E5E6E7"/>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454546"/>
              </w:rPr>
              <w:t>Asset-backed securities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18,753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18,648</w:t>
            </w:r>
          </w:p>
        </w:tc>
        <w:tc>
          <w:tcPr>
            <w:tcW w:w="100" w:type="dxa"/>
            <w:vAlign w:val="bottom"/>
          </w:tcPr>
          <w:p>
            <w:pPr>
              <w:spacing w:after="0"/>
              <w:rPr>
                <w:sz w:val="19"/>
                <w:szCs w:val="19"/>
                <w:color w:val="auto"/>
              </w:rPr>
            </w:pPr>
          </w:p>
        </w:tc>
      </w:tr>
      <w:tr>
        <w:trPr>
          <w:trHeight w:val="250"/>
        </w:trPr>
        <w:tc>
          <w:tcPr>
            <w:tcW w:w="5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government securities</w:t>
            </w:r>
          </w:p>
        </w:tc>
        <w:tc>
          <w:tcPr>
            <w:tcW w:w="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33,256</w:t>
            </w:r>
          </w:p>
        </w:tc>
        <w:tc>
          <w:tcPr>
            <w:tcW w:w="20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w:t>
            </w:r>
          </w:p>
        </w:tc>
        <w:tc>
          <w:tcPr>
            <w:tcW w:w="200" w:type="dxa"/>
            <w:vAlign w:val="bottom"/>
            <w:shd w:val="clear" w:color="auto" w:fill="E5E6E7"/>
          </w:tcPr>
          <w:p>
            <w:pPr>
              <w:spacing w:after="0"/>
              <w:rPr>
                <w:sz w:val="21"/>
                <w:szCs w:val="21"/>
                <w:color w:val="auto"/>
              </w:rPr>
            </w:pPr>
          </w:p>
        </w:tc>
        <w:tc>
          <w:tcPr>
            <w:tcW w:w="780" w:type="dxa"/>
            <w:vAlign w:val="bottom"/>
            <w:shd w:val="clear" w:color="auto" w:fill="E5E6E7"/>
          </w:tcPr>
          <w:p>
            <w:pPr>
              <w:spacing w:after="0"/>
              <w:rPr>
                <w:sz w:val="21"/>
                <w:szCs w:val="21"/>
                <w:color w:val="auto"/>
              </w:rPr>
            </w:pPr>
          </w:p>
        </w:tc>
        <w:tc>
          <w:tcPr>
            <w:tcW w:w="6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(235)</w:t>
            </w:r>
          </w:p>
        </w:tc>
        <w:tc>
          <w:tcPr>
            <w:tcW w:w="6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33,043</w:t>
            </w:r>
          </w:p>
        </w:tc>
        <w:tc>
          <w:tcPr>
            <w:tcW w:w="100" w:type="dxa"/>
            <w:vAlign w:val="bottom"/>
            <w:shd w:val="clear" w:color="auto" w:fill="E5E6E7"/>
          </w:tcPr>
          <w:p>
            <w:pPr>
              <w:spacing w:after="0"/>
              <w:rPr>
                <w:sz w:val="21"/>
                <w:szCs w:val="21"/>
                <w:color w:val="auto"/>
              </w:rPr>
            </w:pPr>
          </w:p>
        </w:tc>
      </w:tr>
      <w:tr>
        <w:trPr>
          <w:trHeight w:val="200"/>
        </w:trPr>
        <w:tc>
          <w:tcPr>
            <w:tcW w:w="5540" w:type="dxa"/>
            <w:vAlign w:val="bottom"/>
            <w:tcBorders>
              <w:top w:val="single" w:sz="8" w:color="E5E6E7"/>
            </w:tcBorders>
          </w:tcPr>
          <w:p>
            <w:pPr>
              <w:ind w:left="200"/>
              <w:spacing w:after="0" w:line="200" w:lineRule="exact"/>
              <w:rPr>
                <w:sz w:val="20"/>
                <w:szCs w:val="20"/>
                <w:color w:val="auto"/>
              </w:rPr>
            </w:pPr>
            <w:r>
              <w:rPr>
                <w:rFonts w:ascii="Times New Roman" w:cs="Times New Roman" w:eastAsia="Times New Roman" w:hAnsi="Times New Roman"/>
                <w:sz w:val="20"/>
                <w:szCs w:val="20"/>
                <w:color w:val="454546"/>
              </w:rPr>
              <w:t>Total cash equivalents and marketable debt securities</w:t>
            </w:r>
          </w:p>
        </w:tc>
        <w:tc>
          <w:tcPr>
            <w:tcW w:w="20" w:type="dxa"/>
            <w:vAlign w:val="bottom"/>
            <w:tcBorders>
              <w:top w:val="single" w:sz="8" w:color="E5E6E7"/>
            </w:tcBorders>
          </w:tcPr>
          <w:p>
            <w:pPr>
              <w:spacing w:after="0"/>
              <w:rPr>
                <w:sz w:val="17"/>
                <w:szCs w:val="17"/>
                <w:color w:val="auto"/>
              </w:rPr>
            </w:pPr>
          </w:p>
        </w:tc>
        <w:tc>
          <w:tcPr>
            <w:tcW w:w="240" w:type="dxa"/>
            <w:vAlign w:val="bottom"/>
            <w:tcBorders>
              <w:top w:val="single" w:sz="8" w:color="454546"/>
              <w:bottom w:val="single" w:sz="8" w:color="454546"/>
            </w:tcBorders>
          </w:tcPr>
          <w:p>
            <w:pPr>
              <w:spacing w:after="0" w:line="200" w:lineRule="exact"/>
              <w:rPr>
                <w:sz w:val="20"/>
                <w:szCs w:val="20"/>
                <w:color w:val="auto"/>
              </w:rPr>
            </w:pPr>
            <w:r>
              <w:rPr>
                <w:rFonts w:ascii="Times New Roman" w:cs="Times New Roman" w:eastAsia="Times New Roman" w:hAnsi="Times New Roman"/>
                <w:sz w:val="20"/>
                <w:szCs w:val="20"/>
                <w:color w:val="454546"/>
              </w:rPr>
              <w:t>$</w:t>
            </w:r>
          </w:p>
        </w:tc>
        <w:tc>
          <w:tcPr>
            <w:tcW w:w="82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101,686</w:t>
            </w:r>
          </w:p>
        </w:tc>
        <w:tc>
          <w:tcPr>
            <w:tcW w:w="200" w:type="dxa"/>
            <w:vAlign w:val="bottom"/>
            <w:tcBorders>
              <w:top w:val="single" w:sz="8" w:color="E5E6E7"/>
            </w:tcBorders>
          </w:tcPr>
          <w:p>
            <w:pPr>
              <w:spacing w:after="0"/>
              <w:rPr>
                <w:sz w:val="17"/>
                <w:szCs w:val="17"/>
                <w:color w:val="auto"/>
              </w:rPr>
            </w:pPr>
          </w:p>
        </w:tc>
        <w:tc>
          <w:tcPr>
            <w:tcW w:w="300" w:type="dxa"/>
            <w:vAlign w:val="bottom"/>
            <w:tcBorders>
              <w:top w:val="single" w:sz="8" w:color="454546"/>
              <w:bottom w:val="single" w:sz="8" w:color="454546"/>
            </w:tcBorders>
          </w:tcPr>
          <w:p>
            <w:pPr>
              <w:jc w:val="right"/>
              <w:ind w:right="100"/>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116</w:t>
            </w:r>
          </w:p>
        </w:tc>
        <w:tc>
          <w:tcPr>
            <w:tcW w:w="200" w:type="dxa"/>
            <w:vAlign w:val="bottom"/>
            <w:tcBorders>
              <w:top w:val="single" w:sz="8" w:color="E5E6E7"/>
            </w:tcBorders>
          </w:tcPr>
          <w:p>
            <w:pPr>
              <w:spacing w:after="0"/>
              <w:rPr>
                <w:sz w:val="17"/>
                <w:szCs w:val="17"/>
                <w:color w:val="auto"/>
              </w:rPr>
            </w:pPr>
          </w:p>
        </w:tc>
        <w:tc>
          <w:tcPr>
            <w:tcW w:w="780" w:type="dxa"/>
            <w:vAlign w:val="bottom"/>
            <w:tcBorders>
              <w:top w:val="single" w:sz="8" w:color="454546"/>
              <w:bottom w:val="single" w:sz="8" w:color="454546"/>
            </w:tcBorders>
          </w:tcPr>
          <w:p>
            <w:pPr>
              <w:spacing w:after="0" w:line="200" w:lineRule="exact"/>
              <w:rPr>
                <w:sz w:val="20"/>
                <w:szCs w:val="20"/>
                <w:color w:val="auto"/>
              </w:rPr>
            </w:pPr>
            <w:r>
              <w:rPr>
                <w:rFonts w:ascii="Times New Roman" w:cs="Times New Roman" w:eastAsia="Times New Roman" w:hAnsi="Times New Roman"/>
                <w:sz w:val="20"/>
                <w:szCs w:val="20"/>
                <w:color w:val="454546"/>
              </w:rPr>
              <w:t>$</w:t>
            </w:r>
          </w:p>
        </w:tc>
        <w:tc>
          <w:tcPr>
            <w:tcW w:w="46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(608)</w:t>
            </w:r>
          </w:p>
        </w:tc>
        <w:tc>
          <w:tcPr>
            <w:tcW w:w="140" w:type="dxa"/>
            <w:vAlign w:val="bottom"/>
            <w:tcBorders>
              <w:top w:val="single" w:sz="8" w:color="E5E6E7"/>
            </w:tcBorders>
          </w:tcPr>
          <w:p>
            <w:pPr>
              <w:spacing w:after="0"/>
              <w:rPr>
                <w:sz w:val="17"/>
                <w:szCs w:val="17"/>
                <w:color w:val="auto"/>
              </w:rPr>
            </w:pPr>
          </w:p>
        </w:tc>
        <w:tc>
          <w:tcPr>
            <w:tcW w:w="60" w:type="dxa"/>
            <w:vAlign w:val="bottom"/>
            <w:tcBorders>
              <w:top w:val="single" w:sz="8" w:color="E5E6E7"/>
            </w:tcBorders>
          </w:tcPr>
          <w:p>
            <w:pPr>
              <w:spacing w:after="0"/>
              <w:rPr>
                <w:sz w:val="17"/>
                <w:szCs w:val="17"/>
                <w:color w:val="auto"/>
              </w:rPr>
            </w:pPr>
          </w:p>
        </w:tc>
        <w:tc>
          <w:tcPr>
            <w:tcW w:w="14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92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101,194</w:t>
            </w:r>
          </w:p>
        </w:tc>
        <w:tc>
          <w:tcPr>
            <w:tcW w:w="100" w:type="dxa"/>
            <w:vAlign w:val="bottom"/>
            <w:tcBorders>
              <w:top w:val="single" w:sz="8" w:color="E5E6E7"/>
            </w:tcBorders>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88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4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0" w:lineRule="exact"/>
        <w:rPr>
          <w:sz w:val="20"/>
          <w:szCs w:val="20"/>
          <w:color w:val="auto"/>
        </w:rPr>
      </w:pPr>
    </w:p>
    <w:p>
      <w:pPr>
        <w:ind w:right="40" w:firstLine="500"/>
        <w:spacing w:after="0" w:line="277" w:lineRule="auto"/>
        <w:rPr>
          <w:sz w:val="20"/>
          <w:szCs w:val="20"/>
          <w:color w:val="auto"/>
        </w:rPr>
      </w:pPr>
      <w:r>
        <w:rPr>
          <w:rFonts w:ascii="Times New Roman" w:cs="Times New Roman" w:eastAsia="Times New Roman" w:hAnsi="Times New Roman"/>
          <w:sz w:val="20"/>
          <w:szCs w:val="20"/>
          <w:color w:val="454546"/>
        </w:rPr>
        <w:t>The following table provides the breakdown of unrealized losses as of January 31, 2024, aggregated by investment category and length of time that individual securities have been in a continuous loss position: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880" w:type="dxa"/>
            <w:vAlign w:val="bottom"/>
            <w:tcBorders>
              <w:bottom w:val="single" w:sz="8" w:color="454546"/>
            </w:tcBorders>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840" w:type="dxa"/>
            <w:vAlign w:val="bottom"/>
            <w:tcBorders>
              <w:bottom w:val="single" w:sz="8" w:color="454546"/>
            </w:tcBorders>
          </w:tcPr>
          <w:p>
            <w:pPr>
              <w:spacing w:after="0"/>
              <w:rPr>
                <w:sz w:val="17"/>
                <w:szCs w:val="17"/>
                <w:color w:val="auto"/>
              </w:rPr>
            </w:pPr>
          </w:p>
        </w:tc>
        <w:tc>
          <w:tcPr>
            <w:tcW w:w="380" w:type="dxa"/>
            <w:vAlign w:val="bottom"/>
            <w:tcBorders>
              <w:bottom w:val="single" w:sz="8" w:color="454546"/>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1920" w:type="dxa"/>
            <w:vAlign w:val="bottom"/>
            <w:tcBorders>
              <w:bottom w:val="single" w:sz="8" w:color="454546"/>
            </w:tcBorders>
            <w:gridSpan w:val="3"/>
          </w:tcPr>
          <w:p>
            <w:pPr>
              <w:jc w:val="center"/>
              <w:ind w:left="190"/>
              <w:spacing w:after="0"/>
              <w:rPr>
                <w:sz w:val="20"/>
                <w:szCs w:val="20"/>
                <w:color w:val="auto"/>
              </w:rPr>
            </w:pPr>
            <w:r>
              <w:rPr>
                <w:rFonts w:ascii="Times New Roman" w:cs="Times New Roman" w:eastAsia="Times New Roman" w:hAnsi="Times New Roman"/>
                <w:sz w:val="16"/>
                <w:szCs w:val="16"/>
                <w:b w:val="1"/>
                <w:bCs w:val="1"/>
                <w:color w:val="454546"/>
                <w:w w:val="99"/>
              </w:rPr>
              <w:t>As of January 31, 2024</w:t>
            </w:r>
          </w:p>
        </w:tc>
        <w:tc>
          <w:tcPr>
            <w:tcW w:w="400" w:type="dxa"/>
            <w:vAlign w:val="bottom"/>
            <w:tcBorders>
              <w:bottom w:val="single" w:sz="8" w:color="454546"/>
            </w:tcBorders>
          </w:tcPr>
          <w:p>
            <w:pPr>
              <w:spacing w:after="0"/>
              <w:rPr>
                <w:sz w:val="17"/>
                <w:szCs w:val="17"/>
                <w:color w:val="auto"/>
              </w:rPr>
            </w:pPr>
          </w:p>
        </w:tc>
        <w:tc>
          <w:tcPr>
            <w:tcW w:w="80" w:type="dxa"/>
            <w:vAlign w:val="bottom"/>
            <w:tcBorders>
              <w:bottom w:val="single" w:sz="8" w:color="454546"/>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900" w:type="dxa"/>
            <w:vAlign w:val="bottom"/>
            <w:tcBorders>
              <w:bottom w:val="single" w:sz="8" w:color="454546"/>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540" w:type="dxa"/>
            <w:vAlign w:val="bottom"/>
            <w:tcBorders>
              <w:bottom w:val="single" w:sz="8" w:color="454546"/>
            </w:tcBorders>
          </w:tcPr>
          <w:p>
            <w:pPr>
              <w:spacing w:after="0"/>
              <w:rPr>
                <w:sz w:val="17"/>
                <w:szCs w:val="17"/>
                <w:color w:val="auto"/>
              </w:rPr>
            </w:pPr>
          </w:p>
        </w:tc>
        <w:tc>
          <w:tcPr>
            <w:tcW w:w="700" w:type="dxa"/>
            <w:vAlign w:val="bottom"/>
            <w:tcBorders>
              <w:bottom w:val="single" w:sz="8" w:color="454546"/>
            </w:tcBorders>
          </w:tcPr>
          <w:p>
            <w:pPr>
              <w:spacing w:after="0"/>
              <w:rPr>
                <w:sz w:val="17"/>
                <w:szCs w:val="17"/>
                <w:color w:val="auto"/>
              </w:rPr>
            </w:pPr>
          </w:p>
        </w:tc>
        <w:tc>
          <w:tcPr>
            <w:tcW w:w="20" w:type="dxa"/>
            <w:vAlign w:val="bottom"/>
            <w:tcBorders>
              <w:bottom w:val="single" w:sz="8" w:color="454546"/>
            </w:tcBorders>
          </w:tcPr>
          <w:p>
            <w:pPr>
              <w:spacing w:after="0"/>
              <w:rPr>
                <w:sz w:val="17"/>
                <w:szCs w:val="17"/>
                <w:color w:val="auto"/>
              </w:rPr>
            </w:pPr>
          </w:p>
        </w:tc>
        <w:tc>
          <w:tcPr>
            <w:tcW w:w="60" w:type="dxa"/>
            <w:vAlign w:val="bottom"/>
          </w:tcPr>
          <w:p>
            <w:pPr>
              <w:spacing w:after="0"/>
              <w:rPr>
                <w:sz w:val="17"/>
                <w:szCs w:val="17"/>
                <w:color w:val="auto"/>
              </w:rPr>
            </w:pPr>
          </w:p>
        </w:tc>
      </w:tr>
      <w:tr>
        <w:trPr>
          <w:trHeight w:val="174"/>
        </w:trPr>
        <w:tc>
          <w:tcPr>
            <w:tcW w:w="3060" w:type="dxa"/>
            <w:vAlign w:val="bottom"/>
          </w:tcPr>
          <w:p>
            <w:pPr>
              <w:spacing w:after="0"/>
              <w:rPr>
                <w:sz w:val="15"/>
                <w:szCs w:val="15"/>
                <w:color w:val="auto"/>
              </w:rPr>
            </w:pPr>
          </w:p>
        </w:tc>
        <w:tc>
          <w:tcPr>
            <w:tcW w:w="120" w:type="dxa"/>
            <w:vAlign w:val="bottom"/>
            <w:tcBorders>
              <w:bottom w:val="single" w:sz="8" w:color="454546"/>
            </w:tcBorders>
          </w:tcPr>
          <w:p>
            <w:pPr>
              <w:spacing w:after="0"/>
              <w:rPr>
                <w:sz w:val="15"/>
                <w:szCs w:val="15"/>
                <w:color w:val="auto"/>
              </w:rPr>
            </w:pPr>
          </w:p>
        </w:tc>
        <w:tc>
          <w:tcPr>
            <w:tcW w:w="1920" w:type="dxa"/>
            <w:vAlign w:val="bottom"/>
            <w:tcBorders>
              <w:bottom w:val="single" w:sz="8" w:color="454546"/>
            </w:tcBorders>
            <w:gridSpan w:val="3"/>
          </w:tcPr>
          <w:p>
            <w:pPr>
              <w:jc w:val="right"/>
              <w:ind w:right="30"/>
              <w:spacing w:after="0" w:line="174" w:lineRule="exact"/>
              <w:rPr>
                <w:sz w:val="20"/>
                <w:szCs w:val="20"/>
                <w:color w:val="auto"/>
              </w:rPr>
            </w:pPr>
            <w:r>
              <w:rPr>
                <w:rFonts w:ascii="Times New Roman" w:cs="Times New Roman" w:eastAsia="Times New Roman" w:hAnsi="Times New Roman"/>
                <w:sz w:val="16"/>
                <w:szCs w:val="16"/>
                <w:b w:val="1"/>
                <w:bCs w:val="1"/>
                <w:color w:val="454546"/>
              </w:rPr>
              <w:t>Less than 12 Months</w:t>
            </w:r>
          </w:p>
        </w:tc>
        <w:tc>
          <w:tcPr>
            <w:tcW w:w="380" w:type="dxa"/>
            <w:vAlign w:val="bottom"/>
            <w:tcBorders>
              <w:bottom w:val="single" w:sz="8" w:color="454546"/>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454546"/>
            </w:tcBorders>
          </w:tcPr>
          <w:p>
            <w:pPr>
              <w:spacing w:after="0"/>
              <w:rPr>
                <w:sz w:val="15"/>
                <w:szCs w:val="15"/>
                <w:color w:val="auto"/>
              </w:rPr>
            </w:pPr>
          </w:p>
        </w:tc>
        <w:tc>
          <w:tcPr>
            <w:tcW w:w="1920" w:type="dxa"/>
            <w:vAlign w:val="bottom"/>
            <w:tcBorders>
              <w:bottom w:val="single" w:sz="8" w:color="454546"/>
            </w:tcBorders>
            <w:gridSpan w:val="3"/>
          </w:tcPr>
          <w:p>
            <w:pPr>
              <w:jc w:val="center"/>
              <w:ind w:left="210"/>
              <w:spacing w:after="0" w:line="174" w:lineRule="exact"/>
              <w:rPr>
                <w:sz w:val="20"/>
                <w:szCs w:val="20"/>
                <w:color w:val="auto"/>
              </w:rPr>
            </w:pPr>
            <w:r>
              <w:rPr>
                <w:rFonts w:ascii="Times New Roman" w:cs="Times New Roman" w:eastAsia="Times New Roman" w:hAnsi="Times New Roman"/>
                <w:sz w:val="16"/>
                <w:szCs w:val="16"/>
                <w:b w:val="1"/>
                <w:bCs w:val="1"/>
                <w:color w:val="454546"/>
              </w:rPr>
              <w:t>12 Months or Greater</w:t>
            </w:r>
          </w:p>
        </w:tc>
        <w:tc>
          <w:tcPr>
            <w:tcW w:w="400" w:type="dxa"/>
            <w:vAlign w:val="bottom"/>
            <w:tcBorders>
              <w:bottom w:val="single" w:sz="8" w:color="454546"/>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454546"/>
            </w:tcBorders>
          </w:tcPr>
          <w:p>
            <w:pPr>
              <w:spacing w:after="0"/>
              <w:rPr>
                <w:sz w:val="15"/>
                <w:szCs w:val="15"/>
                <w:color w:val="auto"/>
              </w:rPr>
            </w:pPr>
          </w:p>
        </w:tc>
        <w:tc>
          <w:tcPr>
            <w:tcW w:w="900" w:type="dxa"/>
            <w:vAlign w:val="bottom"/>
            <w:tcBorders>
              <w:bottom w:val="single" w:sz="8" w:color="454546"/>
            </w:tcBorders>
          </w:tcPr>
          <w:p>
            <w:pPr>
              <w:spacing w:after="0"/>
              <w:rPr>
                <w:sz w:val="15"/>
                <w:szCs w:val="15"/>
                <w:color w:val="auto"/>
              </w:rPr>
            </w:pPr>
          </w:p>
        </w:tc>
        <w:tc>
          <w:tcPr>
            <w:tcW w:w="720" w:type="dxa"/>
            <w:vAlign w:val="bottom"/>
            <w:tcBorders>
              <w:bottom w:val="single" w:sz="8" w:color="454546"/>
            </w:tcBorders>
            <w:gridSpan w:val="2"/>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454546"/>
              </w:rPr>
              <w:t>Total</w:t>
            </w:r>
          </w:p>
        </w:tc>
        <w:tc>
          <w:tcPr>
            <w:tcW w:w="700" w:type="dxa"/>
            <w:vAlign w:val="bottom"/>
            <w:tcBorders>
              <w:bottom w:val="single" w:sz="8" w:color="454546"/>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3060" w:type="dxa"/>
            <w:vAlign w:val="bottom"/>
          </w:tcPr>
          <w:p>
            <w:pPr>
              <w:spacing w:after="0"/>
              <w:rPr>
                <w:sz w:val="15"/>
                <w:szCs w:val="15"/>
                <w:color w:val="auto"/>
              </w:rPr>
            </w:pPr>
          </w:p>
        </w:tc>
        <w:tc>
          <w:tcPr>
            <w:tcW w:w="120" w:type="dxa"/>
            <w:vAlign w:val="bottom"/>
            <w:tcBorders>
              <w:bottom w:val="single" w:sz="8" w:color="454546"/>
            </w:tcBorders>
          </w:tcPr>
          <w:p>
            <w:pPr>
              <w:spacing w:after="0"/>
              <w:rPr>
                <w:sz w:val="15"/>
                <w:szCs w:val="15"/>
                <w:color w:val="auto"/>
              </w:rPr>
            </w:pPr>
          </w:p>
        </w:tc>
        <w:tc>
          <w:tcPr>
            <w:tcW w:w="880" w:type="dxa"/>
            <w:vAlign w:val="bottom"/>
            <w:tcBorders>
              <w:bottom w:val="single" w:sz="8" w:color="454546"/>
            </w:tcBorders>
          </w:tcPr>
          <w:p>
            <w:pPr>
              <w:jc w:val="right"/>
              <w:ind w:right="47"/>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Fair Value</w:t>
            </w:r>
          </w:p>
        </w:tc>
        <w:tc>
          <w:tcPr>
            <w:tcW w:w="200" w:type="dxa"/>
            <w:vAlign w:val="bottom"/>
          </w:tcPr>
          <w:p>
            <w:pPr>
              <w:spacing w:after="0"/>
              <w:rPr>
                <w:sz w:val="15"/>
                <w:szCs w:val="15"/>
                <w:color w:val="auto"/>
              </w:rPr>
            </w:pPr>
          </w:p>
        </w:tc>
        <w:tc>
          <w:tcPr>
            <w:tcW w:w="1220" w:type="dxa"/>
            <w:vAlign w:val="bottom"/>
            <w:tcBorders>
              <w:bottom w:val="single" w:sz="8" w:color="454546"/>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454546"/>
                <w:w w:val="97"/>
              </w:rPr>
              <w:t>Unrealized Losses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454546"/>
            </w:tcBorders>
          </w:tcPr>
          <w:p>
            <w:pPr>
              <w:spacing w:after="0"/>
              <w:rPr>
                <w:sz w:val="15"/>
                <w:szCs w:val="15"/>
                <w:color w:val="auto"/>
              </w:rPr>
            </w:pPr>
          </w:p>
        </w:tc>
        <w:tc>
          <w:tcPr>
            <w:tcW w:w="900" w:type="dxa"/>
            <w:vAlign w:val="bottom"/>
            <w:tcBorders>
              <w:bottom w:val="single" w:sz="8" w:color="454546"/>
            </w:tcBorders>
          </w:tcPr>
          <w:p>
            <w:pPr>
              <w:jc w:val="right"/>
              <w:ind w:right="50"/>
              <w:spacing w:after="0" w:line="174" w:lineRule="exact"/>
              <w:rPr>
                <w:sz w:val="20"/>
                <w:szCs w:val="20"/>
                <w:color w:val="auto"/>
              </w:rPr>
            </w:pPr>
            <w:r>
              <w:rPr>
                <w:rFonts w:ascii="Times New Roman" w:cs="Times New Roman" w:eastAsia="Times New Roman" w:hAnsi="Times New Roman"/>
                <w:sz w:val="16"/>
                <w:szCs w:val="16"/>
                <w:b w:val="1"/>
                <w:bCs w:val="1"/>
                <w:color w:val="454546"/>
              </w:rPr>
              <w:t>Fair Value</w:t>
            </w:r>
          </w:p>
        </w:tc>
        <w:tc>
          <w:tcPr>
            <w:tcW w:w="180" w:type="dxa"/>
            <w:vAlign w:val="bottom"/>
          </w:tcPr>
          <w:p>
            <w:pPr>
              <w:spacing w:after="0"/>
              <w:rPr>
                <w:sz w:val="15"/>
                <w:szCs w:val="15"/>
                <w:color w:val="auto"/>
              </w:rPr>
            </w:pPr>
          </w:p>
        </w:tc>
        <w:tc>
          <w:tcPr>
            <w:tcW w:w="1240" w:type="dxa"/>
            <w:vAlign w:val="bottom"/>
            <w:tcBorders>
              <w:bottom w:val="single" w:sz="8" w:color="454546"/>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Unrealized Losses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454546"/>
            </w:tcBorders>
          </w:tcPr>
          <w:p>
            <w:pPr>
              <w:spacing w:after="0"/>
              <w:rPr>
                <w:sz w:val="15"/>
                <w:szCs w:val="15"/>
                <w:color w:val="auto"/>
              </w:rPr>
            </w:pPr>
          </w:p>
        </w:tc>
        <w:tc>
          <w:tcPr>
            <w:tcW w:w="900" w:type="dxa"/>
            <w:vAlign w:val="bottom"/>
            <w:tcBorders>
              <w:bottom w:val="single" w:sz="8" w:color="454546"/>
            </w:tcBorders>
          </w:tcPr>
          <w:p>
            <w:pPr>
              <w:jc w:val="right"/>
              <w:ind w:right="44"/>
              <w:spacing w:after="0" w:line="174" w:lineRule="exact"/>
              <w:rPr>
                <w:sz w:val="20"/>
                <w:szCs w:val="20"/>
                <w:color w:val="auto"/>
              </w:rPr>
            </w:pPr>
            <w:r>
              <w:rPr>
                <w:rFonts w:ascii="Times New Roman" w:cs="Times New Roman" w:eastAsia="Times New Roman" w:hAnsi="Times New Roman"/>
                <w:sz w:val="16"/>
                <w:szCs w:val="16"/>
                <w:b w:val="1"/>
                <w:bCs w:val="1"/>
                <w:color w:val="454546"/>
              </w:rPr>
              <w:t>Fair Value</w:t>
            </w:r>
          </w:p>
        </w:tc>
        <w:tc>
          <w:tcPr>
            <w:tcW w:w="180" w:type="dxa"/>
            <w:vAlign w:val="bottom"/>
          </w:tcPr>
          <w:p>
            <w:pPr>
              <w:spacing w:after="0"/>
              <w:rPr>
                <w:sz w:val="15"/>
                <w:szCs w:val="15"/>
                <w:color w:val="auto"/>
              </w:rPr>
            </w:pPr>
          </w:p>
        </w:tc>
        <w:tc>
          <w:tcPr>
            <w:tcW w:w="1240" w:type="dxa"/>
            <w:vAlign w:val="bottom"/>
            <w:tcBorders>
              <w:bottom w:val="single" w:sz="8" w:color="454546"/>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Unrealized Losses</w:t>
            </w:r>
          </w:p>
        </w:tc>
        <w:tc>
          <w:tcPr>
            <w:tcW w:w="80" w:type="dxa"/>
            <w:vAlign w:val="bottom"/>
            <w:gridSpan w:val="2"/>
          </w:tcPr>
          <w:p>
            <w:pPr>
              <w:spacing w:after="0"/>
              <w:rPr>
                <w:sz w:val="15"/>
                <w:szCs w:val="15"/>
                <w:color w:val="auto"/>
              </w:rPr>
            </w:pPr>
          </w:p>
        </w:tc>
      </w:tr>
      <w:tr>
        <w:trPr>
          <w:trHeight w:val="154"/>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6"/>
                <w:szCs w:val="16"/>
                <w:b w:val="1"/>
                <w:bCs w:val="1"/>
                <w:color w:val="454546"/>
              </w:rPr>
              <w:t>(in</w:t>
            </w:r>
          </w:p>
        </w:tc>
        <w:tc>
          <w:tcPr>
            <w:tcW w:w="102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454546"/>
              </w:rPr>
              <w:t>thousands)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454546"/>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9,050</w:t>
            </w:r>
          </w:p>
        </w:tc>
        <w:tc>
          <w:tcPr>
            <w:tcW w:w="1040" w:type="dxa"/>
            <w:vAlign w:val="bottom"/>
            <w:gridSpan w:val="2"/>
          </w:tcPr>
          <w:p>
            <w:pPr>
              <w:jc w:val="right"/>
              <w:ind w:right="650"/>
              <w:spacing w:after="0"/>
              <w:rPr>
                <w:sz w:val="20"/>
                <w:szCs w:val="20"/>
                <w:color w:val="auto"/>
              </w:rPr>
            </w:pPr>
            <w:r>
              <w:rPr>
                <w:rFonts w:ascii="Times New Roman" w:cs="Times New Roman" w:eastAsia="Times New Roman" w:hAnsi="Times New Roman"/>
                <w:sz w:val="20"/>
                <w:szCs w:val="20"/>
                <w:color w:val="454546"/>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(19)</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8,363</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454546"/>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17,413</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454546"/>
              </w:rPr>
              <w:t>(135)</w:t>
            </w:r>
          </w:p>
        </w:tc>
      </w:tr>
      <w:tr>
        <w:trPr>
          <w:trHeight w:val="230"/>
        </w:trPr>
        <w:tc>
          <w:tcPr>
            <w:tcW w:w="3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Asset-backed securities</w:t>
            </w:r>
          </w:p>
        </w:tc>
        <w:tc>
          <w:tcPr>
            <w:tcW w:w="120" w:type="dxa"/>
            <w:vAlign w:val="bottom"/>
            <w:shd w:val="clear" w:color="auto" w:fill="E5E6E7"/>
          </w:tcPr>
          <w:p>
            <w:pPr>
              <w:spacing w:after="0"/>
              <w:rPr>
                <w:sz w:val="19"/>
                <w:szCs w:val="19"/>
                <w:color w:val="auto"/>
              </w:rPr>
            </w:pP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4,821</w:t>
            </w:r>
          </w:p>
        </w:tc>
        <w:tc>
          <w:tcPr>
            <w:tcW w:w="20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w:t>
            </w:r>
          </w:p>
        </w:tc>
        <w:tc>
          <w:tcPr>
            <w:tcW w:w="18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6,289</w:t>
            </w:r>
          </w:p>
        </w:tc>
        <w:tc>
          <w:tcPr>
            <w:tcW w:w="18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4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(81)</w:t>
            </w: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11,110</w:t>
            </w:r>
          </w:p>
        </w:tc>
        <w:tc>
          <w:tcPr>
            <w:tcW w:w="180" w:type="dxa"/>
            <w:vAlign w:val="bottom"/>
            <w:shd w:val="clear" w:color="auto" w:fill="E5E6E7"/>
          </w:tcPr>
          <w:p>
            <w:pPr>
              <w:spacing w:after="0"/>
              <w:rPr>
                <w:sz w:val="19"/>
                <w:szCs w:val="19"/>
                <w:color w:val="auto"/>
              </w:rPr>
            </w:pPr>
          </w:p>
        </w:tc>
        <w:tc>
          <w:tcPr>
            <w:tcW w:w="540" w:type="dxa"/>
            <w:vAlign w:val="bottom"/>
            <w:shd w:val="clear" w:color="auto" w:fill="E5E6E7"/>
          </w:tcPr>
          <w:p>
            <w:pPr>
              <w:spacing w:after="0"/>
              <w:rPr>
                <w:sz w:val="19"/>
                <w:szCs w:val="19"/>
                <w:color w:val="auto"/>
              </w:rPr>
            </w:pPr>
          </w:p>
        </w:tc>
        <w:tc>
          <w:tcPr>
            <w:tcW w:w="78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(96)</w:t>
            </w: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454546"/>
              </w:rPr>
              <w:t>U.S. government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15,020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5,952</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20,972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454546"/>
              </w:rPr>
              <w:t>(146)</w:t>
            </w:r>
          </w:p>
        </w:tc>
      </w:tr>
      <w:tr>
        <w:trPr>
          <w:trHeight w:val="200"/>
        </w:trPr>
        <w:tc>
          <w:tcPr>
            <w:tcW w:w="3060" w:type="dxa"/>
            <w:vAlign w:val="bottom"/>
            <w:tcBorders>
              <w:top w:val="single" w:sz="8" w:color="E5E6E7"/>
            </w:tcBorders>
            <w:shd w:val="clear" w:color="auto" w:fill="E5E6E7"/>
          </w:tcPr>
          <w:p>
            <w:pPr>
              <w:ind w:left="200"/>
              <w:spacing w:after="0" w:line="201" w:lineRule="exact"/>
              <w:rPr>
                <w:sz w:val="20"/>
                <w:szCs w:val="20"/>
                <w:color w:val="auto"/>
              </w:rPr>
            </w:pPr>
            <w:r>
              <w:rPr>
                <w:rFonts w:ascii="Times New Roman" w:cs="Times New Roman" w:eastAsia="Times New Roman" w:hAnsi="Times New Roman"/>
                <w:sz w:val="20"/>
                <w:szCs w:val="20"/>
                <w:color w:val="454546"/>
              </w:rPr>
              <w:t>Total marketable debt securities</w:t>
            </w:r>
          </w:p>
        </w:tc>
        <w:tc>
          <w:tcPr>
            <w:tcW w:w="120" w:type="dxa"/>
            <w:vAlign w:val="bottom"/>
            <w:tcBorders>
              <w:top w:val="single" w:sz="8" w:color="454546"/>
            </w:tcBorders>
            <w:shd w:val="clear" w:color="auto" w:fill="E5E6E7"/>
          </w:tcPr>
          <w:p>
            <w:pPr>
              <w:spacing w:after="0"/>
              <w:rPr>
                <w:sz w:val="17"/>
                <w:szCs w:val="17"/>
                <w:color w:val="auto"/>
              </w:rPr>
            </w:pPr>
          </w:p>
        </w:tc>
        <w:tc>
          <w:tcPr>
            <w:tcW w:w="880" w:type="dxa"/>
            <w:vAlign w:val="bottom"/>
            <w:tcBorders>
              <w:top w:val="single" w:sz="8" w:color="454546"/>
            </w:tcBorders>
            <w:shd w:val="clear" w:color="auto" w:fill="E5E6E7"/>
          </w:tcPr>
          <w:p>
            <w:pPr>
              <w:spacing w:after="0"/>
              <w:rPr>
                <w:sz w:val="17"/>
                <w:szCs w:val="17"/>
                <w:color w:val="auto"/>
              </w:rPr>
            </w:pPr>
          </w:p>
        </w:tc>
        <w:tc>
          <w:tcPr>
            <w:tcW w:w="200" w:type="dxa"/>
            <w:vAlign w:val="bottom"/>
            <w:tcBorders>
              <w:top w:val="single" w:sz="8" w:color="E5E6E7"/>
            </w:tcBorders>
            <w:shd w:val="clear" w:color="auto" w:fill="E5E6E7"/>
          </w:tcPr>
          <w:p>
            <w:pPr>
              <w:spacing w:after="0"/>
              <w:rPr>
                <w:sz w:val="17"/>
                <w:szCs w:val="17"/>
                <w:color w:val="auto"/>
              </w:rPr>
            </w:pPr>
          </w:p>
        </w:tc>
        <w:tc>
          <w:tcPr>
            <w:tcW w:w="840" w:type="dxa"/>
            <w:vAlign w:val="bottom"/>
            <w:tcBorders>
              <w:top w:val="single" w:sz="8" w:color="454546"/>
            </w:tcBorders>
            <w:shd w:val="clear" w:color="auto" w:fill="E5E6E7"/>
          </w:tcPr>
          <w:p>
            <w:pPr>
              <w:spacing w:after="0"/>
              <w:rPr>
                <w:sz w:val="17"/>
                <w:szCs w:val="17"/>
                <w:color w:val="auto"/>
              </w:rPr>
            </w:pPr>
          </w:p>
        </w:tc>
        <w:tc>
          <w:tcPr>
            <w:tcW w:w="380" w:type="dxa"/>
            <w:vAlign w:val="bottom"/>
            <w:tcBorders>
              <w:top w:val="single" w:sz="8" w:color="454546"/>
            </w:tcBorders>
            <w:shd w:val="clear" w:color="auto" w:fill="E5E6E7"/>
          </w:tcPr>
          <w:p>
            <w:pPr>
              <w:spacing w:after="0"/>
              <w:rPr>
                <w:sz w:val="17"/>
                <w:szCs w:val="17"/>
                <w:color w:val="auto"/>
              </w:rPr>
            </w:pPr>
          </w:p>
        </w:tc>
        <w:tc>
          <w:tcPr>
            <w:tcW w:w="180" w:type="dxa"/>
            <w:vAlign w:val="bottom"/>
            <w:tcBorders>
              <w:top w:val="single" w:sz="8" w:color="E5E6E7"/>
            </w:tcBorders>
            <w:shd w:val="clear" w:color="auto" w:fill="E5E6E7"/>
          </w:tcPr>
          <w:p>
            <w:pPr>
              <w:spacing w:after="0"/>
              <w:rPr>
                <w:sz w:val="17"/>
                <w:szCs w:val="17"/>
                <w:color w:val="auto"/>
              </w:rPr>
            </w:pPr>
          </w:p>
        </w:tc>
        <w:tc>
          <w:tcPr>
            <w:tcW w:w="20" w:type="dxa"/>
            <w:vAlign w:val="bottom"/>
            <w:tcBorders>
              <w:top w:val="single" w:sz="8" w:color="454546"/>
            </w:tcBorders>
            <w:shd w:val="clear" w:color="auto" w:fill="E5E6E7"/>
          </w:tcPr>
          <w:p>
            <w:pPr>
              <w:spacing w:after="0"/>
              <w:rPr>
                <w:sz w:val="17"/>
                <w:szCs w:val="17"/>
                <w:color w:val="auto"/>
              </w:rPr>
            </w:pPr>
          </w:p>
        </w:tc>
        <w:tc>
          <w:tcPr>
            <w:tcW w:w="100" w:type="dxa"/>
            <w:vAlign w:val="bottom"/>
            <w:tcBorders>
              <w:top w:val="single" w:sz="8" w:color="454546"/>
            </w:tcBorders>
            <w:shd w:val="clear" w:color="auto" w:fill="E5E6E7"/>
          </w:tcPr>
          <w:p>
            <w:pPr>
              <w:spacing w:after="0"/>
              <w:rPr>
                <w:sz w:val="17"/>
                <w:szCs w:val="17"/>
                <w:color w:val="auto"/>
              </w:rPr>
            </w:pPr>
          </w:p>
        </w:tc>
        <w:tc>
          <w:tcPr>
            <w:tcW w:w="900" w:type="dxa"/>
            <w:vAlign w:val="bottom"/>
            <w:tcBorders>
              <w:top w:val="single" w:sz="8" w:color="454546"/>
            </w:tcBorders>
            <w:shd w:val="clear" w:color="auto" w:fill="E5E6E7"/>
          </w:tcPr>
          <w:p>
            <w:pPr>
              <w:spacing w:after="0"/>
              <w:rPr>
                <w:sz w:val="17"/>
                <w:szCs w:val="17"/>
                <w:color w:val="auto"/>
              </w:rPr>
            </w:pPr>
          </w:p>
        </w:tc>
        <w:tc>
          <w:tcPr>
            <w:tcW w:w="180" w:type="dxa"/>
            <w:vAlign w:val="bottom"/>
            <w:tcBorders>
              <w:top w:val="single" w:sz="8" w:color="E5E6E7"/>
            </w:tcBorders>
            <w:shd w:val="clear" w:color="auto" w:fill="E5E6E7"/>
          </w:tcPr>
          <w:p>
            <w:pPr>
              <w:spacing w:after="0"/>
              <w:rPr>
                <w:sz w:val="17"/>
                <w:szCs w:val="17"/>
                <w:color w:val="auto"/>
              </w:rPr>
            </w:pPr>
          </w:p>
        </w:tc>
        <w:tc>
          <w:tcPr>
            <w:tcW w:w="840" w:type="dxa"/>
            <w:vAlign w:val="bottom"/>
            <w:tcBorders>
              <w:top w:val="single" w:sz="8" w:color="454546"/>
            </w:tcBorders>
            <w:shd w:val="clear" w:color="auto" w:fill="E5E6E7"/>
          </w:tcPr>
          <w:p>
            <w:pPr>
              <w:spacing w:after="0"/>
              <w:rPr>
                <w:sz w:val="17"/>
                <w:szCs w:val="17"/>
                <w:color w:val="auto"/>
              </w:rPr>
            </w:pPr>
          </w:p>
        </w:tc>
        <w:tc>
          <w:tcPr>
            <w:tcW w:w="400" w:type="dxa"/>
            <w:vAlign w:val="bottom"/>
            <w:tcBorders>
              <w:top w:val="single" w:sz="8" w:color="454546"/>
            </w:tcBorders>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c>
          <w:tcPr>
            <w:tcW w:w="100" w:type="dxa"/>
            <w:vAlign w:val="bottom"/>
            <w:tcBorders>
              <w:top w:val="single" w:sz="8" w:color="454546"/>
            </w:tcBorders>
            <w:shd w:val="clear" w:color="auto" w:fill="E5E6E7"/>
          </w:tcPr>
          <w:p>
            <w:pPr>
              <w:spacing w:after="0"/>
              <w:rPr>
                <w:sz w:val="17"/>
                <w:szCs w:val="17"/>
                <w:color w:val="auto"/>
              </w:rPr>
            </w:pPr>
          </w:p>
        </w:tc>
        <w:tc>
          <w:tcPr>
            <w:tcW w:w="120" w:type="dxa"/>
            <w:vAlign w:val="bottom"/>
            <w:tcBorders>
              <w:top w:val="single" w:sz="8" w:color="454546"/>
            </w:tcBorders>
            <w:shd w:val="clear" w:color="auto" w:fill="E5E6E7"/>
          </w:tcPr>
          <w:p>
            <w:pPr>
              <w:spacing w:after="0"/>
              <w:rPr>
                <w:sz w:val="17"/>
                <w:szCs w:val="17"/>
                <w:color w:val="auto"/>
              </w:rPr>
            </w:pPr>
          </w:p>
        </w:tc>
        <w:tc>
          <w:tcPr>
            <w:tcW w:w="900" w:type="dxa"/>
            <w:vAlign w:val="bottom"/>
            <w:tcBorders>
              <w:top w:val="single" w:sz="8" w:color="454546"/>
            </w:tcBorders>
            <w:shd w:val="clear" w:color="auto" w:fill="E5E6E7"/>
          </w:tcPr>
          <w:p>
            <w:pPr>
              <w:spacing w:after="0"/>
              <w:rPr>
                <w:sz w:val="17"/>
                <w:szCs w:val="17"/>
                <w:color w:val="auto"/>
              </w:rPr>
            </w:pPr>
          </w:p>
        </w:tc>
        <w:tc>
          <w:tcPr>
            <w:tcW w:w="180" w:type="dxa"/>
            <w:vAlign w:val="bottom"/>
            <w:tcBorders>
              <w:top w:val="single" w:sz="8" w:color="E5E6E7"/>
            </w:tcBorders>
            <w:shd w:val="clear" w:color="auto" w:fill="E5E6E7"/>
          </w:tcPr>
          <w:p>
            <w:pPr>
              <w:spacing w:after="0"/>
              <w:rPr>
                <w:sz w:val="17"/>
                <w:szCs w:val="17"/>
                <w:color w:val="auto"/>
              </w:rPr>
            </w:pPr>
          </w:p>
        </w:tc>
        <w:tc>
          <w:tcPr>
            <w:tcW w:w="540" w:type="dxa"/>
            <w:vAlign w:val="bottom"/>
            <w:tcBorders>
              <w:top w:val="single" w:sz="8" w:color="454546"/>
            </w:tcBorders>
            <w:shd w:val="clear" w:color="auto" w:fill="E5E6E7"/>
          </w:tcPr>
          <w:p>
            <w:pPr>
              <w:spacing w:after="0"/>
              <w:rPr>
                <w:sz w:val="17"/>
                <w:szCs w:val="17"/>
                <w:color w:val="auto"/>
              </w:rPr>
            </w:pPr>
          </w:p>
        </w:tc>
        <w:tc>
          <w:tcPr>
            <w:tcW w:w="700" w:type="dxa"/>
            <w:vAlign w:val="bottom"/>
            <w:tcBorders>
              <w:top w:val="single" w:sz="8" w:color="454546"/>
            </w:tcBorders>
            <w:shd w:val="clear" w:color="auto" w:fill="E5E6E7"/>
          </w:tcPr>
          <w:p>
            <w:pPr>
              <w:spacing w:after="0"/>
              <w:rPr>
                <w:sz w:val="17"/>
                <w:szCs w:val="17"/>
                <w:color w:val="auto"/>
              </w:rPr>
            </w:pPr>
          </w:p>
        </w:tc>
        <w:tc>
          <w:tcPr>
            <w:tcW w:w="20" w:type="dxa"/>
            <w:vAlign w:val="bottom"/>
            <w:shd w:val="clear" w:color="auto" w:fill="E5E6E7"/>
          </w:tcPr>
          <w:p>
            <w:pPr>
              <w:spacing w:after="0"/>
              <w:rPr>
                <w:sz w:val="17"/>
                <w:szCs w:val="17"/>
                <w:color w:val="auto"/>
              </w:rPr>
            </w:pPr>
          </w:p>
        </w:tc>
        <w:tc>
          <w:tcPr>
            <w:tcW w:w="60" w:type="dxa"/>
            <w:vAlign w:val="bottom"/>
            <w:tcBorders>
              <w:top w:val="single" w:sz="8" w:color="E5E6E7"/>
            </w:tcBorders>
            <w:shd w:val="clear" w:color="auto" w:fill="E5E6E7"/>
          </w:tcPr>
          <w:p>
            <w:pPr>
              <w:spacing w:after="0"/>
              <w:rPr>
                <w:sz w:val="17"/>
                <w:szCs w:val="17"/>
                <w:color w:val="auto"/>
              </w:rPr>
            </w:pPr>
          </w:p>
        </w:tc>
      </w:tr>
      <w:tr>
        <w:trPr>
          <w:trHeight w:val="249"/>
        </w:trPr>
        <w:tc>
          <w:tcPr>
            <w:tcW w:w="30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at loss position</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28,891</w:t>
            </w:r>
          </w:p>
        </w:tc>
        <w:tc>
          <w:tcPr>
            <w:tcW w:w="200" w:type="dxa"/>
            <w:vAlign w:val="bottom"/>
            <w:shd w:val="clear" w:color="auto" w:fill="E5E6E7"/>
          </w:tcPr>
          <w:p>
            <w:pPr>
              <w:spacing w:after="0"/>
              <w:rPr>
                <w:sz w:val="21"/>
                <w:szCs w:val="21"/>
                <w:color w:val="auto"/>
              </w:rPr>
            </w:pPr>
          </w:p>
        </w:tc>
        <w:tc>
          <w:tcPr>
            <w:tcW w:w="840" w:type="dxa"/>
            <w:vAlign w:val="bottom"/>
            <w:shd w:val="clear" w:color="auto" w:fill="E5E6E7"/>
          </w:tcPr>
          <w:p>
            <w:pPr>
              <w:jc w:val="right"/>
              <w:ind w:right="650"/>
              <w:spacing w:after="0"/>
              <w:rPr>
                <w:sz w:val="20"/>
                <w:szCs w:val="20"/>
                <w:color w:val="auto"/>
              </w:rPr>
            </w:pPr>
            <w:r>
              <w:rPr>
                <w:rFonts w:ascii="Times New Roman" w:cs="Times New Roman" w:eastAsia="Times New Roman" w:hAnsi="Times New Roman"/>
                <w:sz w:val="20"/>
                <w:szCs w:val="20"/>
                <w:color w:val="454546"/>
                <w:w w:val="79"/>
              </w:rPr>
              <w:t>$</w:t>
            </w:r>
          </w:p>
        </w:tc>
        <w:tc>
          <w:tcPr>
            <w:tcW w:w="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(99)</w:t>
            </w:r>
          </w:p>
        </w:tc>
        <w:tc>
          <w:tcPr>
            <w:tcW w:w="18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20,604</w:t>
            </w:r>
          </w:p>
        </w:tc>
        <w:tc>
          <w:tcPr>
            <w:tcW w:w="180" w:type="dxa"/>
            <w:vAlign w:val="bottom"/>
            <w:shd w:val="clear" w:color="auto" w:fill="E5E6E7"/>
          </w:tcPr>
          <w:p>
            <w:pPr>
              <w:spacing w:after="0"/>
              <w:rPr>
                <w:sz w:val="21"/>
                <w:szCs w:val="21"/>
                <w:color w:val="auto"/>
              </w:rPr>
            </w:pPr>
          </w:p>
        </w:tc>
        <w:tc>
          <w:tcPr>
            <w:tcW w:w="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w:t>
            </w:r>
          </w:p>
        </w:tc>
        <w:tc>
          <w:tcPr>
            <w:tcW w:w="4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87"/>
              </w:rPr>
              <w:t>(278)</w:t>
            </w:r>
          </w:p>
        </w:tc>
        <w:tc>
          <w:tcPr>
            <w:tcW w:w="80" w:type="dxa"/>
            <w:vAlign w:val="bottom"/>
            <w:shd w:val="clear" w:color="auto" w:fill="E5E6E7"/>
          </w:tcPr>
          <w:p>
            <w:pPr>
              <w:spacing w:after="0"/>
              <w:rPr>
                <w:sz w:val="21"/>
                <w:szCs w:val="21"/>
                <w:color w:val="auto"/>
              </w:rPr>
            </w:pPr>
          </w:p>
        </w:tc>
        <w:tc>
          <w:tcPr>
            <w:tcW w:w="2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49,495</w:t>
            </w:r>
          </w:p>
        </w:tc>
        <w:tc>
          <w:tcPr>
            <w:tcW w:w="180" w:type="dxa"/>
            <w:vAlign w:val="bottom"/>
            <w:shd w:val="clear" w:color="auto" w:fill="E5E6E7"/>
          </w:tcPr>
          <w:p>
            <w:pPr>
              <w:spacing w:after="0"/>
              <w:rPr>
                <w:sz w:val="21"/>
                <w:szCs w:val="21"/>
                <w:color w:val="auto"/>
              </w:rPr>
            </w:pPr>
          </w:p>
        </w:tc>
        <w:tc>
          <w:tcPr>
            <w:tcW w:w="5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w:t>
            </w:r>
          </w:p>
        </w:tc>
        <w:tc>
          <w:tcPr>
            <w:tcW w:w="7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(377)</w:t>
            </w:r>
          </w:p>
        </w:tc>
        <w:tc>
          <w:tcPr>
            <w:tcW w:w="60" w:type="dxa"/>
            <w:vAlign w:val="bottom"/>
            <w:shd w:val="clear" w:color="auto" w:fill="E5E6E7"/>
          </w:tcPr>
          <w:p>
            <w:pPr>
              <w:spacing w:after="0"/>
              <w:rPr>
                <w:sz w:val="21"/>
                <w:szCs w:val="2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454546"/>
              <w:bottom w:val="single" w:sz="8" w:color="454546"/>
            </w:tcBorders>
          </w:tcPr>
          <w:p>
            <w:pPr>
              <w:spacing w:after="0" w:line="20" w:lineRule="exact"/>
              <w:rPr>
                <w:sz w:val="1"/>
                <w:szCs w:val="1"/>
                <w:color w:val="auto"/>
              </w:rPr>
            </w:pPr>
          </w:p>
        </w:tc>
        <w:tc>
          <w:tcPr>
            <w:tcW w:w="880" w:type="dxa"/>
            <w:vAlign w:val="bottom"/>
            <w:tcBorders>
              <w:top w:val="single" w:sz="8" w:color="454546"/>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454546"/>
              <w:bottom w:val="single" w:sz="8" w:color="454546"/>
            </w:tcBorders>
          </w:tcPr>
          <w:p>
            <w:pPr>
              <w:spacing w:after="0" w:line="20" w:lineRule="exact"/>
              <w:rPr>
                <w:sz w:val="1"/>
                <w:szCs w:val="1"/>
                <w:color w:val="auto"/>
              </w:rPr>
            </w:pPr>
          </w:p>
        </w:tc>
        <w:tc>
          <w:tcPr>
            <w:tcW w:w="380" w:type="dxa"/>
            <w:vAlign w:val="bottom"/>
            <w:tcBorders>
              <w:top w:val="single" w:sz="8" w:color="454546"/>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454546"/>
              <w:bottom w:val="single" w:sz="8" w:color="454546"/>
            </w:tcBorders>
          </w:tcPr>
          <w:p>
            <w:pPr>
              <w:spacing w:after="0" w:line="20" w:lineRule="exact"/>
              <w:rPr>
                <w:sz w:val="1"/>
                <w:szCs w:val="1"/>
                <w:color w:val="auto"/>
              </w:rPr>
            </w:pPr>
          </w:p>
        </w:tc>
        <w:tc>
          <w:tcPr>
            <w:tcW w:w="400" w:type="dxa"/>
            <w:vAlign w:val="bottom"/>
            <w:tcBorders>
              <w:top w:val="single" w:sz="8" w:color="454546"/>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454546"/>
              <w:bottom w:val="single" w:sz="8" w:color="454546"/>
            </w:tcBorders>
          </w:tcPr>
          <w:p>
            <w:pPr>
              <w:spacing w:after="0" w:line="20" w:lineRule="exact"/>
              <w:rPr>
                <w:sz w:val="1"/>
                <w:szCs w:val="1"/>
                <w:color w:val="auto"/>
              </w:rPr>
            </w:pPr>
          </w:p>
        </w:tc>
        <w:tc>
          <w:tcPr>
            <w:tcW w:w="120" w:type="dxa"/>
            <w:vAlign w:val="bottom"/>
            <w:tcBorders>
              <w:top w:val="single" w:sz="8" w:color="454546"/>
              <w:bottom w:val="single" w:sz="8" w:color="454546"/>
            </w:tcBorders>
          </w:tcPr>
          <w:p>
            <w:pPr>
              <w:spacing w:after="0" w:line="20" w:lineRule="exact"/>
              <w:rPr>
                <w:sz w:val="1"/>
                <w:szCs w:val="1"/>
                <w:color w:val="auto"/>
              </w:rPr>
            </w:pPr>
          </w:p>
        </w:tc>
        <w:tc>
          <w:tcPr>
            <w:tcW w:w="900" w:type="dxa"/>
            <w:vAlign w:val="bottom"/>
            <w:tcBorders>
              <w:top w:val="single" w:sz="8" w:color="454546"/>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454546"/>
              <w:bottom w:val="single" w:sz="8" w:color="454546"/>
            </w:tcBorders>
          </w:tcPr>
          <w:p>
            <w:pPr>
              <w:spacing w:after="0" w:line="20" w:lineRule="exact"/>
              <w:rPr>
                <w:sz w:val="1"/>
                <w:szCs w:val="1"/>
                <w:color w:val="auto"/>
              </w:rPr>
            </w:pPr>
          </w:p>
        </w:tc>
        <w:tc>
          <w:tcPr>
            <w:tcW w:w="700" w:type="dxa"/>
            <w:vAlign w:val="bottom"/>
            <w:tcBorders>
              <w:top w:val="single" w:sz="8" w:color="454546"/>
              <w:bottom w:val="single" w:sz="8" w:color="45454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454546"/>
        </w:rPr>
        <w:t>As of January 31, 2023, there were no money market funds or debt securities with unrealized losses for more than twelve months.</w:t>
      </w:r>
    </w:p>
    <w:p>
      <w:pPr>
        <w:spacing w:after="0" w:line="171"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220" w:type="dxa"/>
            <w:vAlign w:val="bottom"/>
            <w:tcBorders>
              <w:bottom w:val="single" w:sz="8" w:color="454546"/>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454546"/>
              </w:rPr>
              <w:t>As of</w:t>
            </w:r>
          </w:p>
        </w:tc>
        <w:tc>
          <w:tcPr>
            <w:tcW w:w="760" w:type="dxa"/>
            <w:vAlign w:val="bottom"/>
            <w:tcBorders>
              <w:bottom w:val="single" w:sz="8" w:color="454546"/>
            </w:tcBorders>
          </w:tcPr>
          <w:p>
            <w:pPr>
              <w:spacing w:after="0"/>
              <w:rPr>
                <w:sz w:val="17"/>
                <w:szCs w:val="17"/>
                <w:color w:val="auto"/>
              </w:rPr>
            </w:pPr>
          </w:p>
        </w:tc>
        <w:tc>
          <w:tcPr>
            <w:tcW w:w="60" w:type="dxa"/>
            <w:vAlign w:val="bottom"/>
          </w:tcPr>
          <w:p>
            <w:pPr>
              <w:spacing w:after="0"/>
              <w:rPr>
                <w:sz w:val="17"/>
                <w:szCs w:val="17"/>
                <w:color w:val="auto"/>
              </w:rPr>
            </w:pPr>
          </w:p>
        </w:tc>
      </w:tr>
      <w:tr>
        <w:trPr>
          <w:trHeight w:val="155"/>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454546"/>
              </w:rPr>
              <w:t>January 31,</w:t>
            </w:r>
          </w:p>
        </w:tc>
        <w:tc>
          <w:tcPr>
            <w:tcW w:w="6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454546"/>
              </w:rPr>
              <w:t>January 31,</w:t>
            </w:r>
          </w:p>
        </w:tc>
        <w:tc>
          <w:tcPr>
            <w:tcW w:w="60" w:type="dxa"/>
            <w:vAlign w:val="bottom"/>
          </w:tcPr>
          <w:p>
            <w:pPr>
              <w:spacing w:after="0"/>
              <w:rPr>
                <w:sz w:val="13"/>
                <w:szCs w:val="13"/>
                <w:color w:val="auto"/>
              </w:rPr>
            </w:pPr>
          </w:p>
        </w:tc>
      </w:tr>
      <w:tr>
        <w:trPr>
          <w:trHeight w:val="203"/>
        </w:trPr>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454546"/>
            </w:tcBorders>
          </w:tcPr>
          <w:p>
            <w:pPr>
              <w:spacing w:after="0"/>
              <w:rPr>
                <w:sz w:val="17"/>
                <w:szCs w:val="17"/>
                <w:color w:val="auto"/>
              </w:rPr>
            </w:pPr>
          </w:p>
        </w:tc>
        <w:tc>
          <w:tcPr>
            <w:tcW w:w="40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60" w:type="dxa"/>
            <w:vAlign w:val="bottom"/>
          </w:tcPr>
          <w:p>
            <w:pPr>
              <w:spacing w:after="0"/>
              <w:rPr>
                <w:sz w:val="17"/>
                <w:szCs w:val="17"/>
                <w:color w:val="auto"/>
              </w:rPr>
            </w:pPr>
          </w:p>
        </w:tc>
      </w:tr>
      <w:tr>
        <w:trPr>
          <w:trHeight w:val="185"/>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505"/>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60" w:type="dxa"/>
            <w:vAlign w:val="bottom"/>
          </w:tcPr>
          <w:p>
            <w:pPr>
              <w:spacing w:after="0"/>
              <w:rPr>
                <w:sz w:val="16"/>
                <w:szCs w:val="16"/>
                <w:color w:val="auto"/>
              </w:rPr>
            </w:pPr>
          </w:p>
        </w:tc>
      </w:tr>
      <w:tr>
        <w:trPr>
          <w:trHeight w:val="230"/>
        </w:trPr>
        <w:tc>
          <w:tcPr>
            <w:tcW w:w="4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Included in cash equivalents</w:t>
            </w:r>
          </w:p>
        </w:tc>
        <w:tc>
          <w:tcPr>
            <w:tcW w:w="300" w:type="dxa"/>
            <w:vAlign w:val="bottom"/>
            <w:gridSpan w:val="2"/>
            <w:shd w:val="clear" w:color="auto" w:fill="E5E6E7"/>
          </w:tcPr>
          <w:p>
            <w:pPr>
              <w:jc w:val="right"/>
              <w:ind w:right="3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31,103</w:t>
            </w:r>
          </w:p>
        </w:tc>
        <w:tc>
          <w:tcPr>
            <w:tcW w:w="460" w:type="dxa"/>
            <w:vAlign w:val="bottom"/>
            <w:gridSpan w:val="2"/>
            <w:shd w:val="clear" w:color="auto" w:fill="E5E6E7"/>
          </w:tcPr>
          <w:p>
            <w:pPr>
              <w:jc w:val="right"/>
              <w:ind w:right="3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7,872</w:t>
            </w:r>
          </w:p>
        </w:tc>
        <w:tc>
          <w:tcPr>
            <w:tcW w:w="60" w:type="dxa"/>
            <w:vAlign w:val="bottom"/>
            <w:shd w:val="clear" w:color="auto" w:fill="E5E6E7"/>
          </w:tcPr>
          <w:p>
            <w:pPr>
              <w:spacing w:after="0"/>
              <w:rPr>
                <w:sz w:val="19"/>
                <w:szCs w:val="19"/>
                <w:color w:val="auto"/>
              </w:rPr>
            </w:pPr>
          </w:p>
        </w:tc>
      </w:tr>
      <w:tr>
        <w:trPr>
          <w:trHeight w:val="230"/>
        </w:trPr>
        <w:tc>
          <w:tcPr>
            <w:tcW w:w="41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Included in marketable debt securities</w:t>
            </w:r>
          </w:p>
        </w:tc>
        <w:tc>
          <w:tcPr>
            <w:tcW w:w="8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7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75,013</w:t>
            </w:r>
          </w:p>
        </w:tc>
        <w:tc>
          <w:tcPr>
            <w:tcW w:w="60" w:type="dxa"/>
            <w:vAlign w:val="bottom"/>
            <w:tcBorders>
              <w:bottom w:val="single" w:sz="8" w:color="E5E6E7"/>
            </w:tcBorders>
          </w:tcPr>
          <w:p>
            <w:pPr>
              <w:spacing w:after="0"/>
              <w:rPr>
                <w:sz w:val="19"/>
                <w:szCs w:val="19"/>
                <w:color w:val="auto"/>
              </w:rPr>
            </w:pPr>
          </w:p>
        </w:tc>
        <w:tc>
          <w:tcPr>
            <w:tcW w:w="400" w:type="dxa"/>
            <w:vAlign w:val="bottom"/>
            <w:tcBorders>
              <w:bottom w:val="single" w:sz="8" w:color="454546"/>
            </w:tcBorders>
          </w:tcPr>
          <w:p>
            <w:pPr>
              <w:spacing w:after="0"/>
              <w:rPr>
                <w:sz w:val="19"/>
                <w:szCs w:val="19"/>
                <w:color w:val="auto"/>
              </w:rPr>
            </w:pPr>
          </w:p>
        </w:tc>
        <w:tc>
          <w:tcPr>
            <w:tcW w:w="7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93,322</w:t>
            </w:r>
          </w:p>
        </w:tc>
        <w:tc>
          <w:tcPr>
            <w:tcW w:w="60" w:type="dxa"/>
            <w:vAlign w:val="bottom"/>
            <w:tcBorders>
              <w:bottom w:val="single" w:sz="8" w:color="E5E6E7"/>
            </w:tcBorders>
          </w:tcPr>
          <w:p>
            <w:pPr>
              <w:spacing w:after="0"/>
              <w:rPr>
                <w:sz w:val="19"/>
                <w:szCs w:val="19"/>
                <w:color w:val="auto"/>
              </w:rPr>
            </w:pPr>
          </w:p>
        </w:tc>
      </w:tr>
      <w:tr>
        <w:trPr>
          <w:trHeight w:val="201"/>
        </w:trPr>
        <w:tc>
          <w:tcPr>
            <w:tcW w:w="4140" w:type="dxa"/>
            <w:vAlign w:val="bottom"/>
            <w:shd w:val="clear" w:color="auto" w:fill="E5E6E7"/>
          </w:tcPr>
          <w:p>
            <w:pPr>
              <w:ind w:left="200"/>
              <w:spacing w:after="0" w:line="201" w:lineRule="exact"/>
              <w:rPr>
                <w:sz w:val="20"/>
                <w:szCs w:val="20"/>
                <w:color w:val="auto"/>
              </w:rPr>
            </w:pPr>
            <w:r>
              <w:rPr>
                <w:rFonts w:ascii="Times New Roman" w:cs="Times New Roman" w:eastAsia="Times New Roman" w:hAnsi="Times New Roman"/>
                <w:sz w:val="20"/>
                <w:szCs w:val="20"/>
                <w:color w:val="454546"/>
              </w:rPr>
              <w:t>Total cash equivalents and marketable debt</w:t>
            </w:r>
          </w:p>
        </w:tc>
        <w:tc>
          <w:tcPr>
            <w:tcW w:w="8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76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400" w:type="dxa"/>
            <w:vAlign w:val="bottom"/>
            <w:shd w:val="clear" w:color="auto" w:fill="E5E6E7"/>
          </w:tcPr>
          <w:p>
            <w:pPr>
              <w:spacing w:after="0"/>
              <w:rPr>
                <w:sz w:val="17"/>
                <w:szCs w:val="17"/>
                <w:color w:val="auto"/>
              </w:rPr>
            </w:pPr>
          </w:p>
        </w:tc>
        <w:tc>
          <w:tcPr>
            <w:tcW w:w="76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r>
      <w:tr>
        <w:trPr>
          <w:trHeight w:val="249"/>
        </w:trPr>
        <w:tc>
          <w:tcPr>
            <w:tcW w:w="41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securities</w:t>
            </w:r>
          </w:p>
        </w:tc>
        <w:tc>
          <w:tcPr>
            <w:tcW w:w="80" w:type="dxa"/>
            <w:vAlign w:val="bottom"/>
            <w:shd w:val="clear" w:color="auto" w:fill="E5E6E7"/>
          </w:tcPr>
          <w:p>
            <w:pPr>
              <w:spacing w:after="0"/>
              <w:rPr>
                <w:sz w:val="21"/>
                <w:szCs w:val="21"/>
                <w:color w:val="auto"/>
              </w:rPr>
            </w:pPr>
          </w:p>
        </w:tc>
        <w:tc>
          <w:tcPr>
            <w:tcW w:w="220" w:type="dxa"/>
            <w:vAlign w:val="bottom"/>
            <w:tcBorders>
              <w:bottom w:val="single" w:sz="8" w:color="454546"/>
            </w:tcBorders>
            <w:shd w:val="clear" w:color="auto" w:fill="E5E6E7"/>
          </w:tcPr>
          <w:p>
            <w:pPr>
              <w:jc w:val="right"/>
              <w:ind w:right="30"/>
              <w:spacing w:after="0"/>
              <w:rPr>
                <w:sz w:val="20"/>
                <w:szCs w:val="20"/>
                <w:color w:val="auto"/>
              </w:rPr>
            </w:pPr>
            <w:r>
              <w:rPr>
                <w:rFonts w:ascii="Times New Roman" w:cs="Times New Roman" w:eastAsia="Times New Roman" w:hAnsi="Times New Roman"/>
                <w:sz w:val="20"/>
                <w:szCs w:val="20"/>
                <w:color w:val="454546"/>
                <w:w w:val="79"/>
              </w:rPr>
              <w:t>$</w:t>
            </w: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106,116</w:t>
            </w:r>
          </w:p>
        </w:tc>
        <w:tc>
          <w:tcPr>
            <w:tcW w:w="60" w:type="dxa"/>
            <w:vAlign w:val="bottom"/>
            <w:shd w:val="clear" w:color="auto" w:fill="E5E6E7"/>
          </w:tcPr>
          <w:p>
            <w:pPr>
              <w:spacing w:after="0"/>
              <w:rPr>
                <w:sz w:val="21"/>
                <w:szCs w:val="21"/>
                <w:color w:val="auto"/>
              </w:rPr>
            </w:pPr>
          </w:p>
        </w:tc>
        <w:tc>
          <w:tcPr>
            <w:tcW w:w="400" w:type="dxa"/>
            <w:vAlign w:val="bottom"/>
            <w:tcBorders>
              <w:bottom w:val="single" w:sz="8" w:color="454546"/>
            </w:tcBorders>
            <w:shd w:val="clear" w:color="auto" w:fill="E5E6E7"/>
          </w:tcPr>
          <w:p>
            <w:pPr>
              <w:jc w:val="right"/>
              <w:ind w:right="3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101,194</w:t>
            </w:r>
          </w:p>
        </w:tc>
        <w:tc>
          <w:tcPr>
            <w:tcW w:w="60" w:type="dxa"/>
            <w:vAlign w:val="bottom"/>
            <w:shd w:val="clear" w:color="auto" w:fill="E5E6E7"/>
          </w:tcPr>
          <w:p>
            <w:pPr>
              <w:spacing w:after="0"/>
              <w:rPr>
                <w:sz w:val="21"/>
                <w:szCs w:val="2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7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454546"/>
            </w:tcBorders>
          </w:tcPr>
          <w:p>
            <w:pPr>
              <w:spacing w:after="0" w:line="20" w:lineRule="exact"/>
              <w:rPr>
                <w:sz w:val="1"/>
                <w:szCs w:val="1"/>
                <w:color w:val="auto"/>
              </w:rPr>
            </w:pPr>
          </w:p>
        </w:tc>
        <w:tc>
          <w:tcPr>
            <w:tcW w:w="760" w:type="dxa"/>
            <w:vAlign w:val="bottom"/>
            <w:tcBorders>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88</w:t>
      </w:r>
    </w:p>
    <w:p>
      <w:pPr>
        <w:sectPr>
          <w:pgSz w:w="12240" w:h="15840" w:orient="portrait"/>
          <w:cols w:equalWidth="0" w:num="1">
            <w:col w:w="10800"/>
          </w:cols>
          <w:pgMar w:left="720" w:top="972" w:right="720" w:bottom="175" w:gutter="0" w:footer="0" w:header="0"/>
          <w:type w:val="continuous"/>
        </w:sectPr>
      </w:pPr>
    </w:p>
    <w:bookmarkStart w:id="93" w:name="page94"/>
    <w:bookmarkEnd w:id="93"/>
    <w:p>
      <w:pPr>
        <w:ind w:left="500"/>
        <w:spacing w:after="0"/>
        <w:rPr>
          <w:sz w:val="20"/>
          <w:szCs w:val="20"/>
          <w:color w:val="auto"/>
        </w:rPr>
      </w:pPr>
      <w:r>
        <w:rPr>
          <w:rFonts w:ascii="Times New Roman" w:cs="Times New Roman" w:eastAsia="Times New Roman" w:hAnsi="Times New Roman"/>
          <w:sz w:val="20"/>
          <w:szCs w:val="20"/>
          <w:color w:val="454546"/>
        </w:rPr>
        <w:t>The contractual maturities of the investments at January 31, 2024 and 2023 were as follows:</w:t>
      </w:r>
    </w:p>
    <w:p>
      <w:pPr>
        <w:spacing w:after="0" w:line="230" w:lineRule="exact"/>
        <w:rPr>
          <w:sz w:val="20"/>
          <w:szCs w:val="20"/>
          <w:color w:val="auto"/>
        </w:rPr>
      </w:pPr>
    </w:p>
    <w:tbl>
      <w:tblPr>
        <w:tblLayout w:type="fixed"/>
        <w:tblInd w:w="216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200" w:type="dxa"/>
            <w:vAlign w:val="bottom"/>
            <w:tcBorders>
              <w:bottom w:val="single" w:sz="8" w:color="454546"/>
            </w:tcBorders>
            <w:gridSpan w:val="3"/>
          </w:tcPr>
          <w:p>
            <w:pPr>
              <w:jc w:val="center"/>
              <w:ind w:left="469"/>
              <w:spacing w:after="0"/>
              <w:rPr>
                <w:sz w:val="20"/>
                <w:szCs w:val="20"/>
                <w:color w:val="auto"/>
              </w:rPr>
            </w:pPr>
            <w:r>
              <w:rPr>
                <w:rFonts w:ascii="Times New Roman" w:cs="Times New Roman" w:eastAsia="Times New Roman" w:hAnsi="Times New Roman"/>
                <w:sz w:val="16"/>
                <w:szCs w:val="16"/>
                <w:b w:val="1"/>
                <w:bCs w:val="1"/>
                <w:color w:val="454546"/>
              </w:rPr>
              <w:t>As of</w:t>
            </w:r>
          </w:p>
        </w:tc>
        <w:tc>
          <w:tcPr>
            <w:tcW w:w="760" w:type="dxa"/>
            <w:vAlign w:val="bottom"/>
            <w:tcBorders>
              <w:bottom w:val="single" w:sz="8" w:color="454546"/>
            </w:tcBorders>
          </w:tcPr>
          <w:p>
            <w:pPr>
              <w:spacing w:after="0"/>
              <w:rPr>
                <w:sz w:val="17"/>
                <w:szCs w:val="17"/>
                <w:color w:val="auto"/>
              </w:rPr>
            </w:pPr>
          </w:p>
        </w:tc>
        <w:tc>
          <w:tcPr>
            <w:tcW w:w="60" w:type="dxa"/>
            <w:vAlign w:val="bottom"/>
          </w:tcPr>
          <w:p>
            <w:pPr>
              <w:spacing w:after="0"/>
              <w:rPr>
                <w:sz w:val="17"/>
                <w:szCs w:val="17"/>
                <w:color w:val="auto"/>
              </w:rPr>
            </w:pPr>
          </w:p>
        </w:tc>
      </w:tr>
      <w:tr>
        <w:trPr>
          <w:trHeight w:val="155"/>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454546"/>
              </w:rPr>
              <w:t>January 31,</w:t>
            </w:r>
          </w:p>
        </w:tc>
        <w:tc>
          <w:tcPr>
            <w:tcW w:w="22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454546"/>
              </w:rPr>
              <w:t>January 31,</w:t>
            </w:r>
          </w:p>
        </w:tc>
        <w:tc>
          <w:tcPr>
            <w:tcW w:w="60" w:type="dxa"/>
            <w:vAlign w:val="bottom"/>
          </w:tcPr>
          <w:p>
            <w:pPr>
              <w:spacing w:after="0"/>
              <w:rPr>
                <w:sz w:val="13"/>
                <w:szCs w:val="13"/>
                <w:color w:val="auto"/>
              </w:rPr>
            </w:pPr>
          </w:p>
        </w:tc>
      </w:tr>
      <w:tr>
        <w:trPr>
          <w:trHeight w:val="203"/>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760" w:type="dxa"/>
            <w:vAlign w:val="bottom"/>
            <w:tcBorders>
              <w:bottom w:val="single" w:sz="8" w:color="454546"/>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454546"/>
              </w:rPr>
              <w:t>2023</w:t>
            </w:r>
          </w:p>
        </w:tc>
        <w:tc>
          <w:tcPr>
            <w:tcW w:w="60" w:type="dxa"/>
            <w:vAlign w:val="bottom"/>
          </w:tcPr>
          <w:p>
            <w:pPr>
              <w:spacing w:after="0"/>
              <w:rPr>
                <w:sz w:val="17"/>
                <w:szCs w:val="17"/>
                <w:color w:val="auto"/>
              </w:rPr>
            </w:pPr>
          </w:p>
        </w:tc>
      </w:tr>
      <w:tr>
        <w:trPr>
          <w:trHeight w:val="220"/>
        </w:trPr>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454546"/>
              </w:rPr>
              <w:t>(in thousands)</w:t>
            </w:r>
          </w:p>
        </w:tc>
      </w:tr>
      <w:tr>
        <w:trPr>
          <w:trHeight w:val="230"/>
        </w:trPr>
        <w:tc>
          <w:tcPr>
            <w:tcW w:w="4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Due within one year</w:t>
            </w:r>
          </w:p>
        </w:tc>
        <w:tc>
          <w:tcPr>
            <w:tcW w:w="3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50,216</w:t>
            </w:r>
          </w:p>
        </w:tc>
        <w:tc>
          <w:tcPr>
            <w:tcW w:w="4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48,016</w:t>
            </w:r>
          </w:p>
        </w:tc>
        <w:tc>
          <w:tcPr>
            <w:tcW w:w="60" w:type="dxa"/>
            <w:vAlign w:val="bottom"/>
            <w:shd w:val="clear" w:color="auto" w:fill="E5E6E7"/>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454546"/>
              </w:rPr>
              <w:t>Due in 1-5 years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55,900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52,414</w:t>
            </w:r>
          </w:p>
        </w:tc>
        <w:tc>
          <w:tcPr>
            <w:tcW w:w="60" w:type="dxa"/>
            <w:vAlign w:val="bottom"/>
          </w:tcPr>
          <w:p>
            <w:pPr>
              <w:spacing w:after="0"/>
              <w:rPr>
                <w:sz w:val="19"/>
                <w:szCs w:val="19"/>
                <w:color w:val="auto"/>
              </w:rPr>
            </w:pPr>
          </w:p>
        </w:tc>
      </w:tr>
      <w:tr>
        <w:trPr>
          <w:trHeight w:val="230"/>
        </w:trPr>
        <w:tc>
          <w:tcPr>
            <w:tcW w:w="41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Due in 5-7 years</w:t>
            </w:r>
          </w:p>
        </w:tc>
        <w:tc>
          <w:tcPr>
            <w:tcW w:w="8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76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764</w:t>
            </w:r>
          </w:p>
        </w:tc>
        <w:tc>
          <w:tcPr>
            <w:tcW w:w="60" w:type="dxa"/>
            <w:vAlign w:val="bottom"/>
            <w:shd w:val="clear" w:color="auto" w:fill="E5E6E7"/>
          </w:tcPr>
          <w:p>
            <w:pPr>
              <w:spacing w:after="0"/>
              <w:rPr>
                <w:sz w:val="19"/>
                <w:szCs w:val="19"/>
                <w:color w:val="auto"/>
              </w:rPr>
            </w:pPr>
          </w:p>
        </w:tc>
      </w:tr>
      <w:tr>
        <w:trPr>
          <w:trHeight w:val="201"/>
        </w:trPr>
        <w:tc>
          <w:tcPr>
            <w:tcW w:w="4160" w:type="dxa"/>
            <w:vAlign w:val="bottom"/>
          </w:tcPr>
          <w:p>
            <w:pPr>
              <w:ind w:left="200"/>
              <w:spacing w:after="0" w:line="201" w:lineRule="exact"/>
              <w:rPr>
                <w:sz w:val="20"/>
                <w:szCs w:val="20"/>
                <w:color w:val="auto"/>
              </w:rPr>
            </w:pPr>
            <w:r>
              <w:rPr>
                <w:rFonts w:ascii="Times New Roman" w:cs="Times New Roman" w:eastAsia="Times New Roman" w:hAnsi="Times New Roman"/>
                <w:sz w:val="20"/>
                <w:szCs w:val="20"/>
                <w:color w:val="454546"/>
              </w:rPr>
              <w:t>Total cash equivalents and marketable debt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41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securities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106,116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101,194</w:t>
            </w:r>
          </w:p>
        </w:tc>
        <w:tc>
          <w:tcPr>
            <w:tcW w:w="6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760" w:type="dxa"/>
            <w:vAlign w:val="bottom"/>
            <w:tcBorders>
              <w:top w:val="single" w:sz="8" w:color="454546"/>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454546"/>
              <w:bottom w:val="single" w:sz="8" w:color="454546"/>
            </w:tcBorders>
          </w:tcPr>
          <w:p>
            <w:pPr>
              <w:spacing w:after="0" w:line="20" w:lineRule="exact"/>
              <w:rPr>
                <w:sz w:val="1"/>
                <w:szCs w:val="1"/>
                <w:color w:val="auto"/>
              </w:rPr>
            </w:pPr>
          </w:p>
        </w:tc>
        <w:tc>
          <w:tcPr>
            <w:tcW w:w="760" w:type="dxa"/>
            <w:vAlign w:val="bottom"/>
            <w:tcBorders>
              <w:top w:val="single" w:sz="8" w:color="454546"/>
              <w:bottom w:val="single" w:sz="8" w:color="45454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454546"/>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 The credit-related losses were not material for the fiscal years ended January 31, 2024, 2023 and 2022, respectively.</w:t>
      </w:r>
    </w:p>
    <w:p>
      <w:pPr>
        <w:spacing w:after="0" w:line="192"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Interest income, including amortization of premiums and accretion of discounts related to the investments, as well as realized gains and losses from sales of the investments are recorded in other income, net, in the consolidated statements of operations. For the fiscal years ended January 31, 2024, 2023, and 2022, interest income and realized gains and losses, net, were approximately $4.7 million, $1.7 million and $1.7 million, respectively.</w:t>
      </w:r>
    </w:p>
    <w:p>
      <w:pPr>
        <w:spacing w:after="0" w:line="194"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following fair value hierarchy is applied for disclosure of the inputs used to measure fair value. This hierarchy prioritizes the inputs into three broad levels as follows: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Level 1—Inputs are unadjusted quoted prices in active markets for identical assets or liabilities.</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Level 3—Unobservable inputs based on the Company’s own assumptions used to measure assets and liabilities at fair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inputs require significant management judgment or estimation.</w:t>
      </w:r>
    </w:p>
    <w:p>
      <w:pPr>
        <w:spacing w:after="0" w:line="212" w:lineRule="exact"/>
        <w:rPr>
          <w:sz w:val="20"/>
          <w:szCs w:val="20"/>
          <w:color w:val="auto"/>
        </w:rPr>
      </w:pPr>
    </w:p>
    <w:p>
      <w:pPr>
        <w:jc w:val="both"/>
        <w:ind w:right="440" w:firstLine="490"/>
        <w:spacing w:after="0" w:line="258" w:lineRule="auto"/>
        <w:rPr>
          <w:sz w:val="20"/>
          <w:szCs w:val="20"/>
          <w:color w:val="auto"/>
        </w:rPr>
      </w:pPr>
      <w:r>
        <w:rPr>
          <w:rFonts w:ascii="Times New Roman" w:cs="Times New Roman" w:eastAsia="Times New Roman" w:hAnsi="Times New Roman"/>
          <w:sz w:val="20"/>
          <w:szCs w:val="20"/>
          <w:color w:val="454546"/>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89</w:t>
      </w:r>
    </w:p>
    <w:p>
      <w:pPr>
        <w:sectPr>
          <w:pgSz w:w="12240" w:h="15840" w:orient="portrait"/>
          <w:cols w:equalWidth="0" w:num="1">
            <w:col w:w="10800"/>
          </w:cols>
          <w:pgMar w:left="720" w:top="976" w:right="720" w:bottom="175" w:gutter="0" w:footer="0" w:header="0"/>
          <w:type w:val="continuous"/>
        </w:sectPr>
      </w:pPr>
    </w:p>
    <w:bookmarkStart w:id="94" w:name="page95"/>
    <w:bookmarkEnd w:id="94"/>
    <w:p>
      <w:pPr>
        <w:ind w:right="4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tables present the fair value of the financial instruments measured on a recurring basis as of January 31, 2024 and 2023, respectively:</w:t>
      </w:r>
    </w:p>
    <w:p>
      <w:pPr>
        <w:spacing w:after="0" w:line="2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780" w:type="dxa"/>
            <w:vAlign w:val="bottom"/>
            <w:tcBorders>
              <w:bottom w:val="single" w:sz="8" w:color="454546"/>
            </w:tcBorders>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180" w:type="dxa"/>
            <w:vAlign w:val="bottom"/>
            <w:tcBorders>
              <w:bottom w:val="single" w:sz="8" w:color="454546"/>
            </w:tcBorders>
          </w:tcPr>
          <w:p>
            <w:pPr>
              <w:spacing w:after="0"/>
              <w:rPr>
                <w:sz w:val="17"/>
                <w:szCs w:val="17"/>
                <w:color w:val="auto"/>
              </w:rPr>
            </w:pPr>
          </w:p>
        </w:tc>
        <w:tc>
          <w:tcPr>
            <w:tcW w:w="2020" w:type="dxa"/>
            <w:vAlign w:val="bottom"/>
            <w:tcBorders>
              <w:bottom w:val="single" w:sz="8" w:color="454546"/>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454546"/>
              </w:rPr>
              <w:t>As of January 31, 2024</w:t>
            </w:r>
          </w:p>
        </w:tc>
        <w:tc>
          <w:tcPr>
            <w:tcW w:w="220" w:type="dxa"/>
            <w:vAlign w:val="bottom"/>
            <w:tcBorders>
              <w:bottom w:val="single" w:sz="8" w:color="454546"/>
            </w:tcBorders>
          </w:tcPr>
          <w:p>
            <w:pPr>
              <w:spacing w:after="0"/>
              <w:rPr>
                <w:sz w:val="17"/>
                <w:szCs w:val="17"/>
                <w:color w:val="auto"/>
              </w:rPr>
            </w:pPr>
          </w:p>
        </w:tc>
        <w:tc>
          <w:tcPr>
            <w:tcW w:w="160" w:type="dxa"/>
            <w:vAlign w:val="bottom"/>
            <w:tcBorders>
              <w:bottom w:val="single" w:sz="8" w:color="454546"/>
            </w:tcBorders>
          </w:tcPr>
          <w:p>
            <w:pPr>
              <w:spacing w:after="0"/>
              <w:rPr>
                <w:sz w:val="17"/>
                <w:szCs w:val="17"/>
                <w:color w:val="auto"/>
              </w:rPr>
            </w:pPr>
          </w:p>
        </w:tc>
        <w:tc>
          <w:tcPr>
            <w:tcW w:w="82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03"/>
              <w:spacing w:after="0" w:line="174" w:lineRule="exact"/>
              <w:rPr>
                <w:sz w:val="20"/>
                <w:szCs w:val="20"/>
                <w:color w:val="auto"/>
              </w:rPr>
            </w:pPr>
            <w:r>
              <w:rPr>
                <w:rFonts w:ascii="Times New Roman" w:cs="Times New Roman" w:eastAsia="Times New Roman" w:hAnsi="Times New Roman"/>
                <w:sz w:val="16"/>
                <w:szCs w:val="16"/>
                <w:b w:val="1"/>
                <w:bCs w:val="1"/>
                <w:color w:val="454546"/>
              </w:rPr>
              <w:t>Total</w:t>
            </w:r>
          </w:p>
        </w:tc>
        <w:tc>
          <w:tcPr>
            <w:tcW w:w="22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167"/>
              <w:spacing w:after="0" w:line="174" w:lineRule="exact"/>
              <w:rPr>
                <w:sz w:val="20"/>
                <w:szCs w:val="20"/>
                <w:color w:val="auto"/>
              </w:rPr>
            </w:pPr>
            <w:r>
              <w:rPr>
                <w:rFonts w:ascii="Times New Roman" w:cs="Times New Roman" w:eastAsia="Times New Roman" w:hAnsi="Times New Roman"/>
                <w:sz w:val="16"/>
                <w:szCs w:val="16"/>
                <w:b w:val="1"/>
                <w:bCs w:val="1"/>
                <w:color w:val="454546"/>
              </w:rPr>
              <w:t>Level 1</w:t>
            </w:r>
          </w:p>
        </w:tc>
        <w:tc>
          <w:tcPr>
            <w:tcW w:w="20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143"/>
              <w:spacing w:after="0" w:line="174" w:lineRule="exact"/>
              <w:rPr>
                <w:sz w:val="20"/>
                <w:szCs w:val="20"/>
                <w:color w:val="auto"/>
              </w:rPr>
            </w:pPr>
            <w:r>
              <w:rPr>
                <w:rFonts w:ascii="Times New Roman" w:cs="Times New Roman" w:eastAsia="Times New Roman" w:hAnsi="Times New Roman"/>
                <w:sz w:val="16"/>
                <w:szCs w:val="16"/>
                <w:b w:val="1"/>
                <w:bCs w:val="1"/>
                <w:color w:val="454546"/>
              </w:rPr>
              <w:t>Level 2</w:t>
            </w:r>
          </w:p>
        </w:tc>
        <w:tc>
          <w:tcPr>
            <w:tcW w:w="220" w:type="dxa"/>
            <w:vAlign w:val="bottom"/>
          </w:tcPr>
          <w:p>
            <w:pPr>
              <w:spacing w:after="0"/>
              <w:rPr>
                <w:sz w:val="15"/>
                <w:szCs w:val="15"/>
                <w:color w:val="auto"/>
              </w:rPr>
            </w:pPr>
          </w:p>
        </w:tc>
        <w:tc>
          <w:tcPr>
            <w:tcW w:w="16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454546"/>
              </w:rPr>
              <w:t>Level 3</w:t>
            </w:r>
          </w:p>
        </w:tc>
        <w:tc>
          <w:tcPr>
            <w:tcW w:w="100" w:type="dxa"/>
            <w:vAlign w:val="bottom"/>
          </w:tcPr>
          <w:p>
            <w:pPr>
              <w:spacing w:after="0"/>
              <w:rPr>
                <w:sz w:val="15"/>
                <w:szCs w:val="15"/>
                <w:color w:val="auto"/>
              </w:rPr>
            </w:pPr>
          </w:p>
        </w:tc>
      </w:tr>
      <w:tr>
        <w:trPr>
          <w:trHeight w:val="174"/>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7"/>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200" w:type="dxa"/>
            <w:vAlign w:val="bottom"/>
            <w:gridSpan w:val="3"/>
          </w:tcPr>
          <w:p>
            <w:pPr>
              <w:jc w:val="right"/>
              <w:ind w:right="523"/>
              <w:spacing w:after="0" w:line="174" w:lineRule="exact"/>
              <w:rPr>
                <w:sz w:val="20"/>
                <w:szCs w:val="20"/>
                <w:color w:val="auto"/>
              </w:rPr>
            </w:pPr>
            <w:r>
              <w:rPr>
                <w:rFonts w:ascii="Times New Roman" w:cs="Times New Roman" w:eastAsia="Times New Roman" w:hAnsi="Times New Roman"/>
                <w:sz w:val="16"/>
                <w:szCs w:val="16"/>
                <w:b w:val="1"/>
                <w:bCs w:val="1"/>
                <w:color w:val="454546"/>
                <w:w w:val="74"/>
              </w:rPr>
              <w:t>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Money market funds</w:t>
            </w:r>
          </w:p>
        </w:tc>
        <w:tc>
          <w:tcPr>
            <w:tcW w:w="3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296</w:t>
            </w:r>
          </w:p>
        </w:tc>
        <w:tc>
          <w:tcPr>
            <w:tcW w:w="4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296</w:t>
            </w:r>
          </w:p>
        </w:tc>
        <w:tc>
          <w:tcPr>
            <w:tcW w:w="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454546"/>
              </w:rPr>
              <w:t>Commercial paper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30,806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Corporate bonds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38,912</w:t>
            </w:r>
          </w:p>
        </w:tc>
        <w:tc>
          <w:tcPr>
            <w:tcW w:w="2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38,912</w:t>
            </w:r>
          </w:p>
        </w:tc>
        <w:tc>
          <w:tcPr>
            <w:tcW w:w="2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454546"/>
              </w:rPr>
              <w:t>Asset-backed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15,130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15,130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government securities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20,972</w:t>
            </w:r>
          </w:p>
        </w:tc>
        <w:tc>
          <w:tcPr>
            <w:tcW w:w="2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20,972</w:t>
            </w:r>
          </w:p>
        </w:tc>
        <w:tc>
          <w:tcPr>
            <w:tcW w:w="2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20"/>
        </w:trPr>
        <w:tc>
          <w:tcPr>
            <w:tcW w:w="490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cash equivalents and marketable debt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454546"/>
              <w:bottom w:val="single" w:sz="8" w:color="454546"/>
            </w:tcBorders>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7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106,116</w:t>
            </w:r>
          </w:p>
        </w:tc>
        <w:tc>
          <w:tcPr>
            <w:tcW w:w="220" w:type="dxa"/>
            <w:vAlign w:val="bottom"/>
          </w:tcPr>
          <w:p>
            <w:pPr>
              <w:spacing w:after="0"/>
              <w:rPr>
                <w:sz w:val="19"/>
                <w:szCs w:val="19"/>
                <w:color w:val="auto"/>
              </w:rPr>
            </w:pPr>
          </w:p>
        </w:tc>
        <w:tc>
          <w:tcPr>
            <w:tcW w:w="1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296</w:t>
            </w:r>
          </w:p>
        </w:tc>
        <w:tc>
          <w:tcPr>
            <w:tcW w:w="200" w:type="dxa"/>
            <w:vAlign w:val="bottom"/>
          </w:tcPr>
          <w:p>
            <w:pPr>
              <w:spacing w:after="0"/>
              <w:rPr>
                <w:sz w:val="19"/>
                <w:szCs w:val="19"/>
                <w:color w:val="auto"/>
              </w:rPr>
            </w:pPr>
          </w:p>
        </w:tc>
        <w:tc>
          <w:tcPr>
            <w:tcW w:w="1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105,820</w:t>
            </w:r>
          </w:p>
        </w:tc>
        <w:tc>
          <w:tcPr>
            <w:tcW w:w="220" w:type="dxa"/>
            <w:vAlign w:val="bottom"/>
          </w:tcPr>
          <w:p>
            <w:pPr>
              <w:spacing w:after="0"/>
              <w:rPr>
                <w:sz w:val="19"/>
                <w:szCs w:val="19"/>
                <w:color w:val="auto"/>
              </w:rPr>
            </w:pPr>
          </w:p>
        </w:tc>
        <w:tc>
          <w:tcPr>
            <w:tcW w:w="1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ind w:left="620"/>
              <w:spacing w:after="0" w:line="220" w:lineRule="exact"/>
              <w:rPr>
                <w:sz w:val="20"/>
                <w:szCs w:val="20"/>
                <w:color w:val="auto"/>
              </w:rPr>
            </w:pPr>
            <w:r>
              <w:rPr>
                <w:rFonts w:ascii="Times New Roman" w:cs="Times New Roman" w:eastAsia="Times New Roman" w:hAnsi="Times New Roman"/>
                <w:sz w:val="20"/>
                <w:szCs w:val="20"/>
                <w:color w:val="454546"/>
                <w:w w:val="89"/>
              </w:rPr>
              <w:t>—</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2"/>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454546"/>
            </w:tcBorders>
          </w:tcPr>
          <w:p>
            <w:pPr>
              <w:spacing w:after="0"/>
              <w:rPr>
                <w:sz w:val="24"/>
                <w:szCs w:val="24"/>
                <w:color w:val="auto"/>
              </w:rPr>
            </w:pPr>
          </w:p>
        </w:tc>
        <w:tc>
          <w:tcPr>
            <w:tcW w:w="780" w:type="dxa"/>
            <w:vAlign w:val="bottom"/>
            <w:tcBorders>
              <w:bottom w:val="single" w:sz="8" w:color="454546"/>
            </w:tcBorders>
          </w:tcPr>
          <w:p>
            <w:pPr>
              <w:spacing w:after="0"/>
              <w:rPr>
                <w:sz w:val="24"/>
                <w:szCs w:val="24"/>
                <w:color w:val="auto"/>
              </w:rPr>
            </w:pPr>
          </w:p>
        </w:tc>
        <w:tc>
          <w:tcPr>
            <w:tcW w:w="220" w:type="dxa"/>
            <w:vAlign w:val="bottom"/>
            <w:tcBorders>
              <w:bottom w:val="single" w:sz="8" w:color="454546"/>
            </w:tcBorders>
          </w:tcPr>
          <w:p>
            <w:pPr>
              <w:spacing w:after="0"/>
              <w:rPr>
                <w:sz w:val="24"/>
                <w:szCs w:val="24"/>
                <w:color w:val="auto"/>
              </w:rPr>
            </w:pPr>
          </w:p>
        </w:tc>
        <w:tc>
          <w:tcPr>
            <w:tcW w:w="180" w:type="dxa"/>
            <w:vAlign w:val="bottom"/>
            <w:tcBorders>
              <w:bottom w:val="single" w:sz="8" w:color="454546"/>
            </w:tcBorders>
          </w:tcPr>
          <w:p>
            <w:pPr>
              <w:spacing w:after="0"/>
              <w:rPr>
                <w:sz w:val="24"/>
                <w:szCs w:val="24"/>
                <w:color w:val="auto"/>
              </w:rPr>
            </w:pPr>
          </w:p>
        </w:tc>
        <w:tc>
          <w:tcPr>
            <w:tcW w:w="2020" w:type="dxa"/>
            <w:vAlign w:val="bottom"/>
            <w:tcBorders>
              <w:bottom w:val="single" w:sz="8" w:color="454546"/>
            </w:tcBorders>
            <w:gridSpan w:val="4"/>
          </w:tcPr>
          <w:p>
            <w:pPr>
              <w:jc w:val="right"/>
              <w:ind w:right="223"/>
              <w:spacing w:after="0"/>
              <w:rPr>
                <w:sz w:val="20"/>
                <w:szCs w:val="20"/>
                <w:color w:val="auto"/>
              </w:rPr>
            </w:pPr>
            <w:r>
              <w:rPr>
                <w:rFonts w:ascii="Times New Roman" w:cs="Times New Roman" w:eastAsia="Times New Roman" w:hAnsi="Times New Roman"/>
                <w:sz w:val="16"/>
                <w:szCs w:val="16"/>
                <w:b w:val="1"/>
                <w:bCs w:val="1"/>
                <w:color w:val="454546"/>
              </w:rPr>
              <w:t>As of January 31, 2023</w:t>
            </w:r>
          </w:p>
        </w:tc>
        <w:tc>
          <w:tcPr>
            <w:tcW w:w="220" w:type="dxa"/>
            <w:vAlign w:val="bottom"/>
            <w:tcBorders>
              <w:bottom w:val="single" w:sz="8" w:color="454546"/>
            </w:tcBorders>
          </w:tcPr>
          <w:p>
            <w:pPr>
              <w:spacing w:after="0"/>
              <w:rPr>
                <w:sz w:val="24"/>
                <w:szCs w:val="24"/>
                <w:color w:val="auto"/>
              </w:rPr>
            </w:pPr>
          </w:p>
        </w:tc>
        <w:tc>
          <w:tcPr>
            <w:tcW w:w="160" w:type="dxa"/>
            <w:vAlign w:val="bottom"/>
            <w:tcBorders>
              <w:bottom w:val="single" w:sz="8" w:color="454546"/>
            </w:tcBorders>
          </w:tcPr>
          <w:p>
            <w:pPr>
              <w:spacing w:after="0"/>
              <w:rPr>
                <w:sz w:val="24"/>
                <w:szCs w:val="24"/>
                <w:color w:val="auto"/>
              </w:rPr>
            </w:pPr>
          </w:p>
        </w:tc>
        <w:tc>
          <w:tcPr>
            <w:tcW w:w="820" w:type="dxa"/>
            <w:vAlign w:val="bottom"/>
            <w:tcBorders>
              <w:bottom w:val="single" w:sz="8" w:color="454546"/>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03"/>
              <w:spacing w:after="0" w:line="174" w:lineRule="exact"/>
              <w:rPr>
                <w:sz w:val="20"/>
                <w:szCs w:val="20"/>
                <w:color w:val="auto"/>
              </w:rPr>
            </w:pPr>
            <w:r>
              <w:rPr>
                <w:rFonts w:ascii="Times New Roman" w:cs="Times New Roman" w:eastAsia="Times New Roman" w:hAnsi="Times New Roman"/>
                <w:sz w:val="16"/>
                <w:szCs w:val="16"/>
                <w:b w:val="1"/>
                <w:bCs w:val="1"/>
                <w:color w:val="454546"/>
              </w:rPr>
              <w:t>Total</w:t>
            </w:r>
          </w:p>
        </w:tc>
        <w:tc>
          <w:tcPr>
            <w:tcW w:w="22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167"/>
              <w:spacing w:after="0" w:line="174" w:lineRule="exact"/>
              <w:rPr>
                <w:sz w:val="20"/>
                <w:szCs w:val="20"/>
                <w:color w:val="auto"/>
              </w:rPr>
            </w:pPr>
            <w:r>
              <w:rPr>
                <w:rFonts w:ascii="Times New Roman" w:cs="Times New Roman" w:eastAsia="Times New Roman" w:hAnsi="Times New Roman"/>
                <w:sz w:val="16"/>
                <w:szCs w:val="16"/>
                <w:b w:val="1"/>
                <w:bCs w:val="1"/>
                <w:color w:val="454546"/>
              </w:rPr>
              <w:t>Level 1</w:t>
            </w:r>
          </w:p>
        </w:tc>
        <w:tc>
          <w:tcPr>
            <w:tcW w:w="200" w:type="dxa"/>
            <w:vAlign w:val="bottom"/>
          </w:tcPr>
          <w:p>
            <w:pPr>
              <w:spacing w:after="0"/>
              <w:rPr>
                <w:sz w:val="15"/>
                <w:szCs w:val="15"/>
                <w:color w:val="auto"/>
              </w:rPr>
            </w:pPr>
          </w:p>
        </w:tc>
        <w:tc>
          <w:tcPr>
            <w:tcW w:w="18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143"/>
              <w:spacing w:after="0" w:line="174" w:lineRule="exact"/>
              <w:rPr>
                <w:sz w:val="20"/>
                <w:szCs w:val="20"/>
                <w:color w:val="auto"/>
              </w:rPr>
            </w:pPr>
            <w:r>
              <w:rPr>
                <w:rFonts w:ascii="Times New Roman" w:cs="Times New Roman" w:eastAsia="Times New Roman" w:hAnsi="Times New Roman"/>
                <w:sz w:val="16"/>
                <w:szCs w:val="16"/>
                <w:b w:val="1"/>
                <w:bCs w:val="1"/>
                <w:color w:val="454546"/>
              </w:rPr>
              <w:t>Level 2</w:t>
            </w:r>
          </w:p>
        </w:tc>
        <w:tc>
          <w:tcPr>
            <w:tcW w:w="220" w:type="dxa"/>
            <w:vAlign w:val="bottom"/>
          </w:tcPr>
          <w:p>
            <w:pPr>
              <w:spacing w:after="0"/>
              <w:rPr>
                <w:sz w:val="15"/>
                <w:szCs w:val="15"/>
                <w:color w:val="auto"/>
              </w:rPr>
            </w:pPr>
          </w:p>
        </w:tc>
        <w:tc>
          <w:tcPr>
            <w:tcW w:w="16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454546"/>
              </w:rPr>
              <w:t>Level 3</w:t>
            </w:r>
          </w:p>
        </w:tc>
        <w:tc>
          <w:tcPr>
            <w:tcW w:w="100" w:type="dxa"/>
            <w:vAlign w:val="bottom"/>
          </w:tcPr>
          <w:p>
            <w:pPr>
              <w:spacing w:after="0"/>
              <w:rPr>
                <w:sz w:val="15"/>
                <w:szCs w:val="15"/>
                <w:color w:val="auto"/>
              </w:rPr>
            </w:pPr>
          </w:p>
        </w:tc>
      </w:tr>
      <w:tr>
        <w:trPr>
          <w:trHeight w:val="174"/>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7"/>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200" w:type="dxa"/>
            <w:vAlign w:val="bottom"/>
            <w:gridSpan w:val="3"/>
          </w:tcPr>
          <w:p>
            <w:pPr>
              <w:jc w:val="right"/>
              <w:ind w:right="523"/>
              <w:spacing w:after="0" w:line="174" w:lineRule="exact"/>
              <w:rPr>
                <w:sz w:val="20"/>
                <w:szCs w:val="20"/>
                <w:color w:val="auto"/>
              </w:rPr>
            </w:pPr>
            <w:r>
              <w:rPr>
                <w:rFonts w:ascii="Times New Roman" w:cs="Times New Roman" w:eastAsia="Times New Roman" w:hAnsi="Times New Roman"/>
                <w:sz w:val="16"/>
                <w:szCs w:val="16"/>
                <w:b w:val="1"/>
                <w:bCs w:val="1"/>
                <w:color w:val="454546"/>
                <w:w w:val="74"/>
              </w:rPr>
              <w:t>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Money market funds</w:t>
            </w:r>
          </w:p>
        </w:tc>
        <w:tc>
          <w:tcPr>
            <w:tcW w:w="3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7,872</w:t>
            </w:r>
          </w:p>
        </w:tc>
        <w:tc>
          <w:tcPr>
            <w:tcW w:w="4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7,872</w:t>
            </w:r>
          </w:p>
        </w:tc>
        <w:tc>
          <w:tcPr>
            <w:tcW w:w="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3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454546"/>
              </w:rPr>
              <w:t>Commercial paper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18,333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Corporate bonds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23,298</w:t>
            </w:r>
          </w:p>
        </w:tc>
        <w:tc>
          <w:tcPr>
            <w:tcW w:w="22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23,298</w:t>
            </w:r>
          </w:p>
        </w:tc>
        <w:tc>
          <w:tcPr>
            <w:tcW w:w="22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454546"/>
              </w:rPr>
              <w:t>Asset-backed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18,648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18,648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50"/>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government securities</w:t>
            </w:r>
          </w:p>
        </w:tc>
        <w:tc>
          <w:tcPr>
            <w:tcW w:w="1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33,043</w:t>
            </w:r>
          </w:p>
        </w:tc>
        <w:tc>
          <w:tcPr>
            <w:tcW w:w="22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33,043</w:t>
            </w:r>
          </w:p>
        </w:tc>
        <w:tc>
          <w:tcPr>
            <w:tcW w:w="2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920" w:type="dxa"/>
            <w:vAlign w:val="bottom"/>
            <w:gridSpan w:val="2"/>
            <w:shd w:val="clear" w:color="auto" w:fill="E5E6E7"/>
          </w:tcPr>
          <w:p>
            <w:pPr>
              <w:ind w:left="620"/>
              <w:spacing w:after="0"/>
              <w:rPr>
                <w:sz w:val="20"/>
                <w:szCs w:val="20"/>
                <w:color w:val="auto"/>
              </w:rPr>
            </w:pPr>
            <w:r>
              <w:rPr>
                <w:rFonts w:ascii="Times New Roman" w:cs="Times New Roman" w:eastAsia="Times New Roman" w:hAnsi="Times New Roman"/>
                <w:sz w:val="20"/>
                <w:szCs w:val="20"/>
                <w:color w:val="454546"/>
              </w:rPr>
              <w:t>—</w:t>
            </w:r>
          </w:p>
        </w:tc>
      </w:tr>
      <w:tr>
        <w:trPr>
          <w:trHeight w:val="200"/>
        </w:trPr>
        <w:tc>
          <w:tcPr>
            <w:tcW w:w="4900" w:type="dxa"/>
            <w:vAlign w:val="bottom"/>
            <w:tcBorders>
              <w:top w:val="single" w:sz="8" w:color="E5E6E7"/>
            </w:tcBorders>
          </w:tcPr>
          <w:p>
            <w:pPr>
              <w:ind w:left="200"/>
              <w:spacing w:after="0" w:line="200" w:lineRule="exact"/>
              <w:rPr>
                <w:sz w:val="20"/>
                <w:szCs w:val="20"/>
                <w:color w:val="auto"/>
              </w:rPr>
            </w:pPr>
            <w:r>
              <w:rPr>
                <w:rFonts w:ascii="Times New Roman" w:cs="Times New Roman" w:eastAsia="Times New Roman" w:hAnsi="Times New Roman"/>
                <w:sz w:val="20"/>
                <w:szCs w:val="20"/>
                <w:color w:val="454546"/>
              </w:rPr>
              <w:t>Total cash equivalents and marketable debt securities</w:t>
            </w:r>
          </w:p>
        </w:tc>
        <w:tc>
          <w:tcPr>
            <w:tcW w:w="120" w:type="dxa"/>
            <w:vAlign w:val="bottom"/>
            <w:tcBorders>
              <w:top w:val="single" w:sz="8" w:color="E5E6E7"/>
            </w:tcBorders>
          </w:tcPr>
          <w:p>
            <w:pPr>
              <w:spacing w:after="0"/>
              <w:rPr>
                <w:sz w:val="17"/>
                <w:szCs w:val="17"/>
                <w:color w:val="auto"/>
              </w:rPr>
            </w:pPr>
          </w:p>
        </w:tc>
        <w:tc>
          <w:tcPr>
            <w:tcW w:w="20" w:type="dxa"/>
            <w:vAlign w:val="bottom"/>
            <w:tcBorders>
              <w:top w:val="single" w:sz="8" w:color="E5E6E7"/>
            </w:tcBorders>
          </w:tcPr>
          <w:p>
            <w:pPr>
              <w:spacing w:after="0"/>
              <w:rPr>
                <w:sz w:val="17"/>
                <w:szCs w:val="17"/>
                <w:color w:val="auto"/>
              </w:rPr>
            </w:pPr>
          </w:p>
        </w:tc>
        <w:tc>
          <w:tcPr>
            <w:tcW w:w="180" w:type="dxa"/>
            <w:vAlign w:val="bottom"/>
            <w:tcBorders>
              <w:top w:val="single" w:sz="8" w:color="454546"/>
              <w:bottom w:val="single" w:sz="8" w:color="454546"/>
            </w:tcBorders>
          </w:tcPr>
          <w:p>
            <w:pPr>
              <w:jc w:val="right"/>
              <w:ind w:right="15"/>
              <w:spacing w:after="0"/>
              <w:rPr>
                <w:sz w:val="20"/>
                <w:szCs w:val="20"/>
                <w:color w:val="auto"/>
              </w:rPr>
            </w:pPr>
            <w:r>
              <w:rPr>
                <w:rFonts w:ascii="Times New Roman" w:cs="Times New Roman" w:eastAsia="Times New Roman" w:hAnsi="Times New Roman"/>
                <w:sz w:val="17"/>
                <w:szCs w:val="17"/>
                <w:color w:val="454546"/>
                <w:w w:val="70"/>
              </w:rPr>
              <w:t>$</w:t>
            </w:r>
          </w:p>
        </w:tc>
        <w:tc>
          <w:tcPr>
            <w:tcW w:w="78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101,194</w:t>
            </w:r>
          </w:p>
        </w:tc>
        <w:tc>
          <w:tcPr>
            <w:tcW w:w="220" w:type="dxa"/>
            <w:vAlign w:val="bottom"/>
            <w:tcBorders>
              <w:top w:val="single" w:sz="8" w:color="E5E6E7"/>
            </w:tcBorders>
          </w:tcPr>
          <w:p>
            <w:pPr>
              <w:spacing w:after="0"/>
              <w:rPr>
                <w:sz w:val="17"/>
                <w:szCs w:val="17"/>
                <w:color w:val="auto"/>
              </w:rPr>
            </w:pPr>
          </w:p>
        </w:tc>
        <w:tc>
          <w:tcPr>
            <w:tcW w:w="18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7,872</w:t>
            </w:r>
          </w:p>
        </w:tc>
        <w:tc>
          <w:tcPr>
            <w:tcW w:w="200" w:type="dxa"/>
            <w:vAlign w:val="bottom"/>
            <w:tcBorders>
              <w:top w:val="single" w:sz="8" w:color="E5E6E7"/>
            </w:tcBorders>
          </w:tcPr>
          <w:p>
            <w:pPr>
              <w:spacing w:after="0"/>
              <w:rPr>
                <w:sz w:val="17"/>
                <w:szCs w:val="17"/>
                <w:color w:val="auto"/>
              </w:rPr>
            </w:pPr>
          </w:p>
        </w:tc>
        <w:tc>
          <w:tcPr>
            <w:tcW w:w="18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93,322</w:t>
            </w:r>
          </w:p>
        </w:tc>
        <w:tc>
          <w:tcPr>
            <w:tcW w:w="220" w:type="dxa"/>
            <w:vAlign w:val="bottom"/>
            <w:tcBorders>
              <w:top w:val="single" w:sz="8" w:color="E5E6E7"/>
            </w:tcBorders>
          </w:tcPr>
          <w:p>
            <w:pPr>
              <w:spacing w:after="0"/>
              <w:rPr>
                <w:sz w:val="17"/>
                <w:szCs w:val="17"/>
                <w:color w:val="auto"/>
              </w:rPr>
            </w:pPr>
          </w:p>
        </w:tc>
        <w:tc>
          <w:tcPr>
            <w:tcW w:w="160" w:type="dxa"/>
            <w:vAlign w:val="bottom"/>
            <w:tcBorders>
              <w:top w:val="single" w:sz="8" w:color="454546"/>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ind w:left="620"/>
              <w:spacing w:after="0" w:line="200" w:lineRule="exact"/>
              <w:rPr>
                <w:sz w:val="20"/>
                <w:szCs w:val="20"/>
                <w:color w:val="auto"/>
              </w:rPr>
            </w:pPr>
            <w:r>
              <w:rPr>
                <w:rFonts w:ascii="Times New Roman" w:cs="Times New Roman" w:eastAsia="Times New Roman" w:hAnsi="Times New Roman"/>
                <w:sz w:val="20"/>
                <w:szCs w:val="20"/>
                <w:color w:val="454546"/>
                <w:w w:val="89"/>
              </w:rPr>
              <w:t>—</w:t>
            </w:r>
          </w:p>
        </w:tc>
        <w:tc>
          <w:tcPr>
            <w:tcW w:w="100" w:type="dxa"/>
            <w:vAlign w:val="bottom"/>
            <w:tcBorders>
              <w:top w:val="single" w:sz="8" w:color="E5E6E7"/>
            </w:tcBorders>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454546"/>
        </w:rPr>
        <w:t>In addition to the available-for-sale securities, the Company also has fixed deposit accounts that are classified as cash equivalents. As of January 31, 2024, the total fair value of $7.0 million with fixed deposit accounts was considered to be equal to their book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4. Inventories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Inventories at January 31, 2024 and 2023 consisted of the following:</w:t>
      </w:r>
    </w:p>
    <w:p>
      <w:pPr>
        <w:spacing w:after="0" w:line="23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6"/>
          <w:szCs w:val="16"/>
          <w:b w:val="1"/>
          <w:bCs w:val="1"/>
          <w:color w:val="454546"/>
        </w:rPr>
        <w:t>As of January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4314825</wp:posOffset>
                </wp:positionH>
                <wp:positionV relativeFrom="paragraph">
                  <wp:posOffset>15240</wp:posOffset>
                </wp:positionV>
                <wp:extent cx="14693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9390"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75pt,1.2pt" to="455.45pt,1.2pt" o:allowincell="f" strokecolor="#454546" strokeweight="0.5pt"/>
            </w:pict>
          </mc:Fallback>
        </mc:AlternateContent>
      </w:r>
    </w:p>
    <w:p>
      <w:pPr>
        <w:spacing w:after="0" w:line="16" w:lineRule="exact"/>
        <w:rPr>
          <w:sz w:val="20"/>
          <w:szCs w:val="20"/>
          <w:color w:val="auto"/>
        </w:rPr>
      </w:pPr>
    </w:p>
    <w:p>
      <w:pPr>
        <w:ind w:left="7160"/>
        <w:spacing w:after="0"/>
        <w:tabs>
          <w:tab w:leader="none" w:pos="8400" w:val="left"/>
        </w:tabs>
        <w:rPr>
          <w:sz w:val="20"/>
          <w:szCs w:val="20"/>
          <w:color w:val="auto"/>
        </w:rPr>
      </w:pPr>
      <w:r>
        <w:rPr>
          <w:rFonts w:ascii="Times New Roman" w:cs="Times New Roman" w:eastAsia="Times New Roman" w:hAnsi="Times New Roman"/>
          <w:sz w:val="16"/>
          <w:szCs w:val="16"/>
          <w:b w:val="1"/>
          <w:bCs w:val="1"/>
          <w:color w:val="454546"/>
        </w:rPr>
        <w:t>2024</w:t>
      </w:r>
      <w:r>
        <w:rPr>
          <w:sz w:val="20"/>
          <w:szCs w:val="20"/>
          <w:color w:val="auto"/>
        </w:rPr>
        <w:tab/>
      </w:r>
      <w:r>
        <w:rPr>
          <w:rFonts w:ascii="Times New Roman" w:cs="Times New Roman" w:eastAsia="Times New Roman" w:hAnsi="Times New Roman"/>
          <w:sz w:val="16"/>
          <w:szCs w:val="16"/>
          <w:b w:val="1"/>
          <w:bCs w:val="1"/>
          <w:color w:val="454546"/>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4314825</wp:posOffset>
                </wp:positionH>
                <wp:positionV relativeFrom="paragraph">
                  <wp:posOffset>-635</wp:posOffset>
                </wp:positionV>
                <wp:extent cx="67500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005"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75pt,-0.0499pt" to="392.9pt,-0.0499pt" o:allowincell="f" strokecolor="#454546" strokeweight="0.5pt"/>
            </w:pict>
          </mc:Fallback>
        </mc:AlternateContent>
        <mc:AlternateContent>
          <mc:Choice Requires="wps">
            <w:drawing>
              <wp:anchor simplePos="0" relativeHeight="251657728" behindDoc="1" locked="0" layoutInCell="0" allowOverlap="1">
                <wp:simplePos x="0" y="0"/>
                <wp:positionH relativeFrom="column">
                  <wp:posOffset>5108575</wp:posOffset>
                </wp:positionH>
                <wp:positionV relativeFrom="paragraph">
                  <wp:posOffset>-635</wp:posOffset>
                </wp:positionV>
                <wp:extent cx="6756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25pt,-0.0499pt" to="455.45pt,-0.0499pt" o:allowincell="f" strokecolor="#454546" strokeweight="0.5pt"/>
            </w:pict>
          </mc:Fallback>
        </mc:AlternateContent>
      </w:r>
    </w:p>
    <w:p>
      <w:pPr>
        <w:ind w:left="7460"/>
        <w:spacing w:after="0"/>
        <w:rPr>
          <w:sz w:val="20"/>
          <w:szCs w:val="20"/>
          <w:color w:val="auto"/>
        </w:rPr>
      </w:pPr>
      <w:r>
        <w:rPr>
          <w:rFonts w:ascii="Times New Roman" w:cs="Times New Roman" w:eastAsia="Times New Roman" w:hAnsi="Times New Roman"/>
          <w:sz w:val="16"/>
          <w:szCs w:val="16"/>
          <w:b w:val="1"/>
          <w:bCs w:val="1"/>
          <w:color w:val="454546"/>
        </w:rPr>
        <w:t>(in thousands)</w:t>
      </w:r>
    </w:p>
    <w:tbl>
      <w:tblPr>
        <w:tblLayout w:type="fixed"/>
        <w:tblInd w:w="1620" w:type="dxa"/>
        <w:tblCellMar>
          <w:top w:w="0" w:type="dxa"/>
          <w:left w:w="0" w:type="dxa"/>
          <w:bottom w:w="0" w:type="dxa"/>
          <w:right w:w="0" w:type="dxa"/>
        </w:tblCellMar>
      </w:tblPr>
      <w:tr>
        <w:trPr>
          <w:trHeight w:val="230"/>
        </w:trPr>
        <w:tc>
          <w:tcPr>
            <w:tcW w:w="33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Work-in-progress</w:t>
            </w:r>
          </w:p>
        </w:tc>
        <w:tc>
          <w:tcPr>
            <w:tcW w:w="21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18,933</w:t>
            </w:r>
          </w:p>
        </w:tc>
        <w:tc>
          <w:tcPr>
            <w:tcW w:w="50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26,023</w:t>
            </w:r>
          </w:p>
        </w:tc>
        <w:tc>
          <w:tcPr>
            <w:tcW w:w="80" w:type="dxa"/>
            <w:vAlign w:val="bottom"/>
            <w:shd w:val="clear" w:color="auto" w:fill="E5E6E7"/>
          </w:tcPr>
          <w:p>
            <w:pPr>
              <w:spacing w:after="0"/>
              <w:rPr>
                <w:sz w:val="19"/>
                <w:szCs w:val="19"/>
                <w:color w:val="auto"/>
              </w:rPr>
            </w:pPr>
          </w:p>
        </w:tc>
      </w:tr>
      <w:tr>
        <w:trPr>
          <w:trHeight w:val="230"/>
        </w:trPr>
        <w:tc>
          <w:tcPr>
            <w:tcW w:w="33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Finished goods</w:t>
            </w:r>
          </w:p>
        </w:tc>
        <w:tc>
          <w:tcPr>
            <w:tcW w:w="1880" w:type="dxa"/>
            <w:vAlign w:val="bottom"/>
            <w:tcBorders>
              <w:bottom w:val="single" w:sz="8" w:color="E5E6E7"/>
            </w:tcBorders>
          </w:tcPr>
          <w:p>
            <w:pPr>
              <w:spacing w:after="0"/>
              <w:rPr>
                <w:sz w:val="19"/>
                <w:szCs w:val="19"/>
                <w:color w:val="auto"/>
              </w:rPr>
            </w:pPr>
          </w:p>
        </w:tc>
        <w:tc>
          <w:tcPr>
            <w:tcW w:w="300" w:type="dxa"/>
            <w:vAlign w:val="bottom"/>
            <w:tcBorders>
              <w:bottom w:val="single" w:sz="8" w:color="454546"/>
            </w:tcBorders>
          </w:tcPr>
          <w:p>
            <w:pPr>
              <w:spacing w:after="0"/>
              <w:rPr>
                <w:sz w:val="19"/>
                <w:szCs w:val="19"/>
                <w:color w:val="auto"/>
              </w:rPr>
            </w:pPr>
          </w:p>
        </w:tc>
        <w:tc>
          <w:tcPr>
            <w:tcW w:w="7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10,110</w:t>
            </w:r>
          </w:p>
        </w:tc>
        <w:tc>
          <w:tcPr>
            <w:tcW w:w="180" w:type="dxa"/>
            <w:vAlign w:val="bottom"/>
            <w:tcBorders>
              <w:bottom w:val="single" w:sz="8" w:color="E5E6E7"/>
            </w:tcBorders>
          </w:tcPr>
          <w:p>
            <w:pPr>
              <w:spacing w:after="0"/>
              <w:rPr>
                <w:sz w:val="19"/>
                <w:szCs w:val="19"/>
                <w:color w:val="auto"/>
              </w:rPr>
            </w:pPr>
          </w:p>
        </w:tc>
        <w:tc>
          <w:tcPr>
            <w:tcW w:w="320" w:type="dxa"/>
            <w:vAlign w:val="bottom"/>
            <w:tcBorders>
              <w:bottom w:val="single" w:sz="8" w:color="454546"/>
            </w:tcBorders>
          </w:tcPr>
          <w:p>
            <w:pPr>
              <w:spacing w:after="0"/>
              <w:rPr>
                <w:sz w:val="19"/>
                <w:szCs w:val="19"/>
                <w:color w:val="auto"/>
              </w:rPr>
            </w:pPr>
          </w:p>
        </w:tc>
        <w:tc>
          <w:tcPr>
            <w:tcW w:w="7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14,463</w:t>
            </w:r>
          </w:p>
        </w:tc>
        <w:tc>
          <w:tcPr>
            <w:tcW w:w="80" w:type="dxa"/>
            <w:vAlign w:val="bottom"/>
            <w:tcBorders>
              <w:bottom w:val="single" w:sz="8" w:color="E5E6E7"/>
            </w:tcBorders>
          </w:tcPr>
          <w:p>
            <w:pPr>
              <w:spacing w:after="0"/>
              <w:rPr>
                <w:sz w:val="19"/>
                <w:szCs w:val="19"/>
                <w:color w:val="auto"/>
              </w:rPr>
            </w:pPr>
          </w:p>
        </w:tc>
      </w:tr>
      <w:tr>
        <w:trPr>
          <w:trHeight w:val="220"/>
        </w:trPr>
        <w:tc>
          <w:tcPr>
            <w:tcW w:w="330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w:t>
            </w:r>
          </w:p>
        </w:tc>
        <w:tc>
          <w:tcPr>
            <w:tcW w:w="1880" w:type="dxa"/>
            <w:vAlign w:val="bottom"/>
            <w:shd w:val="clear" w:color="auto" w:fill="E5E6E7"/>
          </w:tcPr>
          <w:p>
            <w:pPr>
              <w:spacing w:after="0"/>
              <w:rPr>
                <w:sz w:val="19"/>
                <w:szCs w:val="19"/>
                <w:color w:val="auto"/>
              </w:rPr>
            </w:pPr>
          </w:p>
        </w:tc>
        <w:tc>
          <w:tcPr>
            <w:tcW w:w="300" w:type="dxa"/>
            <w:vAlign w:val="bottom"/>
            <w:tcBorders>
              <w:bottom w:val="single" w:sz="8" w:color="454546"/>
            </w:tcBorders>
            <w:shd w:val="clear" w:color="auto" w:fill="E5E6E7"/>
          </w:tcPr>
          <w:p>
            <w:pPr>
              <w:jc w:val="right"/>
              <w:ind w:right="10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6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29,043</w:t>
            </w:r>
          </w:p>
        </w:tc>
        <w:tc>
          <w:tcPr>
            <w:tcW w:w="180" w:type="dxa"/>
            <w:vAlign w:val="bottom"/>
            <w:shd w:val="clear" w:color="auto" w:fill="E5E6E7"/>
          </w:tcPr>
          <w:p>
            <w:pPr>
              <w:spacing w:after="0"/>
              <w:rPr>
                <w:sz w:val="19"/>
                <w:szCs w:val="19"/>
                <w:color w:val="auto"/>
              </w:rPr>
            </w:pPr>
          </w:p>
        </w:tc>
        <w:tc>
          <w:tcPr>
            <w:tcW w:w="320" w:type="dxa"/>
            <w:vAlign w:val="bottom"/>
            <w:tcBorders>
              <w:bottom w:val="single" w:sz="8" w:color="454546"/>
            </w:tcBorders>
            <w:shd w:val="clear" w:color="auto" w:fill="E5E6E7"/>
          </w:tcPr>
          <w:p>
            <w:pPr>
              <w:jc w:val="right"/>
              <w:ind w:right="1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4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40,486</w:t>
            </w:r>
          </w:p>
        </w:tc>
        <w:tc>
          <w:tcPr>
            <w:tcW w:w="80" w:type="dxa"/>
            <w:vAlign w:val="bottom"/>
            <w:shd w:val="clear" w:color="auto" w:fill="E5E6E7"/>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454546"/>
            </w:tcBorders>
          </w:tcPr>
          <w:p>
            <w:pPr>
              <w:spacing w:after="0" w:line="20" w:lineRule="exact"/>
              <w:rPr>
                <w:sz w:val="1"/>
                <w:szCs w:val="1"/>
                <w:color w:val="auto"/>
              </w:rPr>
            </w:pPr>
          </w:p>
        </w:tc>
        <w:tc>
          <w:tcPr>
            <w:tcW w:w="76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5. Property and Equipment, net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Depreciation expense was approximately $4.8 million, $3.9 million and $2.8 million for the fiscal years ended January 31,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2023 and 2022, respectively. Property and equipment at January 31, 2024 and 2023 consisted of the following:</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454546"/>
              </w:rPr>
              <w:t>As of January 31,</w:t>
            </w:r>
          </w:p>
        </w:tc>
      </w:tr>
      <w:tr>
        <w:trPr>
          <w:trHeight w:val="174"/>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454546"/>
              <w:bottom w:val="single" w:sz="8" w:color="454546"/>
            </w:tcBorders>
          </w:tcPr>
          <w:p>
            <w:pPr>
              <w:spacing w:after="0"/>
              <w:rPr>
                <w:sz w:val="15"/>
                <w:szCs w:val="15"/>
                <w:color w:val="auto"/>
              </w:rPr>
            </w:pPr>
          </w:p>
        </w:tc>
        <w:tc>
          <w:tcPr>
            <w:tcW w:w="820" w:type="dxa"/>
            <w:vAlign w:val="bottom"/>
            <w:tcBorders>
              <w:top w:val="single" w:sz="8" w:color="454546"/>
              <w:bottom w:val="single" w:sz="8" w:color="454546"/>
            </w:tcBorders>
          </w:tcPr>
          <w:p>
            <w:pPr>
              <w:jc w:val="right"/>
              <w:ind w:right="285"/>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20" w:type="dxa"/>
            <w:vAlign w:val="bottom"/>
            <w:tcBorders>
              <w:top w:val="single" w:sz="8" w:color="454546"/>
            </w:tcBorders>
          </w:tcPr>
          <w:p>
            <w:pPr>
              <w:spacing w:after="0"/>
              <w:rPr>
                <w:sz w:val="15"/>
                <w:szCs w:val="15"/>
                <w:color w:val="auto"/>
              </w:rPr>
            </w:pPr>
          </w:p>
        </w:tc>
        <w:tc>
          <w:tcPr>
            <w:tcW w:w="60" w:type="dxa"/>
            <w:vAlign w:val="bottom"/>
            <w:tcBorders>
              <w:top w:val="single" w:sz="8" w:color="454546"/>
            </w:tcBorders>
          </w:tcPr>
          <w:p>
            <w:pPr>
              <w:spacing w:after="0"/>
              <w:rPr>
                <w:sz w:val="15"/>
                <w:szCs w:val="15"/>
                <w:color w:val="auto"/>
              </w:rPr>
            </w:pPr>
          </w:p>
        </w:tc>
        <w:tc>
          <w:tcPr>
            <w:tcW w:w="240" w:type="dxa"/>
            <w:vAlign w:val="bottom"/>
            <w:tcBorders>
              <w:top w:val="single" w:sz="8" w:color="454546"/>
              <w:bottom w:val="single" w:sz="8" w:color="454546"/>
            </w:tcBorders>
          </w:tcPr>
          <w:p>
            <w:pPr>
              <w:spacing w:after="0"/>
              <w:rPr>
                <w:sz w:val="15"/>
                <w:szCs w:val="15"/>
                <w:color w:val="auto"/>
              </w:rPr>
            </w:pPr>
          </w:p>
        </w:tc>
        <w:tc>
          <w:tcPr>
            <w:tcW w:w="820" w:type="dxa"/>
            <w:vAlign w:val="bottom"/>
            <w:tcBorders>
              <w:top w:val="single" w:sz="8" w:color="454546"/>
              <w:bottom w:val="single" w:sz="8" w:color="454546"/>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80" w:type="dxa"/>
            <w:vAlign w:val="bottom"/>
          </w:tcPr>
          <w:p>
            <w:pPr>
              <w:spacing w:after="0"/>
              <w:rPr>
                <w:sz w:val="15"/>
                <w:szCs w:val="15"/>
                <w:color w:val="auto"/>
              </w:rPr>
            </w:pPr>
          </w:p>
        </w:tc>
      </w:tr>
      <w:tr>
        <w:trPr>
          <w:trHeight w:val="174"/>
        </w:trPr>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105"/>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240" w:type="dxa"/>
            <w:vAlign w:val="bottom"/>
            <w:gridSpan w:val="4"/>
          </w:tcPr>
          <w:p>
            <w:pPr>
              <w:jc w:val="right"/>
              <w:ind w:right="562"/>
              <w:spacing w:after="0" w:line="174" w:lineRule="exact"/>
              <w:rPr>
                <w:sz w:val="20"/>
                <w:szCs w:val="20"/>
                <w:color w:val="auto"/>
              </w:rPr>
            </w:pPr>
            <w:r>
              <w:rPr>
                <w:rFonts w:ascii="Times New Roman" w:cs="Times New Roman" w:eastAsia="Times New Roman" w:hAnsi="Times New Roman"/>
                <w:sz w:val="16"/>
                <w:szCs w:val="16"/>
                <w:b w:val="1"/>
                <w:bCs w:val="1"/>
                <w:color w:val="454546"/>
                <w:w w:val="74"/>
              </w:rPr>
              <w:t>thousands)</w:t>
            </w:r>
          </w:p>
        </w:tc>
        <w:tc>
          <w:tcPr>
            <w:tcW w:w="80" w:type="dxa"/>
            <w:vAlign w:val="bottom"/>
          </w:tcPr>
          <w:p>
            <w:pPr>
              <w:spacing w:after="0"/>
              <w:rPr>
                <w:sz w:val="15"/>
                <w:szCs w:val="15"/>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Computer hardware and software</w:t>
            </w:r>
          </w:p>
        </w:tc>
        <w:tc>
          <w:tcPr>
            <w:tcW w:w="240" w:type="dxa"/>
            <w:vAlign w:val="bottom"/>
            <w:gridSpan w:val="2"/>
            <w:shd w:val="clear" w:color="auto" w:fill="E5E6E7"/>
          </w:tcPr>
          <w:p>
            <w:pPr>
              <w:jc w:val="right"/>
              <w:ind w:right="55"/>
              <w:spacing w:after="0"/>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23,518</w:t>
            </w:r>
          </w:p>
        </w:tc>
        <w:tc>
          <w:tcPr>
            <w:tcW w:w="120" w:type="dxa"/>
            <w:vAlign w:val="bottom"/>
            <w:shd w:val="clear" w:color="auto" w:fill="E5E6E7"/>
          </w:tcPr>
          <w:p>
            <w:pPr>
              <w:spacing w:after="0"/>
              <w:rPr>
                <w:sz w:val="19"/>
                <w:szCs w:val="19"/>
                <w:color w:val="auto"/>
              </w:rPr>
            </w:pPr>
          </w:p>
        </w:tc>
        <w:tc>
          <w:tcPr>
            <w:tcW w:w="3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20,733</w:t>
            </w:r>
          </w:p>
        </w:tc>
        <w:tc>
          <w:tcPr>
            <w:tcW w:w="80" w:type="dxa"/>
            <w:vAlign w:val="bottom"/>
            <w:shd w:val="clear" w:color="auto" w:fill="E5E6E7"/>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454546"/>
              </w:rPr>
              <w:t>Tools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8,564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8,325</w:t>
            </w:r>
          </w:p>
        </w:tc>
        <w:tc>
          <w:tcPr>
            <w:tcW w:w="80" w:type="dxa"/>
            <w:vAlign w:val="bottom"/>
          </w:tcPr>
          <w:p>
            <w:pPr>
              <w:spacing w:after="0"/>
              <w:rPr>
                <w:sz w:val="19"/>
                <w:szCs w:val="19"/>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Furniture and fixtures</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1,351</w:t>
            </w:r>
          </w:p>
        </w:tc>
        <w:tc>
          <w:tcPr>
            <w:tcW w:w="1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1,311</w:t>
            </w:r>
          </w:p>
        </w:tc>
        <w:tc>
          <w:tcPr>
            <w:tcW w:w="80" w:type="dxa"/>
            <w:vAlign w:val="bottom"/>
            <w:shd w:val="clear" w:color="auto" w:fill="E5E6E7"/>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454546"/>
              </w:rPr>
              <w:t>Leasehold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3,440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3,295</w:t>
            </w:r>
          </w:p>
        </w:tc>
        <w:tc>
          <w:tcPr>
            <w:tcW w:w="80" w:type="dxa"/>
            <w:vAlign w:val="bottom"/>
          </w:tcPr>
          <w:p>
            <w:pPr>
              <w:spacing w:after="0"/>
              <w:rPr>
                <w:sz w:val="19"/>
                <w:szCs w:val="19"/>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Construction in progress</w:t>
            </w:r>
          </w:p>
        </w:tc>
        <w:tc>
          <w:tcPr>
            <w:tcW w:w="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166</w:t>
            </w:r>
          </w:p>
        </w:tc>
        <w:tc>
          <w:tcPr>
            <w:tcW w:w="12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2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513</w:t>
            </w:r>
          </w:p>
        </w:tc>
        <w:tc>
          <w:tcPr>
            <w:tcW w:w="80" w:type="dxa"/>
            <w:vAlign w:val="bottom"/>
            <w:shd w:val="clear" w:color="auto" w:fill="E5E6E7"/>
          </w:tcPr>
          <w:p>
            <w:pPr>
              <w:spacing w:after="0"/>
              <w:rPr>
                <w:sz w:val="19"/>
                <w:szCs w:val="19"/>
                <w:color w:val="auto"/>
              </w:rPr>
            </w:pPr>
          </w:p>
        </w:tc>
      </w:tr>
      <w:tr>
        <w:trPr>
          <w:trHeight w:val="220"/>
        </w:trPr>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37,039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454546"/>
              </w:rPr>
              <w:t>34,177</w:t>
            </w:r>
          </w:p>
        </w:tc>
        <w:tc>
          <w:tcPr>
            <w:tcW w:w="80" w:type="dxa"/>
            <w:vAlign w:val="bottom"/>
          </w:tcPr>
          <w:p>
            <w:pPr>
              <w:spacing w:after="0"/>
              <w:rPr>
                <w:sz w:val="19"/>
                <w:szCs w:val="19"/>
                <w:color w:val="auto"/>
              </w:rPr>
            </w:pPr>
          </w:p>
        </w:tc>
      </w:tr>
      <w:tr>
        <w:trPr>
          <w:trHeight w:val="230"/>
        </w:trPr>
        <w:tc>
          <w:tcPr>
            <w:tcW w:w="5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Less: accumulated depreciation and amortization</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(26,600)</w:t>
            </w: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(22,363)</w:t>
            </w:r>
          </w:p>
        </w:tc>
      </w:tr>
      <w:tr>
        <w:trPr>
          <w:trHeight w:val="220"/>
        </w:trPr>
        <w:tc>
          <w:tcPr>
            <w:tcW w:w="51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property and equipment, net</w:t>
            </w:r>
          </w:p>
        </w:tc>
        <w:tc>
          <w:tcPr>
            <w:tcW w:w="20" w:type="dxa"/>
            <w:vAlign w:val="bottom"/>
          </w:tcPr>
          <w:p>
            <w:pPr>
              <w:spacing w:after="0"/>
              <w:rPr>
                <w:sz w:val="19"/>
                <w:szCs w:val="19"/>
                <w:color w:val="auto"/>
              </w:rPr>
            </w:pPr>
          </w:p>
        </w:tc>
        <w:tc>
          <w:tcPr>
            <w:tcW w:w="220" w:type="dxa"/>
            <w:vAlign w:val="bottom"/>
            <w:tcBorders>
              <w:top w:val="single" w:sz="8" w:color="454546"/>
              <w:bottom w:val="single" w:sz="8" w:color="454546"/>
            </w:tcBorders>
          </w:tcPr>
          <w:p>
            <w:pPr>
              <w:jc w:val="right"/>
              <w:ind w:right="55"/>
              <w:spacing w:after="0"/>
              <w:rPr>
                <w:sz w:val="20"/>
                <w:szCs w:val="20"/>
                <w:color w:val="auto"/>
              </w:rPr>
            </w:pPr>
            <w:r>
              <w:rPr>
                <w:rFonts w:ascii="Times New Roman" w:cs="Times New Roman" w:eastAsia="Times New Roman" w:hAnsi="Times New Roman"/>
                <w:sz w:val="17"/>
                <w:szCs w:val="17"/>
                <w:color w:val="454546"/>
                <w:w w:val="70"/>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10,439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454546"/>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11,814</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90</w:t>
      </w:r>
    </w:p>
    <w:p>
      <w:pPr>
        <w:sectPr>
          <w:pgSz w:w="12240" w:h="15840" w:orient="portrait"/>
          <w:cols w:equalWidth="0" w:num="1">
            <w:col w:w="10800"/>
          </w:cols>
          <w:pgMar w:left="720" w:top="976" w:right="720" w:bottom="175"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454546"/>
        </w:rPr>
        <w:t>6. Intangible Assets, net</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454546"/>
        </w:rPr>
        <w:t>Intangible assets primarily consist of software licenses as well as developed technology, customer relationships and trade name that were acquired from business combinations. In fiscal year 2022, the Company determined that the underlying project incorporating IPR&amp;D from the prior acquisition of VisLab S.r.l., or VisLab, was completed. As a result, the $4.1 million of IPR&amp;D was reclassified as definite-lived developed technology and started amortization over its estimated economic life of 7 years.</w:t>
      </w:r>
    </w:p>
    <w:p>
      <w:pPr>
        <w:spacing w:after="0" w:line="7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January 31, 2024, $ 8.2 million was recorded in accrued and other current liabilities and $8.3 million was recorded in other long-term liabilities in the consolidated balance sheets.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components of intangible assets as of January 31, 2024 and 2023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7"/>
          </w:tcPr>
          <w:p>
            <w:pPr>
              <w:jc w:val="right"/>
              <w:ind w:right="629"/>
              <w:spacing w:after="0"/>
              <w:rPr>
                <w:sz w:val="20"/>
                <w:szCs w:val="20"/>
                <w:color w:val="auto"/>
              </w:rPr>
            </w:pPr>
            <w:r>
              <w:rPr>
                <w:rFonts w:ascii="Times New Roman" w:cs="Times New Roman" w:eastAsia="Times New Roman" w:hAnsi="Times New Roman"/>
                <w:sz w:val="16"/>
                <w:szCs w:val="16"/>
                <w:b w:val="1"/>
                <w:bCs w:val="1"/>
                <w:color w:val="454546"/>
              </w:rPr>
              <w:t>As of January 31, 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8"/>
          </w:tcPr>
          <w:p>
            <w:pPr>
              <w:ind w:left="620"/>
              <w:spacing w:after="0"/>
              <w:rPr>
                <w:sz w:val="20"/>
                <w:szCs w:val="20"/>
                <w:color w:val="auto"/>
              </w:rPr>
            </w:pPr>
            <w:r>
              <w:rPr>
                <w:rFonts w:ascii="Times New Roman" w:cs="Times New Roman" w:eastAsia="Times New Roman" w:hAnsi="Times New Roman"/>
                <w:sz w:val="16"/>
                <w:szCs w:val="16"/>
                <w:b w:val="1"/>
                <w:bCs w:val="1"/>
                <w:color w:val="454546"/>
              </w:rPr>
              <w:t>As of January 31, 2023</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00" w:type="dxa"/>
            <w:vAlign w:val="bottom"/>
            <w:tcBorders>
              <w:top w:val="single" w:sz="8" w:color="454546"/>
            </w:tcBorders>
          </w:tcPr>
          <w:p>
            <w:pPr>
              <w:spacing w:after="0"/>
              <w:rPr>
                <w:sz w:val="13"/>
                <w:szCs w:val="13"/>
                <w:color w:val="auto"/>
              </w:rPr>
            </w:pPr>
          </w:p>
        </w:tc>
        <w:tc>
          <w:tcPr>
            <w:tcW w:w="740" w:type="dxa"/>
            <w:vAlign w:val="bottom"/>
            <w:tcBorders>
              <w:top w:val="single" w:sz="8" w:color="454546"/>
            </w:tcBorders>
          </w:tcPr>
          <w:p>
            <w:pPr>
              <w:jc w:val="center"/>
              <w:ind w:right="9"/>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Gross</w:t>
            </w:r>
          </w:p>
        </w:tc>
        <w:tc>
          <w:tcPr>
            <w:tcW w:w="200" w:type="dxa"/>
            <w:vAlign w:val="bottom"/>
            <w:tcBorders>
              <w:top w:val="single" w:sz="8" w:color="454546"/>
            </w:tcBorders>
          </w:tcPr>
          <w:p>
            <w:pPr>
              <w:spacing w:after="0"/>
              <w:rPr>
                <w:sz w:val="13"/>
                <w:szCs w:val="13"/>
                <w:color w:val="auto"/>
              </w:rPr>
            </w:pPr>
          </w:p>
        </w:tc>
        <w:tc>
          <w:tcPr>
            <w:tcW w:w="1120" w:type="dxa"/>
            <w:vAlign w:val="bottom"/>
            <w:tcBorders>
              <w:top w:val="single" w:sz="8" w:color="454546"/>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Accumulated</w:t>
            </w:r>
          </w:p>
        </w:tc>
        <w:tc>
          <w:tcPr>
            <w:tcW w:w="100" w:type="dxa"/>
            <w:vAlign w:val="bottom"/>
            <w:tcBorders>
              <w:top w:val="single" w:sz="8" w:color="454546"/>
            </w:tcBorders>
          </w:tcPr>
          <w:p>
            <w:pPr>
              <w:spacing w:after="0"/>
              <w:rPr>
                <w:sz w:val="13"/>
                <w:szCs w:val="13"/>
                <w:color w:val="auto"/>
              </w:rPr>
            </w:pPr>
          </w:p>
        </w:tc>
        <w:tc>
          <w:tcPr>
            <w:tcW w:w="740" w:type="dxa"/>
            <w:vAlign w:val="bottom"/>
            <w:tcBorders>
              <w:top w:val="single" w:sz="8" w:color="454546"/>
            </w:tcBorders>
          </w:tcPr>
          <w:p>
            <w:pPr>
              <w:jc w:val="center"/>
              <w:ind w:right="9"/>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Net</w:t>
            </w:r>
          </w:p>
        </w:tc>
        <w:tc>
          <w:tcPr>
            <w:tcW w:w="220" w:type="dxa"/>
            <w:vAlign w:val="bottom"/>
          </w:tcPr>
          <w:p>
            <w:pPr>
              <w:spacing w:after="0"/>
              <w:rPr>
                <w:sz w:val="13"/>
                <w:szCs w:val="13"/>
                <w:color w:val="auto"/>
              </w:rPr>
            </w:pPr>
          </w:p>
        </w:tc>
        <w:tc>
          <w:tcPr>
            <w:tcW w:w="100" w:type="dxa"/>
            <w:vAlign w:val="bottom"/>
            <w:tcBorders>
              <w:top w:val="single" w:sz="8" w:color="454546"/>
            </w:tcBorders>
          </w:tcPr>
          <w:p>
            <w:pPr>
              <w:spacing w:after="0"/>
              <w:rPr>
                <w:sz w:val="13"/>
                <w:szCs w:val="13"/>
                <w:color w:val="auto"/>
              </w:rPr>
            </w:pPr>
          </w:p>
        </w:tc>
        <w:tc>
          <w:tcPr>
            <w:tcW w:w="740" w:type="dxa"/>
            <w:vAlign w:val="bottom"/>
            <w:tcBorders>
              <w:top w:val="single" w:sz="8" w:color="454546"/>
            </w:tcBorders>
          </w:tcPr>
          <w:p>
            <w:pPr>
              <w:jc w:val="center"/>
              <w:ind w:right="9"/>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Gross</w:t>
            </w:r>
          </w:p>
        </w:tc>
        <w:tc>
          <w:tcPr>
            <w:tcW w:w="200" w:type="dxa"/>
            <w:vAlign w:val="bottom"/>
            <w:tcBorders>
              <w:top w:val="single" w:sz="8" w:color="454546"/>
            </w:tcBorders>
          </w:tcPr>
          <w:p>
            <w:pPr>
              <w:spacing w:after="0"/>
              <w:rPr>
                <w:sz w:val="13"/>
                <w:szCs w:val="13"/>
                <w:color w:val="auto"/>
              </w:rPr>
            </w:pPr>
          </w:p>
        </w:tc>
        <w:tc>
          <w:tcPr>
            <w:tcW w:w="1120" w:type="dxa"/>
            <w:vAlign w:val="bottom"/>
            <w:tcBorders>
              <w:top w:val="single" w:sz="8" w:color="454546"/>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454546"/>
              </w:rPr>
              <w:t>Accumulated</w:t>
            </w:r>
          </w:p>
        </w:tc>
        <w:tc>
          <w:tcPr>
            <w:tcW w:w="120" w:type="dxa"/>
            <w:vAlign w:val="bottom"/>
            <w:tcBorders>
              <w:top w:val="single" w:sz="8" w:color="454546"/>
            </w:tcBorders>
          </w:tcPr>
          <w:p>
            <w:pPr>
              <w:spacing w:after="0"/>
              <w:rPr>
                <w:sz w:val="13"/>
                <w:szCs w:val="13"/>
                <w:color w:val="auto"/>
              </w:rPr>
            </w:pPr>
          </w:p>
        </w:tc>
        <w:tc>
          <w:tcPr>
            <w:tcW w:w="740" w:type="dxa"/>
            <w:vAlign w:val="bottom"/>
            <w:tcBorders>
              <w:top w:val="single" w:sz="8" w:color="454546"/>
            </w:tcBorders>
          </w:tcPr>
          <w:p>
            <w:pPr>
              <w:jc w:val="center"/>
              <w:ind w:right="8"/>
              <w:spacing w:after="0" w:line="155" w:lineRule="exact"/>
              <w:rPr>
                <w:sz w:val="20"/>
                <w:szCs w:val="20"/>
                <w:color w:val="auto"/>
              </w:rPr>
            </w:pPr>
            <w:r>
              <w:rPr>
                <w:rFonts w:ascii="Times New Roman" w:cs="Times New Roman" w:eastAsia="Times New Roman" w:hAnsi="Times New Roman"/>
                <w:sz w:val="16"/>
                <w:szCs w:val="16"/>
                <w:b w:val="1"/>
                <w:bCs w:val="1"/>
                <w:color w:val="454546"/>
                <w:w w:val="99"/>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454546"/>
                <w:w w:val="98"/>
              </w:rPr>
              <w:t>Carrying</w:t>
            </w:r>
          </w:p>
        </w:tc>
        <w:tc>
          <w:tcPr>
            <w:tcW w:w="2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454546"/>
              </w:rPr>
              <w:t>Carrying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454546"/>
              </w:rPr>
              <w:t>Carrying</w:t>
            </w:r>
          </w:p>
        </w:tc>
        <w:tc>
          <w:tcPr>
            <w:tcW w:w="2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8"/>
              </w:rPr>
              <w:t>Carrying</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454546"/>
                <w:w w:val="98"/>
              </w:rPr>
              <w:t>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454546"/>
                <w:w w:val="99"/>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454546"/>
                <w:w w:val="99"/>
              </w:rPr>
              <w:t>Amount</w:t>
            </w:r>
          </w:p>
        </w:tc>
        <w:tc>
          <w:tcPr>
            <w:tcW w:w="20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454546"/>
              </w:rPr>
              <w:t>Amortization</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454546"/>
                <w:w w:val="99"/>
              </w:rPr>
              <w:t>Amount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shd w:val="clear" w:color="auto" w:fill="454546"/>
          </w:tcPr>
          <w:p>
            <w:pPr>
              <w:spacing w:after="0" w:line="20" w:lineRule="exact"/>
              <w:rPr>
                <w:sz w:val="1"/>
                <w:szCs w:val="1"/>
                <w:color w:val="auto"/>
              </w:rPr>
            </w:pPr>
          </w:p>
        </w:tc>
        <w:tc>
          <w:tcPr>
            <w:tcW w:w="74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454546"/>
          </w:tcPr>
          <w:p>
            <w:pPr>
              <w:spacing w:after="0" w:line="20" w:lineRule="exact"/>
              <w:rPr>
                <w:sz w:val="1"/>
                <w:szCs w:val="1"/>
                <w:color w:val="auto"/>
              </w:rPr>
            </w:pPr>
          </w:p>
        </w:tc>
        <w:tc>
          <w:tcPr>
            <w:tcW w:w="72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454546"/>
          </w:tcPr>
          <w:p>
            <w:pPr>
              <w:spacing w:after="0" w:line="20" w:lineRule="exact"/>
              <w:rPr>
                <w:sz w:val="1"/>
                <w:szCs w:val="1"/>
                <w:color w:val="auto"/>
              </w:rPr>
            </w:pPr>
          </w:p>
        </w:tc>
        <w:tc>
          <w:tcPr>
            <w:tcW w:w="740" w:type="dxa"/>
            <w:vAlign w:val="bottom"/>
            <w:shd w:val="clear" w:color="auto" w:fill="45454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454546"/>
          </w:tcPr>
          <w:p>
            <w:pPr>
              <w:spacing w:after="0" w:line="20" w:lineRule="exact"/>
              <w:rPr>
                <w:sz w:val="1"/>
                <w:szCs w:val="1"/>
                <w:color w:val="auto"/>
              </w:rPr>
            </w:pPr>
          </w:p>
        </w:tc>
        <w:tc>
          <w:tcPr>
            <w:tcW w:w="720" w:type="dxa"/>
            <w:vAlign w:val="bottom"/>
            <w:shd w:val="clear" w:color="auto" w:fill="45454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454546"/>
          </w:tcPr>
          <w:p>
            <w:pPr>
              <w:spacing w:after="0" w:line="20" w:lineRule="exact"/>
              <w:rPr>
                <w:sz w:val="1"/>
                <w:szCs w:val="1"/>
                <w:color w:val="auto"/>
              </w:rPr>
            </w:pPr>
          </w:p>
        </w:tc>
        <w:tc>
          <w:tcPr>
            <w:tcW w:w="740" w:type="dxa"/>
            <w:vAlign w:val="bottom"/>
            <w:shd w:val="clear" w:color="auto" w:fill="45454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89"/>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060" w:type="dxa"/>
            <w:vAlign w:val="bottom"/>
            <w:gridSpan w:val="3"/>
          </w:tcPr>
          <w:p>
            <w:pPr>
              <w:jc w:val="right"/>
              <w:ind w:right="369"/>
              <w:spacing w:after="0" w:line="174" w:lineRule="exact"/>
              <w:rPr>
                <w:sz w:val="20"/>
                <w:szCs w:val="20"/>
                <w:color w:val="auto"/>
              </w:rPr>
            </w:pPr>
            <w:r>
              <w:rPr>
                <w:rFonts w:ascii="Times New Roman" w:cs="Times New Roman" w:eastAsia="Times New Roman" w:hAnsi="Times New Roman"/>
                <w:sz w:val="16"/>
                <w:szCs w:val="16"/>
                <w:b w:val="1"/>
                <w:bCs w:val="1"/>
                <w:color w:val="454546"/>
                <w:w w:val="77"/>
              </w:rPr>
              <w:t>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Software licenses</w:t>
            </w:r>
          </w:p>
        </w:tc>
        <w:tc>
          <w:tcPr>
            <w:tcW w:w="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41,329</w:t>
            </w:r>
          </w:p>
        </w:tc>
        <w:tc>
          <w:tcPr>
            <w:tcW w:w="40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(12,029)</w:t>
            </w:r>
          </w:p>
        </w:tc>
        <w:tc>
          <w:tcPr>
            <w:tcW w:w="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29,300</w:t>
            </w:r>
          </w:p>
        </w:tc>
        <w:tc>
          <w:tcPr>
            <w:tcW w:w="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34,128</w:t>
            </w:r>
          </w:p>
        </w:tc>
        <w:tc>
          <w:tcPr>
            <w:tcW w:w="40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(6,319)</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27,809</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454546"/>
              </w:rPr>
              <w:t>Developed technology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(6,961)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14,239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(3,932)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Customer relationships</w:t>
            </w:r>
          </w:p>
        </w:tc>
        <w:tc>
          <w:tcPr>
            <w:tcW w:w="100" w:type="dxa"/>
            <w:vAlign w:val="bottom"/>
            <w:shd w:val="clear" w:color="auto" w:fill="E5E6E7"/>
          </w:tcPr>
          <w:p>
            <w:pPr>
              <w:spacing w:after="0"/>
              <w:rPr>
                <w:sz w:val="19"/>
                <w:szCs w:val="19"/>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13,200</w:t>
            </w:r>
          </w:p>
        </w:tc>
        <w:tc>
          <w:tcPr>
            <w:tcW w:w="2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(3,300)</w:t>
            </w:r>
          </w:p>
        </w:tc>
        <w:tc>
          <w:tcPr>
            <w:tcW w:w="100" w:type="dxa"/>
            <w:vAlign w:val="bottom"/>
            <w:shd w:val="clear" w:color="auto" w:fill="E5E6E7"/>
          </w:tcPr>
          <w:p>
            <w:pPr>
              <w:spacing w:after="0"/>
              <w:rPr>
                <w:sz w:val="19"/>
                <w:szCs w:val="19"/>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9,900</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13,200</w:t>
            </w:r>
          </w:p>
        </w:tc>
        <w:tc>
          <w:tcPr>
            <w:tcW w:w="2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(1,833)</w:t>
            </w:r>
          </w:p>
        </w:tc>
        <w:tc>
          <w:tcPr>
            <w:tcW w:w="120" w:type="dxa"/>
            <w:vAlign w:val="bottom"/>
            <w:shd w:val="clear" w:color="auto" w:fill="E5E6E7"/>
          </w:tcPr>
          <w:p>
            <w:pPr>
              <w:spacing w:after="0"/>
              <w:rPr>
                <w:sz w:val="19"/>
                <w:szCs w:val="19"/>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11,367</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454546"/>
              </w:rPr>
              <w:t>Trade name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(803)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(447)</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6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intangible assets, net</w:t>
            </w:r>
          </w:p>
        </w:tc>
        <w:tc>
          <w:tcPr>
            <w:tcW w:w="1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7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78,229</w:t>
            </w:r>
          </w:p>
        </w:tc>
        <w:tc>
          <w:tcPr>
            <w:tcW w:w="200" w:type="dxa"/>
            <w:vAlign w:val="bottom"/>
            <w:tcBorders>
              <w:top w:val="single" w:sz="8" w:color="E5E6E7"/>
            </w:tcBorders>
            <w:shd w:val="clear" w:color="auto" w:fill="E5E6E7"/>
          </w:tcPr>
          <w:p>
            <w:pPr>
              <w:spacing w:after="0"/>
              <w:rPr>
                <w:sz w:val="19"/>
                <w:szCs w:val="19"/>
                <w:color w:val="auto"/>
              </w:rPr>
            </w:pPr>
          </w:p>
        </w:tc>
        <w:tc>
          <w:tcPr>
            <w:tcW w:w="200" w:type="dxa"/>
            <w:vAlign w:val="bottom"/>
            <w:tcBorders>
              <w:top w:val="single" w:sz="8" w:color="454546"/>
              <w:bottom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7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(23,093</w:t>
            </w:r>
          </w:p>
        </w:tc>
        <w:tc>
          <w:tcPr>
            <w:tcW w:w="200" w:type="dxa"/>
            <w:vAlign w:val="bottom"/>
            <w:tcBorders>
              <w:top w:val="single" w:sz="8" w:color="E5E6E7"/>
            </w:tcBorders>
            <w:shd w:val="clear" w:color="auto" w:fill="E5E6E7"/>
          </w:tcPr>
          <w:p>
            <w:pPr>
              <w:jc w:val="right"/>
              <w:ind w:right="60"/>
              <w:spacing w:after="0"/>
              <w:rPr>
                <w:sz w:val="20"/>
                <w:szCs w:val="20"/>
                <w:color w:val="auto"/>
              </w:rPr>
            </w:pPr>
            <w:r>
              <w:rPr>
                <w:rFonts w:ascii="Times New Roman" w:cs="Times New Roman" w:eastAsia="Times New Roman" w:hAnsi="Times New Roman"/>
                <w:sz w:val="16"/>
                <w:szCs w:val="16"/>
                <w:color w:val="454546"/>
                <w:w w:val="74"/>
              </w:rPr>
              <w:t>)</w:t>
            </w:r>
          </w:p>
        </w:tc>
        <w:tc>
          <w:tcPr>
            <w:tcW w:w="1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7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55,136</w:t>
            </w:r>
          </w:p>
        </w:tc>
        <w:tc>
          <w:tcPr>
            <w:tcW w:w="2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7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71,028</w:t>
            </w:r>
          </w:p>
        </w:tc>
        <w:tc>
          <w:tcPr>
            <w:tcW w:w="200" w:type="dxa"/>
            <w:vAlign w:val="bottom"/>
            <w:tcBorders>
              <w:top w:val="single" w:sz="8" w:color="E5E6E7"/>
            </w:tcBorders>
            <w:shd w:val="clear" w:color="auto" w:fill="E5E6E7"/>
          </w:tcPr>
          <w:p>
            <w:pPr>
              <w:spacing w:after="0"/>
              <w:rPr>
                <w:sz w:val="19"/>
                <w:szCs w:val="19"/>
                <w:color w:val="auto"/>
              </w:rPr>
            </w:pPr>
          </w:p>
        </w:tc>
        <w:tc>
          <w:tcPr>
            <w:tcW w:w="200" w:type="dxa"/>
            <w:vAlign w:val="bottom"/>
            <w:tcBorders>
              <w:top w:val="single" w:sz="8" w:color="454546"/>
              <w:bottom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7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(12,531</w:t>
            </w:r>
          </w:p>
        </w:tc>
        <w:tc>
          <w:tcPr>
            <w:tcW w:w="200" w:type="dxa"/>
            <w:vAlign w:val="bottom"/>
            <w:tcBorders>
              <w:top w:val="single" w:sz="8" w:color="E5E6E7"/>
            </w:tcBorders>
            <w:shd w:val="clear" w:color="auto" w:fill="E5E6E7"/>
          </w:tcPr>
          <w:p>
            <w:pPr>
              <w:jc w:val="right"/>
              <w:ind w:right="60"/>
              <w:spacing w:after="0"/>
              <w:rPr>
                <w:sz w:val="20"/>
                <w:szCs w:val="20"/>
                <w:color w:val="auto"/>
              </w:rPr>
            </w:pPr>
            <w:r>
              <w:rPr>
                <w:rFonts w:ascii="Times New Roman" w:cs="Times New Roman" w:eastAsia="Times New Roman" w:hAnsi="Times New Roman"/>
                <w:sz w:val="16"/>
                <w:szCs w:val="16"/>
                <w:color w:val="454546"/>
                <w:w w:val="74"/>
              </w:rPr>
              <w:t>)</w:t>
            </w:r>
          </w:p>
        </w:tc>
        <w:tc>
          <w:tcPr>
            <w:tcW w:w="1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74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58,497</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7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72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74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540"/>
        <w:spacing w:after="0" w:line="244" w:lineRule="auto"/>
        <w:rPr>
          <w:sz w:val="20"/>
          <w:szCs w:val="20"/>
          <w:color w:val="auto"/>
        </w:rPr>
      </w:pPr>
      <w:r>
        <w:rPr>
          <w:rFonts w:ascii="Times New Roman" w:cs="Times New Roman" w:eastAsia="Times New Roman" w:hAnsi="Times New Roman"/>
          <w:sz w:val="20"/>
          <w:szCs w:val="20"/>
          <w:color w:val="454546"/>
        </w:rPr>
        <w:t>During the twelve months ended January 31, 2024, there were approximately $13.0 million of software licenses purchased and approximately $5.8 million of software licenses retired. The amortization expense associated with software licenses was approximately $11.5 million, $7.5 million and $6.4 million for the fiscal years ended January 31, 2024, 2023 and 2022, respectively. The amortization expense associated with acquisition-related intangible assets, including developed technology, customer relationship and trade name, was approximately $ 4.9 million, $4.9 million and $1.4 million for the fiscal years ended January 31, 2024, 2023 and 2022, respectively. As of January 31, 2024, the Company has not commenced amortization with respect to approximately $9.4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these intangible assets as of January 31, 2024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454546"/>
              </w:rPr>
              <w:t>As of</w:t>
            </w:r>
          </w:p>
        </w:tc>
        <w:tc>
          <w:tcPr>
            <w:tcW w:w="0" w:type="dxa"/>
            <w:vAlign w:val="bottom"/>
          </w:tcPr>
          <w:p>
            <w:pPr>
              <w:spacing w:after="0"/>
              <w:rPr>
                <w:sz w:val="1"/>
                <w:szCs w:val="1"/>
                <w:color w:val="auto"/>
              </w:rPr>
            </w:pPr>
          </w:p>
        </w:tc>
      </w:tr>
      <w:tr>
        <w:trPr>
          <w:trHeight w:val="20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Fiscal Year</w:t>
            </w:r>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454546"/>
                <w:w w:val="99"/>
              </w:rPr>
              <w:t>January 31, 2024</w:t>
            </w:r>
          </w:p>
        </w:tc>
        <w:tc>
          <w:tcPr>
            <w:tcW w:w="0" w:type="dxa"/>
            <w:vAlign w:val="bottom"/>
          </w:tcPr>
          <w:p>
            <w:pPr>
              <w:spacing w:after="0"/>
              <w:rPr>
                <w:sz w:val="1"/>
                <w:szCs w:val="1"/>
                <w:color w:val="auto"/>
              </w:rPr>
            </w:pPr>
          </w:p>
        </w:tc>
      </w:tr>
      <w:tr>
        <w:trPr>
          <w:trHeight w:val="157"/>
        </w:trPr>
        <w:tc>
          <w:tcPr>
            <w:tcW w:w="6060" w:type="dxa"/>
            <w:vAlign w:val="bottom"/>
            <w:gridSpan w:val="2"/>
            <w:vMerge w:val="continue"/>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Borders>
              <w:top w:val="single" w:sz="8" w:color="454546"/>
            </w:tcBorders>
          </w:tcPr>
          <w:p>
            <w:pPr>
              <w:spacing w:after="0"/>
              <w:rPr>
                <w:sz w:val="13"/>
                <w:szCs w:val="13"/>
                <w:color w:val="auto"/>
              </w:rPr>
            </w:pPr>
          </w:p>
        </w:tc>
        <w:tc>
          <w:tcPr>
            <w:tcW w:w="1620" w:type="dxa"/>
            <w:vAlign w:val="bottom"/>
            <w:tcBorders>
              <w:top w:val="single" w:sz="8" w:color="454546"/>
            </w:tcBorders>
          </w:tcPr>
          <w:p>
            <w:pPr>
              <w:jc w:val="center"/>
              <w:ind w:right="106"/>
              <w:spacing w:after="0" w:line="157"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80" w:type="dxa"/>
            <w:vAlign w:val="bottom"/>
            <w:tcBorders>
              <w:top w:val="single" w:sz="8" w:color="454546"/>
            </w:tcBorders>
            <w:shd w:val="clear" w:color="auto" w:fill="E5E6E7"/>
          </w:tcPr>
          <w:p>
            <w:pPr>
              <w:ind w:left="200"/>
              <w:spacing w:after="0" w:line="228" w:lineRule="exact"/>
              <w:rPr>
                <w:sz w:val="20"/>
                <w:szCs w:val="20"/>
                <w:color w:val="auto"/>
              </w:rPr>
            </w:pPr>
            <w:r>
              <w:rPr>
                <w:rFonts w:ascii="Times New Roman" w:cs="Times New Roman" w:eastAsia="Times New Roman" w:hAnsi="Times New Roman"/>
                <w:sz w:val="20"/>
                <w:szCs w:val="20"/>
                <w:color w:val="454546"/>
              </w:rPr>
              <w:t>2025</w:t>
            </w:r>
          </w:p>
        </w:tc>
        <w:tc>
          <w:tcPr>
            <w:tcW w:w="5280" w:type="dxa"/>
            <w:vAlign w:val="bottom"/>
            <w:shd w:val="clear" w:color="auto" w:fill="E5E6E7"/>
          </w:tcPr>
          <w:p>
            <w:pPr>
              <w:spacing w:after="0"/>
              <w:rPr>
                <w:sz w:val="19"/>
                <w:szCs w:val="19"/>
                <w:color w:val="auto"/>
              </w:rPr>
            </w:pPr>
          </w:p>
        </w:tc>
        <w:tc>
          <w:tcPr>
            <w:tcW w:w="3020" w:type="dxa"/>
            <w:vAlign w:val="bottom"/>
            <w:gridSpan w:val="2"/>
            <w:shd w:val="clear" w:color="auto" w:fill="E5E6E7"/>
          </w:tcPr>
          <w:p>
            <w:pPr>
              <w:jc w:val="right"/>
              <w:spacing w:after="0" w:line="228" w:lineRule="exact"/>
              <w:rPr>
                <w:sz w:val="20"/>
                <w:szCs w:val="20"/>
                <w:color w:val="auto"/>
              </w:rPr>
            </w:pPr>
            <w:r>
              <w:rPr>
                <w:rFonts w:ascii="Times New Roman" w:cs="Times New Roman" w:eastAsia="Times New Roman" w:hAnsi="Times New Roman"/>
                <w:sz w:val="20"/>
                <w:szCs w:val="20"/>
                <w:color w:val="454546"/>
              </w:rPr>
              <w:t>$</w:t>
            </w:r>
          </w:p>
        </w:tc>
        <w:tc>
          <w:tcPr>
            <w:tcW w:w="1620" w:type="dxa"/>
            <w:vAlign w:val="bottom"/>
            <w:shd w:val="clear" w:color="auto" w:fill="E5E6E7"/>
          </w:tcPr>
          <w:p>
            <w:pPr>
              <w:jc w:val="right"/>
              <w:spacing w:after="0" w:line="228" w:lineRule="exact"/>
              <w:rPr>
                <w:sz w:val="20"/>
                <w:szCs w:val="20"/>
                <w:color w:val="auto"/>
              </w:rPr>
            </w:pPr>
            <w:r>
              <w:rPr>
                <w:rFonts w:ascii="Times New Roman" w:cs="Times New Roman" w:eastAsia="Times New Roman" w:hAnsi="Times New Roman"/>
                <w:sz w:val="20"/>
                <w:szCs w:val="20"/>
                <w:color w:val="454546"/>
              </w:rPr>
              <w:t>14,878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2026</w:t>
            </w:r>
          </w:p>
        </w:tc>
        <w:tc>
          <w:tcPr>
            <w:tcW w:w="5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2027</w:t>
            </w:r>
          </w:p>
        </w:tc>
        <w:tc>
          <w:tcPr>
            <w:tcW w:w="5280" w:type="dxa"/>
            <w:vAlign w:val="bottom"/>
            <w:shd w:val="clear" w:color="auto" w:fill="E5E6E7"/>
          </w:tcPr>
          <w:p>
            <w:pPr>
              <w:spacing w:after="0"/>
              <w:rPr>
                <w:sz w:val="19"/>
                <w:szCs w:val="19"/>
                <w:color w:val="auto"/>
              </w:rPr>
            </w:pPr>
          </w:p>
        </w:tc>
        <w:tc>
          <w:tcPr>
            <w:tcW w:w="28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7,669</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2028</w:t>
            </w:r>
          </w:p>
        </w:tc>
        <w:tc>
          <w:tcPr>
            <w:tcW w:w="5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2029</w:t>
            </w:r>
          </w:p>
        </w:tc>
        <w:tc>
          <w:tcPr>
            <w:tcW w:w="5280" w:type="dxa"/>
            <w:vAlign w:val="bottom"/>
            <w:shd w:val="clear" w:color="auto" w:fill="E5E6E7"/>
          </w:tcPr>
          <w:p>
            <w:pPr>
              <w:spacing w:after="0"/>
              <w:rPr>
                <w:sz w:val="19"/>
                <w:szCs w:val="19"/>
                <w:color w:val="auto"/>
              </w:rPr>
            </w:pPr>
          </w:p>
        </w:tc>
        <w:tc>
          <w:tcPr>
            <w:tcW w:w="28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6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5,834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E5E6E7"/>
            </w:tcBorders>
            <w:gridSpan w:val="2"/>
          </w:tcPr>
          <w:p>
            <w:pPr>
              <w:ind w:left="200"/>
              <w:spacing w:after="0"/>
              <w:rPr>
                <w:sz w:val="20"/>
                <w:szCs w:val="20"/>
                <w:color w:val="auto"/>
              </w:rPr>
            </w:pPr>
            <w:r>
              <w:rPr>
                <w:rFonts w:ascii="Times New Roman" w:cs="Times New Roman" w:eastAsia="Times New Roman" w:hAnsi="Times New Roman"/>
                <w:sz w:val="20"/>
                <w:szCs w:val="20"/>
                <w:color w:val="454546"/>
              </w:rPr>
              <w:t>Thereafter</w:t>
            </w:r>
          </w:p>
        </w:tc>
        <w:tc>
          <w:tcPr>
            <w:tcW w:w="2820" w:type="dxa"/>
            <w:vAlign w:val="bottom"/>
            <w:tcBorders>
              <w:bottom w:val="single" w:sz="8" w:color="E5E6E7"/>
            </w:tcBorders>
          </w:tcPr>
          <w:p>
            <w:pPr>
              <w:spacing w:after="0"/>
              <w:rPr>
                <w:sz w:val="19"/>
                <w:szCs w:val="19"/>
                <w:color w:val="auto"/>
              </w:rPr>
            </w:pPr>
          </w:p>
        </w:tc>
        <w:tc>
          <w:tcPr>
            <w:tcW w:w="200" w:type="dxa"/>
            <w:vAlign w:val="bottom"/>
            <w:tcBorders>
              <w:bottom w:val="single" w:sz="8" w:color="454546"/>
            </w:tcBorders>
          </w:tcPr>
          <w:p>
            <w:pPr>
              <w:spacing w:after="0"/>
              <w:rPr>
                <w:sz w:val="19"/>
                <w:szCs w:val="19"/>
                <w:color w:val="auto"/>
              </w:rPr>
            </w:pPr>
          </w:p>
        </w:tc>
        <w:tc>
          <w:tcPr>
            <w:tcW w:w="16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8,080</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60" w:type="dxa"/>
            <w:vAlign w:val="bottom"/>
            <w:gridSpan w:val="2"/>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future amortization expenses:</w:t>
            </w:r>
          </w:p>
        </w:tc>
        <w:tc>
          <w:tcPr>
            <w:tcW w:w="2820" w:type="dxa"/>
            <w:vAlign w:val="bottom"/>
            <w:shd w:val="clear" w:color="auto" w:fill="E5E6E7"/>
          </w:tcPr>
          <w:p>
            <w:pPr>
              <w:spacing w:after="0"/>
              <w:rPr>
                <w:sz w:val="19"/>
                <w:szCs w:val="19"/>
                <w:color w:val="auto"/>
              </w:rPr>
            </w:pPr>
          </w:p>
        </w:tc>
        <w:tc>
          <w:tcPr>
            <w:tcW w:w="2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16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55,136</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162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454546"/>
        </w:rPr>
        <w:t>Intangible assets are tested for impairment at least annually, in the fourth fiscal quarter, or more frequently if events or changes in circumstances indicate that the assets may be impaired. The Company is also required to test the impairment prior to changing the IPR&amp;D from an indefinite-lived asset to a finite-lived asset. There were no intangible asset impairments for the fiscal years ended January 31, 2024, 2023 and 2022,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7. Goodwill</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454546"/>
        </w:rPr>
        <w:t>Goodwill represents the excess of the purchase price over the fair value of net tangible and identifiable intangible assets acquired in a business combination. The Company has one reporting segment and accordingly, there is no goodwill assignment based on reporting units (refer to Note 16). As of January 31, 2024 and 2023, the total carrying amount of goodwill was $303.6 million, respectively. The Company does not amortize goodwill. In the fourth quarter of fiscal year 2024, 2023 and 2022, the Company performed annual goodwill tests and there were no goodwill impairments for the fiscal years ended January 31, 2024, 2023 and 2022, respectively.</w:t>
      </w:r>
    </w:p>
    <w:p>
      <w:pPr>
        <w:sectPr>
          <w:pgSz w:w="12240" w:h="15840" w:orient="portrait"/>
          <w:cols w:equalWidth="0" w:num="1">
            <w:col w:w="10800"/>
          </w:cols>
          <w:pgMar w:left="720" w:top="972" w:right="720" w:bottom="175"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91</w:t>
      </w:r>
    </w:p>
    <w:p>
      <w:pPr>
        <w:sectPr>
          <w:pgSz w:w="12240" w:h="15840" w:orient="portrait"/>
          <w:cols w:equalWidth="0" w:num="1">
            <w:col w:w="10800"/>
          </w:cols>
          <w:pgMar w:left="720" w:top="972" w:right="720" w:bottom="175"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454546"/>
        </w:rPr>
        <w:t>8. Accrued and Other Current Liabilities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Accrued and other current liabilities at January 31, 2024 and 2023 consisted of the following:</w:t>
      </w:r>
    </w:p>
    <w:p>
      <w:pPr>
        <w:spacing w:after="0" w:line="230"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454546"/>
              </w:rPr>
              <w:t>As of January 31,</w:t>
            </w:r>
          </w:p>
        </w:tc>
      </w:tr>
      <w:tr>
        <w:trPr>
          <w:trHeight w:val="174"/>
        </w:trPr>
        <w:tc>
          <w:tcPr>
            <w:tcW w:w="4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top w:val="single" w:sz="8" w:color="454546"/>
              <w:bottom w:val="single" w:sz="8" w:color="454546"/>
            </w:tcBorders>
          </w:tcPr>
          <w:p>
            <w:pPr>
              <w:spacing w:after="0"/>
              <w:rPr>
                <w:sz w:val="15"/>
                <w:szCs w:val="15"/>
                <w:color w:val="auto"/>
              </w:rPr>
            </w:pPr>
          </w:p>
        </w:tc>
        <w:tc>
          <w:tcPr>
            <w:tcW w:w="820" w:type="dxa"/>
            <w:vAlign w:val="bottom"/>
            <w:tcBorders>
              <w:top w:val="single" w:sz="8" w:color="454546"/>
              <w:bottom w:val="single" w:sz="8" w:color="454546"/>
            </w:tcBorders>
          </w:tcPr>
          <w:p>
            <w:pPr>
              <w:jc w:val="right"/>
              <w:ind w:right="288"/>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80" w:type="dxa"/>
            <w:vAlign w:val="bottom"/>
            <w:tcBorders>
              <w:top w:val="single" w:sz="8" w:color="454546"/>
            </w:tcBorders>
          </w:tcPr>
          <w:p>
            <w:pPr>
              <w:spacing w:after="0"/>
              <w:rPr>
                <w:sz w:val="15"/>
                <w:szCs w:val="15"/>
                <w:color w:val="auto"/>
              </w:rPr>
            </w:pPr>
          </w:p>
        </w:tc>
        <w:tc>
          <w:tcPr>
            <w:tcW w:w="240" w:type="dxa"/>
            <w:vAlign w:val="bottom"/>
            <w:tcBorders>
              <w:top w:val="single" w:sz="8" w:color="454546"/>
              <w:bottom w:val="single" w:sz="8" w:color="454546"/>
            </w:tcBorders>
          </w:tcPr>
          <w:p>
            <w:pPr>
              <w:spacing w:after="0"/>
              <w:rPr>
                <w:sz w:val="15"/>
                <w:szCs w:val="15"/>
                <w:color w:val="auto"/>
              </w:rPr>
            </w:pPr>
          </w:p>
        </w:tc>
        <w:tc>
          <w:tcPr>
            <w:tcW w:w="820" w:type="dxa"/>
            <w:vAlign w:val="bottom"/>
            <w:tcBorders>
              <w:top w:val="single" w:sz="8" w:color="454546"/>
              <w:bottom w:val="single" w:sz="8" w:color="454546"/>
            </w:tcBorders>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80" w:type="dxa"/>
            <w:vAlign w:val="bottom"/>
          </w:tcPr>
          <w:p>
            <w:pPr>
              <w:spacing w:after="0"/>
              <w:rPr>
                <w:sz w:val="15"/>
                <w:szCs w:val="15"/>
                <w:color w:val="auto"/>
              </w:rPr>
            </w:pPr>
          </w:p>
        </w:tc>
      </w:tr>
      <w:tr>
        <w:trPr>
          <w:trHeight w:val="174"/>
        </w:trPr>
        <w:tc>
          <w:tcPr>
            <w:tcW w:w="4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08"/>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240" w:type="dxa"/>
            <w:vAlign w:val="bottom"/>
            <w:gridSpan w:val="3"/>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454546"/>
                <w:w w:val="74"/>
              </w:rPr>
              <w:t>thousands)</w:t>
            </w:r>
          </w:p>
        </w:tc>
        <w:tc>
          <w:tcPr>
            <w:tcW w:w="80" w:type="dxa"/>
            <w:vAlign w:val="bottom"/>
          </w:tcPr>
          <w:p>
            <w:pPr>
              <w:spacing w:after="0"/>
              <w:rPr>
                <w:sz w:val="15"/>
                <w:szCs w:val="15"/>
                <w:color w:val="auto"/>
              </w:rPr>
            </w:pPr>
          </w:p>
        </w:tc>
      </w:tr>
      <w:tr>
        <w:trPr>
          <w:trHeight w:val="230"/>
        </w:trPr>
        <w:tc>
          <w:tcPr>
            <w:tcW w:w="4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Accrued employee compensation</w:t>
            </w:r>
          </w:p>
        </w:tc>
        <w:tc>
          <w:tcPr>
            <w:tcW w:w="108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16,610</w:t>
            </w:r>
          </w:p>
        </w:tc>
        <w:tc>
          <w:tcPr>
            <w:tcW w:w="4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22,152</w:t>
            </w:r>
          </w:p>
        </w:tc>
        <w:tc>
          <w:tcPr>
            <w:tcW w:w="80" w:type="dxa"/>
            <w:vAlign w:val="bottom"/>
            <w:shd w:val="clear" w:color="auto" w:fill="E5E6E7"/>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454546"/>
              </w:rPr>
              <w:t>Accrued product development costs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18,290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19,433</w:t>
            </w:r>
          </w:p>
        </w:tc>
        <w:tc>
          <w:tcPr>
            <w:tcW w:w="80" w:type="dxa"/>
            <w:vAlign w:val="bottom"/>
          </w:tcPr>
          <w:p>
            <w:pPr>
              <w:spacing w:after="0"/>
              <w:rPr>
                <w:sz w:val="19"/>
                <w:szCs w:val="19"/>
                <w:color w:val="auto"/>
              </w:rPr>
            </w:pPr>
          </w:p>
        </w:tc>
      </w:tr>
      <w:tr>
        <w:trPr>
          <w:trHeight w:val="230"/>
        </w:trPr>
        <w:tc>
          <w:tcPr>
            <w:tcW w:w="4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Software license liabilities, current</w:t>
            </w:r>
          </w:p>
        </w:tc>
        <w:tc>
          <w:tcPr>
            <w:tcW w:w="84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8,161</w:t>
            </w:r>
          </w:p>
        </w:tc>
        <w:tc>
          <w:tcPr>
            <w:tcW w:w="1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7,059</w:t>
            </w:r>
          </w:p>
        </w:tc>
        <w:tc>
          <w:tcPr>
            <w:tcW w:w="80" w:type="dxa"/>
            <w:vAlign w:val="bottom"/>
            <w:shd w:val="clear" w:color="auto" w:fill="E5E6E7"/>
          </w:tcPr>
          <w:p>
            <w:pPr>
              <w:spacing w:after="0"/>
              <w:rPr>
                <w:sz w:val="19"/>
                <w:szCs w:val="19"/>
                <w:color w:val="auto"/>
              </w:rPr>
            </w:pPr>
          </w:p>
        </w:tc>
      </w:tr>
      <w:tr>
        <w:trPr>
          <w:trHeight w:val="230"/>
        </w:trPr>
        <w:tc>
          <w:tcPr>
            <w:tcW w:w="4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Other accrued liabilities</w:t>
            </w:r>
          </w:p>
        </w:tc>
        <w:tc>
          <w:tcPr>
            <w:tcW w:w="84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5,537</w:t>
            </w:r>
          </w:p>
        </w:tc>
        <w:tc>
          <w:tcPr>
            <w:tcW w:w="1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2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8,011</w:t>
            </w:r>
          </w:p>
        </w:tc>
        <w:tc>
          <w:tcPr>
            <w:tcW w:w="80" w:type="dxa"/>
            <w:vAlign w:val="bottom"/>
            <w:tcBorders>
              <w:bottom w:val="single" w:sz="8" w:color="E5E6E7"/>
            </w:tcBorders>
          </w:tcPr>
          <w:p>
            <w:pPr>
              <w:spacing w:after="0"/>
              <w:rPr>
                <w:sz w:val="19"/>
                <w:szCs w:val="19"/>
                <w:color w:val="auto"/>
              </w:rPr>
            </w:pPr>
          </w:p>
        </w:tc>
      </w:tr>
      <w:tr>
        <w:trPr>
          <w:trHeight w:val="220"/>
        </w:trPr>
        <w:tc>
          <w:tcPr>
            <w:tcW w:w="434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accrued and other current liabilities</w:t>
            </w:r>
          </w:p>
        </w:tc>
        <w:tc>
          <w:tcPr>
            <w:tcW w:w="84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48,598</w:t>
            </w:r>
          </w:p>
        </w:tc>
        <w:tc>
          <w:tcPr>
            <w:tcW w:w="1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2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56,655</w:t>
            </w:r>
          </w:p>
        </w:tc>
        <w:tc>
          <w:tcPr>
            <w:tcW w:w="80" w:type="dxa"/>
            <w:vAlign w:val="bottom"/>
            <w:shd w:val="clear" w:color="auto" w:fill="E5E6E7"/>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80" w:firstLine="590"/>
        <w:spacing w:after="0" w:line="277" w:lineRule="auto"/>
        <w:rPr>
          <w:sz w:val="20"/>
          <w:szCs w:val="20"/>
          <w:color w:val="auto"/>
        </w:rPr>
      </w:pPr>
      <w:r>
        <w:rPr>
          <w:rFonts w:ascii="Times New Roman" w:cs="Times New Roman" w:eastAsia="Times New Roman" w:hAnsi="Times New Roman"/>
          <w:sz w:val="20"/>
          <w:szCs w:val="20"/>
          <w:color w:val="454546"/>
        </w:rPr>
        <w:t>Approximately $5.6 million of annual bonus included in the accrued employee compensation was paid in fiscal year 2024, of which $1.1 million was paid in cash and $4.5 million was settled with restricted stock units.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9. Leases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There were no material lease agreements entered or modified during the twelve months ended January 31, 2024.</w:t>
      </w:r>
    </w:p>
    <w:p>
      <w:pPr>
        <w:spacing w:after="0" w:line="23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454546"/>
        </w:rPr>
        <w:t>During the twelve months ended January 31, 2023, the Company extended leases for its Shenzhen office and one of its facilities in Santa Clara, California for an additional two years beginning October 1, 2022 to September 30, 2024. For the lease extensions, the Company recorded an increase to the operating lease ROU assets and corresponding operating lease liabilities of approximately $0.8 million in the consolidated balance sheets.</w:t>
      </w:r>
    </w:p>
    <w:p>
      <w:pPr>
        <w:spacing w:after="0" w:line="18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During the twelve months ended January 31, 2022, the Company extended its existing Shanghai office lease for an additional three years beginning December 1, 2021 to November 30, 2024 and extended its existing Hong Kong office lease for an additional five years beginning December 1, 2021 to November 30, 2026. The Company also leased an additional space for its Shanghai office for a period of 40 months starting from August 1, 2021 through November 30, 2024. The Company recorded an aggregate increase of approximately $4.4 million to the operating lease ROU assets and corresponding operating lease liabilities in the consolidated balance sheets as a result of these lease extensions and additional leased space.</w:t>
      </w:r>
    </w:p>
    <w:p>
      <w:pPr>
        <w:spacing w:after="0" w:line="200"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454546"/>
        </w:rPr>
        <w:t>For the fiscal years ended January 31, 2024, 2023 and 2022, the operating lease expense was approximately $3.7 million, $3.7 million and $3.5 million, respectively. The Company's short-term leases and finance leases were immaterial as of January 31, 2024 and 2023, respectively.</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454546"/>
        </w:rPr>
        <w:t>Supplemental cash flow information related to the operating leases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bottom w:val="single" w:sz="8" w:color="454546"/>
            </w:tcBorders>
          </w:tcPr>
          <w:p>
            <w:pPr>
              <w:spacing w:after="0"/>
              <w:rPr>
                <w:sz w:val="17"/>
                <w:szCs w:val="17"/>
                <w:color w:val="auto"/>
              </w:rPr>
            </w:pPr>
          </w:p>
        </w:tc>
        <w:tc>
          <w:tcPr>
            <w:tcW w:w="2320" w:type="dxa"/>
            <w:vAlign w:val="bottom"/>
            <w:tcBorders>
              <w:bottom w:val="single" w:sz="8" w:color="454546"/>
            </w:tcBorders>
            <w:gridSpan w:val="3"/>
          </w:tcPr>
          <w:p>
            <w:pPr>
              <w:ind w:left="1400"/>
              <w:spacing w:after="0"/>
              <w:rPr>
                <w:sz w:val="20"/>
                <w:szCs w:val="20"/>
                <w:color w:val="auto"/>
              </w:rPr>
            </w:pPr>
            <w:r>
              <w:rPr>
                <w:rFonts w:ascii="Times New Roman" w:cs="Times New Roman" w:eastAsia="Times New Roman" w:hAnsi="Times New Roman"/>
                <w:sz w:val="16"/>
                <w:szCs w:val="16"/>
                <w:b w:val="1"/>
                <w:bCs w:val="1"/>
                <w:color w:val="454546"/>
              </w:rPr>
              <w:t>Year Ended</w:t>
            </w:r>
          </w:p>
        </w:tc>
        <w:tc>
          <w:tcPr>
            <w:tcW w:w="156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454546"/>
            </w:tcBorders>
          </w:tcPr>
          <w:p>
            <w:pPr>
              <w:spacing w:after="0"/>
              <w:rPr>
                <w:sz w:val="16"/>
                <w:szCs w:val="16"/>
                <w:color w:val="auto"/>
              </w:rPr>
            </w:pPr>
          </w:p>
        </w:tc>
        <w:tc>
          <w:tcPr>
            <w:tcW w:w="1700" w:type="dxa"/>
            <w:vAlign w:val="bottom"/>
            <w:tcBorders>
              <w:bottom w:val="single" w:sz="8" w:color="454546"/>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454546"/>
              </w:rPr>
              <w:t>January 31, 2024</w:t>
            </w:r>
          </w:p>
        </w:tc>
        <w:tc>
          <w:tcPr>
            <w:tcW w:w="240" w:type="dxa"/>
            <w:vAlign w:val="bottom"/>
          </w:tcPr>
          <w:p>
            <w:pPr>
              <w:spacing w:after="0"/>
              <w:rPr>
                <w:sz w:val="16"/>
                <w:szCs w:val="16"/>
                <w:color w:val="auto"/>
              </w:rPr>
            </w:pPr>
          </w:p>
        </w:tc>
        <w:tc>
          <w:tcPr>
            <w:tcW w:w="380" w:type="dxa"/>
            <w:vAlign w:val="bottom"/>
            <w:tcBorders>
              <w:bottom w:val="single" w:sz="8" w:color="454546"/>
            </w:tcBorders>
          </w:tcPr>
          <w:p>
            <w:pPr>
              <w:spacing w:after="0"/>
              <w:rPr>
                <w:sz w:val="16"/>
                <w:szCs w:val="16"/>
                <w:color w:val="auto"/>
              </w:rPr>
            </w:pPr>
          </w:p>
        </w:tc>
        <w:tc>
          <w:tcPr>
            <w:tcW w:w="1560" w:type="dxa"/>
            <w:vAlign w:val="bottom"/>
            <w:tcBorders>
              <w:bottom w:val="single" w:sz="8" w:color="454546"/>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454546"/>
                <w:w w:val="99"/>
              </w:rPr>
              <w:t>January 31, 2023</w:t>
            </w:r>
          </w:p>
        </w:tc>
        <w:tc>
          <w:tcPr>
            <w:tcW w:w="100" w:type="dxa"/>
            <w:vAlign w:val="bottom"/>
          </w:tcPr>
          <w:p>
            <w:pPr>
              <w:spacing w:after="0"/>
              <w:rPr>
                <w:sz w:val="16"/>
                <w:szCs w:val="16"/>
                <w:color w:val="auto"/>
              </w:rPr>
            </w:pPr>
          </w:p>
        </w:tc>
      </w:tr>
      <w:tr>
        <w:trPr>
          <w:trHeight w:val="174"/>
        </w:trPr>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620" w:type="dxa"/>
            <w:vAlign w:val="bottom"/>
            <w:gridSpan w:val="2"/>
          </w:tcPr>
          <w:p>
            <w:pPr>
              <w:jc w:val="center"/>
              <w:ind w:right="20"/>
              <w:spacing w:after="0" w:line="174" w:lineRule="exact"/>
              <w:rPr>
                <w:sz w:val="20"/>
                <w:szCs w:val="20"/>
                <w:color w:val="auto"/>
              </w:rPr>
            </w:pPr>
            <w:r>
              <w:rPr>
                <w:rFonts w:ascii="Times New Roman" w:cs="Times New Roman" w:eastAsia="Times New Roman" w:hAnsi="Times New Roman"/>
                <w:sz w:val="16"/>
                <w:szCs w:val="16"/>
                <w:b w:val="1"/>
                <w:bCs w:val="1"/>
                <w:color w:val="454546"/>
                <w:w w:val="80"/>
              </w:rPr>
              <w:t>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Cash paid for operating leases included in operating cash flows</w:t>
            </w:r>
          </w:p>
        </w:tc>
        <w:tc>
          <w:tcPr>
            <w:tcW w:w="56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3,877</w:t>
            </w:r>
          </w:p>
        </w:tc>
        <w:tc>
          <w:tcPr>
            <w:tcW w:w="620" w:type="dxa"/>
            <w:vAlign w:val="bottom"/>
            <w:gridSpan w:val="2"/>
            <w:shd w:val="clear" w:color="auto" w:fill="E5E6E7"/>
          </w:tcPr>
          <w:p>
            <w:pPr>
              <w:jc w:val="center"/>
              <w:ind w:right="40"/>
              <w:spacing w:after="0"/>
              <w:rPr>
                <w:sz w:val="20"/>
                <w:szCs w:val="20"/>
                <w:color w:val="auto"/>
              </w:rPr>
            </w:pPr>
            <w:r>
              <w:rPr>
                <w:rFonts w:ascii="Times New Roman" w:cs="Times New Roman" w:eastAsia="Times New Roman" w:hAnsi="Times New Roman"/>
                <w:sz w:val="20"/>
                <w:szCs w:val="20"/>
                <w:color w:val="454546"/>
                <w:w w:val="99"/>
              </w:rPr>
              <w:t>$</w:t>
            </w:r>
          </w:p>
        </w:tc>
        <w:tc>
          <w:tcPr>
            <w:tcW w:w="15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4,011</w:t>
            </w:r>
          </w:p>
        </w:tc>
        <w:tc>
          <w:tcPr>
            <w:tcW w:w="100" w:type="dxa"/>
            <w:vAlign w:val="bottom"/>
            <w:shd w:val="clear" w:color="auto" w:fill="E5E6E7"/>
          </w:tcPr>
          <w:p>
            <w:pPr>
              <w:spacing w:after="0"/>
              <w:rPr>
                <w:sz w:val="19"/>
                <w:szCs w:val="19"/>
                <w:color w:val="auto"/>
              </w:rPr>
            </w:pPr>
          </w:p>
        </w:tc>
      </w:tr>
      <w:tr>
        <w:trPr>
          <w:trHeight w:val="211"/>
        </w:trPr>
        <w:tc>
          <w:tcPr>
            <w:tcW w:w="62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54546"/>
              </w:rPr>
              <w:t>Supplemental non-cash information related to lease liabilities arising from</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454546"/>
              </w:rPr>
              <w:t>obtaining right-of-use assets</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216</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454546"/>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319</w:t>
            </w:r>
          </w:p>
        </w:tc>
        <w:tc>
          <w:tcPr>
            <w:tcW w:w="100" w:type="dxa"/>
            <w:vAlign w:val="bottom"/>
          </w:tcPr>
          <w:p>
            <w:pPr>
              <w:spacing w:after="0"/>
              <w:rPr>
                <w:sz w:val="21"/>
                <w:szCs w:val="21"/>
                <w:color w:val="auto"/>
              </w:rPr>
            </w:pPr>
          </w:p>
        </w:tc>
      </w:tr>
      <w:tr>
        <w:trPr>
          <w:trHeight w:val="230"/>
        </w:trPr>
        <w:tc>
          <w:tcPr>
            <w:tcW w:w="62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Leased assets changes arising from lease modifications</w:t>
            </w:r>
          </w:p>
        </w:tc>
        <w:tc>
          <w:tcPr>
            <w:tcW w:w="56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1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348</w:t>
            </w:r>
          </w:p>
        </w:tc>
        <w:tc>
          <w:tcPr>
            <w:tcW w:w="620" w:type="dxa"/>
            <w:vAlign w:val="bottom"/>
            <w:gridSpan w:val="2"/>
            <w:shd w:val="clear" w:color="auto" w:fill="E5E6E7"/>
          </w:tcPr>
          <w:p>
            <w:pPr>
              <w:jc w:val="center"/>
              <w:ind w:right="40"/>
              <w:spacing w:after="0"/>
              <w:rPr>
                <w:sz w:val="20"/>
                <w:szCs w:val="20"/>
                <w:color w:val="auto"/>
              </w:rPr>
            </w:pPr>
            <w:r>
              <w:rPr>
                <w:rFonts w:ascii="Times New Roman" w:cs="Times New Roman" w:eastAsia="Times New Roman" w:hAnsi="Times New Roman"/>
                <w:sz w:val="20"/>
                <w:szCs w:val="20"/>
                <w:color w:val="454546"/>
                <w:w w:val="99"/>
              </w:rPr>
              <w:t>$</w:t>
            </w:r>
          </w:p>
        </w:tc>
        <w:tc>
          <w:tcPr>
            <w:tcW w:w="15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575</w:t>
            </w:r>
          </w:p>
        </w:tc>
        <w:tc>
          <w:tcPr>
            <w:tcW w:w="100" w:type="dxa"/>
            <w:vAlign w:val="bottom"/>
            <w:shd w:val="clear" w:color="auto" w:fill="E5E6E7"/>
          </w:tcPr>
          <w:p>
            <w:pPr>
              <w:spacing w:after="0"/>
              <w:rPr>
                <w:sz w:val="19"/>
                <w:szCs w:val="19"/>
                <w:color w:val="auto"/>
              </w:rPr>
            </w:pPr>
          </w:p>
        </w:tc>
      </w:tr>
    </w:tbl>
    <w:p>
      <w:pPr>
        <w:spacing w:after="0" w:line="221"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454546"/>
        </w:rPr>
        <w:t>As of January 31, 2024, the weighted average remaining lease term is 1.77 years, and the weighted average discount rate is 3.63%. Future minimum lease payments for the lease liabilities are as follows:</w:t>
      </w:r>
    </w:p>
    <w:p>
      <w:pPr>
        <w:sectPr>
          <w:pgSz w:w="12240" w:h="15840" w:orient="portrait"/>
          <w:cols w:equalWidth="0" w:num="1">
            <w:col w:w="10800"/>
          </w:cols>
          <w:pgMar w:left="720" w:top="140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92</w:t>
      </w:r>
    </w:p>
    <w:p>
      <w:pPr>
        <w:sectPr>
          <w:pgSz w:w="12240" w:h="15840" w:orient="portrait"/>
          <w:cols w:equalWidth="0" w:num="1">
            <w:col w:w="10800"/>
          </w:cols>
          <w:pgMar w:left="720" w:top="1409" w:right="720" w:bottom="175"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573"/>
              <w:spacing w:after="0"/>
              <w:rPr>
                <w:sz w:val="20"/>
                <w:szCs w:val="20"/>
                <w:color w:val="auto"/>
              </w:rPr>
            </w:pPr>
            <w:r>
              <w:rPr>
                <w:rFonts w:ascii="Times New Roman" w:cs="Times New Roman" w:eastAsia="Times New Roman" w:hAnsi="Times New Roman"/>
                <w:sz w:val="16"/>
                <w:szCs w:val="16"/>
                <w:b w:val="1"/>
                <w:bCs w:val="1"/>
                <w:color w:val="454546"/>
              </w:rPr>
              <w:t>As of</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Fiscal Year</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Borders>
              <w:bottom w:val="single" w:sz="8" w:color="454546"/>
            </w:tcBorders>
          </w:tcPr>
          <w:p>
            <w:pPr>
              <w:spacing w:after="0"/>
              <w:rPr>
                <w:sz w:val="17"/>
                <w:szCs w:val="17"/>
                <w:color w:val="auto"/>
              </w:rPr>
            </w:pPr>
          </w:p>
        </w:tc>
        <w:tc>
          <w:tcPr>
            <w:tcW w:w="680" w:type="dxa"/>
            <w:vAlign w:val="bottom"/>
            <w:tcBorders>
              <w:bottom w:val="single" w:sz="8" w:color="454546"/>
            </w:tcBorders>
          </w:tcPr>
          <w:p>
            <w:pPr>
              <w:spacing w:after="0"/>
              <w:rPr>
                <w:sz w:val="17"/>
                <w:szCs w:val="17"/>
                <w:color w:val="auto"/>
              </w:rPr>
            </w:pPr>
          </w:p>
        </w:tc>
        <w:tc>
          <w:tcPr>
            <w:tcW w:w="1600" w:type="dxa"/>
            <w:vAlign w:val="bottom"/>
            <w:tcBorders>
              <w:bottom w:val="single" w:sz="8" w:color="454546"/>
            </w:tcBorders>
            <w:gridSpan w:val="2"/>
          </w:tcPr>
          <w:p>
            <w:pPr>
              <w:jc w:val="center"/>
              <w:ind w:right="233"/>
              <w:spacing w:after="0"/>
              <w:rPr>
                <w:sz w:val="20"/>
                <w:szCs w:val="20"/>
                <w:color w:val="auto"/>
              </w:rPr>
            </w:pPr>
            <w:r>
              <w:rPr>
                <w:rFonts w:ascii="Times New Roman" w:cs="Times New Roman" w:eastAsia="Times New Roman" w:hAnsi="Times New Roman"/>
                <w:sz w:val="16"/>
                <w:szCs w:val="16"/>
                <w:b w:val="1"/>
                <w:bCs w:val="1"/>
                <w:color w:val="454546"/>
                <w:w w:val="99"/>
              </w:rPr>
              <w:t>January 31, 2024</w:t>
            </w:r>
          </w:p>
        </w:tc>
        <w:tc>
          <w:tcPr>
            <w:tcW w:w="68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26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gridSpan w:val="2"/>
          </w:tcPr>
          <w:p>
            <w:pPr>
              <w:jc w:val="center"/>
              <w:ind w:right="253"/>
              <w:spacing w:after="0" w:line="157" w:lineRule="exact"/>
              <w:rPr>
                <w:sz w:val="20"/>
                <w:szCs w:val="20"/>
                <w:color w:val="auto"/>
              </w:rPr>
            </w:pPr>
            <w:r>
              <w:rPr>
                <w:rFonts w:ascii="Times New Roman" w:cs="Times New Roman" w:eastAsia="Times New Roman" w:hAnsi="Times New Roman"/>
                <w:sz w:val="16"/>
                <w:szCs w:val="16"/>
                <w:b w:val="1"/>
                <w:bCs w:val="1"/>
                <w:color w:val="454546"/>
              </w:rPr>
              <w:t>(in thousands)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80" w:type="dxa"/>
            <w:vAlign w:val="bottom"/>
            <w:tcBorders>
              <w:top w:val="single" w:sz="8" w:color="454546"/>
            </w:tcBorders>
            <w:shd w:val="clear" w:color="auto" w:fill="E5E6E7"/>
          </w:tcPr>
          <w:p>
            <w:pPr>
              <w:ind w:left="200"/>
              <w:spacing w:after="0" w:line="228" w:lineRule="exact"/>
              <w:rPr>
                <w:sz w:val="20"/>
                <w:szCs w:val="20"/>
                <w:color w:val="auto"/>
              </w:rPr>
            </w:pPr>
            <w:r>
              <w:rPr>
                <w:rFonts w:ascii="Times New Roman" w:cs="Times New Roman" w:eastAsia="Times New Roman" w:hAnsi="Times New Roman"/>
                <w:sz w:val="20"/>
                <w:szCs w:val="20"/>
                <w:color w:val="454546"/>
              </w:rPr>
              <w:t>2025</w:t>
            </w:r>
          </w:p>
        </w:tc>
        <w:tc>
          <w:tcPr>
            <w:tcW w:w="4480" w:type="dxa"/>
            <w:vAlign w:val="bottom"/>
            <w:shd w:val="clear" w:color="auto" w:fill="E5E6E7"/>
          </w:tcPr>
          <w:p>
            <w:pPr>
              <w:spacing w:after="0"/>
              <w:rPr>
                <w:sz w:val="19"/>
                <w:szCs w:val="19"/>
                <w:color w:val="auto"/>
              </w:rPr>
            </w:pPr>
          </w:p>
        </w:tc>
        <w:tc>
          <w:tcPr>
            <w:tcW w:w="2480" w:type="dxa"/>
            <w:vAlign w:val="bottom"/>
            <w:gridSpan w:val="3"/>
            <w:shd w:val="clear" w:color="auto" w:fill="E5E6E7"/>
          </w:tcPr>
          <w:p>
            <w:pPr>
              <w:jc w:val="right"/>
              <w:ind w:right="120"/>
              <w:spacing w:after="0" w:line="228" w:lineRule="exact"/>
              <w:rPr>
                <w:sz w:val="20"/>
                <w:szCs w:val="20"/>
                <w:color w:val="auto"/>
              </w:rPr>
            </w:pPr>
            <w:r>
              <w:rPr>
                <w:rFonts w:ascii="Times New Roman" w:cs="Times New Roman" w:eastAsia="Times New Roman" w:hAnsi="Times New Roman"/>
                <w:sz w:val="20"/>
                <w:szCs w:val="20"/>
                <w:color w:val="454546"/>
              </w:rPr>
              <w:t>$</w:t>
            </w:r>
          </w:p>
        </w:tc>
        <w:tc>
          <w:tcPr>
            <w:tcW w:w="68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126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line="228" w:lineRule="exact"/>
              <w:rPr>
                <w:sz w:val="20"/>
                <w:szCs w:val="20"/>
                <w:color w:val="auto"/>
              </w:rPr>
            </w:pPr>
            <w:r>
              <w:rPr>
                <w:rFonts w:ascii="Times New Roman" w:cs="Times New Roman" w:eastAsia="Times New Roman" w:hAnsi="Times New Roman"/>
                <w:sz w:val="20"/>
                <w:szCs w:val="20"/>
                <w:color w:val="454546"/>
              </w:rPr>
              <w:t>3,567</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2026</w:t>
            </w:r>
          </w:p>
        </w:tc>
        <w:tc>
          <w:tcPr>
            <w:tcW w:w="4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2027</w:t>
            </w:r>
          </w:p>
        </w:tc>
        <w:tc>
          <w:tcPr>
            <w:tcW w:w="4480" w:type="dxa"/>
            <w:vAlign w:val="bottom"/>
            <w:shd w:val="clear" w:color="auto" w:fill="E5E6E7"/>
          </w:tcPr>
          <w:p>
            <w:pPr>
              <w:spacing w:after="0"/>
              <w:rPr>
                <w:sz w:val="19"/>
                <w:szCs w:val="19"/>
                <w:color w:val="auto"/>
              </w:rPr>
            </w:pPr>
          </w:p>
        </w:tc>
        <w:tc>
          <w:tcPr>
            <w:tcW w:w="122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126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291</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2028</w:t>
            </w:r>
          </w:p>
        </w:tc>
        <w:tc>
          <w:tcPr>
            <w:tcW w:w="4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2029</w:t>
            </w:r>
          </w:p>
        </w:tc>
        <w:tc>
          <w:tcPr>
            <w:tcW w:w="4480" w:type="dxa"/>
            <w:vAlign w:val="bottom"/>
            <w:shd w:val="clear" w:color="auto" w:fill="E5E6E7"/>
          </w:tcPr>
          <w:p>
            <w:pPr>
              <w:spacing w:after="0"/>
              <w:rPr>
                <w:sz w:val="19"/>
                <w:szCs w:val="19"/>
                <w:color w:val="auto"/>
              </w:rPr>
            </w:pPr>
          </w:p>
        </w:tc>
        <w:tc>
          <w:tcPr>
            <w:tcW w:w="122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68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1260" w:type="dxa"/>
            <w:vAlign w:val="bottom"/>
            <w:shd w:val="clear" w:color="auto" w:fill="E5E6E7"/>
          </w:tcPr>
          <w:p>
            <w:pPr>
              <w:spacing w:after="0"/>
              <w:rPr>
                <w:sz w:val="19"/>
                <w:szCs w:val="19"/>
                <w:color w:val="auto"/>
              </w:rPr>
            </w:pPr>
          </w:p>
        </w:tc>
        <w:tc>
          <w:tcPr>
            <w:tcW w:w="7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Thereafter</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20"/>
        </w:trPr>
        <w:tc>
          <w:tcPr>
            <w:tcW w:w="5260" w:type="dxa"/>
            <w:vAlign w:val="bottom"/>
            <w:tcBorders>
              <w:top w:val="single" w:sz="8" w:color="E5E6E7"/>
            </w:tcBorders>
            <w:gridSpan w:val="2"/>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future annual minimum lease payments</w:t>
            </w:r>
          </w:p>
        </w:tc>
        <w:tc>
          <w:tcPr>
            <w:tcW w:w="1220" w:type="dxa"/>
            <w:vAlign w:val="bottom"/>
            <w:tcBorders>
              <w:top w:val="single" w:sz="8" w:color="E5E6E7"/>
            </w:tcBorders>
            <w:shd w:val="clear" w:color="auto" w:fill="E5E6E7"/>
          </w:tcPr>
          <w:p>
            <w:pPr>
              <w:spacing w:after="0"/>
              <w:rPr>
                <w:sz w:val="19"/>
                <w:szCs w:val="19"/>
                <w:color w:val="auto"/>
              </w:rPr>
            </w:pPr>
          </w:p>
        </w:tc>
        <w:tc>
          <w:tcPr>
            <w:tcW w:w="940" w:type="dxa"/>
            <w:vAlign w:val="bottom"/>
            <w:tcBorders>
              <w:top w:val="single" w:sz="8" w:color="E5E6E7"/>
            </w:tcBorders>
            <w:shd w:val="clear" w:color="auto" w:fill="E5E6E7"/>
          </w:tcPr>
          <w:p>
            <w:pPr>
              <w:spacing w:after="0"/>
              <w:rPr>
                <w:sz w:val="19"/>
                <w:szCs w:val="19"/>
                <w:color w:val="auto"/>
              </w:rPr>
            </w:pPr>
          </w:p>
        </w:tc>
        <w:tc>
          <w:tcPr>
            <w:tcW w:w="320" w:type="dxa"/>
            <w:vAlign w:val="bottom"/>
            <w:tcBorders>
              <w:top w:val="single" w:sz="8" w:color="454546"/>
            </w:tcBorders>
            <w:shd w:val="clear" w:color="auto" w:fill="E5E6E7"/>
          </w:tcPr>
          <w:p>
            <w:pPr>
              <w:spacing w:after="0"/>
              <w:rPr>
                <w:sz w:val="19"/>
                <w:szCs w:val="19"/>
                <w:color w:val="auto"/>
              </w:rPr>
            </w:pPr>
          </w:p>
        </w:tc>
        <w:tc>
          <w:tcPr>
            <w:tcW w:w="680" w:type="dxa"/>
            <w:vAlign w:val="bottom"/>
            <w:tcBorders>
              <w:top w:val="single" w:sz="8" w:color="454546"/>
            </w:tcBorders>
            <w:shd w:val="clear" w:color="auto" w:fill="E5E6E7"/>
          </w:tcPr>
          <w:p>
            <w:pPr>
              <w:spacing w:after="0"/>
              <w:rPr>
                <w:sz w:val="19"/>
                <w:szCs w:val="19"/>
                <w:color w:val="auto"/>
              </w:rPr>
            </w:pPr>
          </w:p>
        </w:tc>
        <w:tc>
          <w:tcPr>
            <w:tcW w:w="340" w:type="dxa"/>
            <w:vAlign w:val="bottom"/>
            <w:tcBorders>
              <w:top w:val="single" w:sz="8" w:color="454546"/>
            </w:tcBorders>
            <w:shd w:val="clear" w:color="auto" w:fill="E5E6E7"/>
          </w:tcPr>
          <w:p>
            <w:pPr>
              <w:spacing w:after="0"/>
              <w:rPr>
                <w:sz w:val="19"/>
                <w:szCs w:val="19"/>
                <w:color w:val="auto"/>
              </w:rPr>
            </w:pPr>
          </w:p>
        </w:tc>
        <w:tc>
          <w:tcPr>
            <w:tcW w:w="1260" w:type="dxa"/>
            <w:vAlign w:val="bottom"/>
            <w:tcBorders>
              <w:top w:val="single" w:sz="8" w:color="454546"/>
            </w:tcBorders>
            <w:shd w:val="clear" w:color="auto" w:fill="E5E6E7"/>
          </w:tcPr>
          <w:p>
            <w:pPr>
              <w:spacing w:after="0"/>
              <w:rPr>
                <w:sz w:val="19"/>
                <w:szCs w:val="19"/>
                <w:color w:val="auto"/>
              </w:rPr>
            </w:pPr>
          </w:p>
        </w:tc>
        <w:tc>
          <w:tcPr>
            <w:tcW w:w="6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5,468</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Less: interest</w:t>
            </w: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(129)</w:t>
            </w:r>
          </w:p>
        </w:tc>
        <w:tc>
          <w:tcPr>
            <w:tcW w:w="0" w:type="dxa"/>
            <w:vAlign w:val="bottom"/>
          </w:tcPr>
          <w:p>
            <w:pPr>
              <w:spacing w:after="0"/>
              <w:rPr>
                <w:sz w:val="1"/>
                <w:szCs w:val="1"/>
                <w:color w:val="auto"/>
              </w:rPr>
            </w:pPr>
          </w:p>
        </w:tc>
      </w:tr>
      <w:tr>
        <w:trPr>
          <w:trHeight w:val="220"/>
        </w:trPr>
        <w:tc>
          <w:tcPr>
            <w:tcW w:w="5260" w:type="dxa"/>
            <w:vAlign w:val="bottom"/>
            <w:tcBorders>
              <w:top w:val="single" w:sz="8" w:color="E5E6E7"/>
            </w:tcBorders>
            <w:gridSpan w:val="2"/>
            <w:shd w:val="clear" w:color="auto" w:fill="E5E6E7"/>
          </w:tcPr>
          <w:p>
            <w:pPr>
              <w:ind w:left="400"/>
              <w:spacing w:after="0" w:line="220" w:lineRule="exact"/>
              <w:rPr>
                <w:sz w:val="20"/>
                <w:szCs w:val="20"/>
                <w:color w:val="auto"/>
              </w:rPr>
            </w:pPr>
            <w:r>
              <w:rPr>
                <w:rFonts w:ascii="Times New Roman" w:cs="Times New Roman" w:eastAsia="Times New Roman" w:hAnsi="Times New Roman"/>
                <w:sz w:val="20"/>
                <w:szCs w:val="20"/>
                <w:color w:val="454546"/>
              </w:rPr>
              <w:t>Total lease liabilities</w:t>
            </w:r>
          </w:p>
        </w:tc>
        <w:tc>
          <w:tcPr>
            <w:tcW w:w="1220" w:type="dxa"/>
            <w:vAlign w:val="bottom"/>
            <w:tcBorders>
              <w:top w:val="single" w:sz="8" w:color="E5E6E7"/>
            </w:tcBorders>
            <w:shd w:val="clear" w:color="auto" w:fill="E5E6E7"/>
          </w:tcPr>
          <w:p>
            <w:pPr>
              <w:spacing w:after="0"/>
              <w:rPr>
                <w:sz w:val="19"/>
                <w:szCs w:val="19"/>
                <w:color w:val="auto"/>
              </w:rPr>
            </w:pPr>
          </w:p>
        </w:tc>
        <w:tc>
          <w:tcPr>
            <w:tcW w:w="940" w:type="dxa"/>
            <w:vAlign w:val="bottom"/>
            <w:tcBorders>
              <w:top w:val="single" w:sz="8" w:color="E5E6E7"/>
            </w:tcBorders>
            <w:shd w:val="clear" w:color="auto" w:fill="E5E6E7"/>
          </w:tcPr>
          <w:p>
            <w:pPr>
              <w:spacing w:after="0"/>
              <w:rPr>
                <w:sz w:val="19"/>
                <w:szCs w:val="19"/>
                <w:color w:val="auto"/>
              </w:rPr>
            </w:pPr>
          </w:p>
        </w:tc>
        <w:tc>
          <w:tcPr>
            <w:tcW w:w="320" w:type="dxa"/>
            <w:vAlign w:val="bottom"/>
            <w:tcBorders>
              <w:top w:val="single" w:sz="8" w:color="454546"/>
              <w:bottom w:val="single" w:sz="8" w:color="454546"/>
            </w:tcBorders>
            <w:shd w:val="clear" w:color="auto" w:fill="E5E6E7"/>
          </w:tcPr>
          <w:p>
            <w:pPr>
              <w:jc w:val="right"/>
              <w:ind w:right="1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680" w:type="dxa"/>
            <w:vAlign w:val="bottom"/>
            <w:tcBorders>
              <w:top w:val="single" w:sz="8" w:color="454546"/>
              <w:bottom w:val="single" w:sz="8" w:color="454546"/>
            </w:tcBorders>
            <w:shd w:val="clear" w:color="auto" w:fill="E5E6E7"/>
          </w:tcPr>
          <w:p>
            <w:pPr>
              <w:spacing w:after="0"/>
              <w:rPr>
                <w:sz w:val="19"/>
                <w:szCs w:val="19"/>
                <w:color w:val="auto"/>
              </w:rPr>
            </w:pPr>
          </w:p>
        </w:tc>
        <w:tc>
          <w:tcPr>
            <w:tcW w:w="340" w:type="dxa"/>
            <w:vAlign w:val="bottom"/>
            <w:tcBorders>
              <w:top w:val="single" w:sz="8" w:color="454546"/>
              <w:bottom w:val="single" w:sz="8" w:color="454546"/>
            </w:tcBorders>
            <w:shd w:val="clear" w:color="auto" w:fill="E5E6E7"/>
          </w:tcPr>
          <w:p>
            <w:pPr>
              <w:spacing w:after="0"/>
              <w:rPr>
                <w:sz w:val="19"/>
                <w:szCs w:val="19"/>
                <w:color w:val="auto"/>
              </w:rPr>
            </w:pPr>
          </w:p>
        </w:tc>
        <w:tc>
          <w:tcPr>
            <w:tcW w:w="1260" w:type="dxa"/>
            <w:vAlign w:val="bottom"/>
            <w:tcBorders>
              <w:top w:val="single" w:sz="8" w:color="454546"/>
              <w:bottom w:val="single" w:sz="8" w:color="454546"/>
            </w:tcBorders>
            <w:shd w:val="clear" w:color="auto" w:fill="E5E6E7"/>
          </w:tcPr>
          <w:p>
            <w:pPr>
              <w:spacing w:after="0"/>
              <w:rPr>
                <w:sz w:val="19"/>
                <w:szCs w:val="19"/>
                <w:color w:val="auto"/>
              </w:rPr>
            </w:pPr>
          </w:p>
        </w:tc>
        <w:tc>
          <w:tcPr>
            <w:tcW w:w="6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5,339</w:t>
            </w:r>
          </w:p>
        </w:tc>
        <w:tc>
          <w:tcPr>
            <w:tcW w:w="10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10. Other Long-Term Liabilities</w:t>
            </w: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680" w:type="dxa"/>
            <w:vAlign w:val="bottom"/>
            <w:tcBorders>
              <w:bottom w:val="single" w:sz="8" w:color="454546"/>
            </w:tcBorders>
          </w:tcPr>
          <w:p>
            <w:pPr>
              <w:spacing w:after="0" w:line="20" w:lineRule="exact"/>
              <w:rPr>
                <w:sz w:val="1"/>
                <w:szCs w:val="1"/>
                <w:color w:val="auto"/>
              </w:rPr>
            </w:pPr>
          </w:p>
        </w:tc>
        <w:tc>
          <w:tcPr>
            <w:tcW w:w="340" w:type="dxa"/>
            <w:vAlign w:val="bottom"/>
            <w:tcBorders>
              <w:bottom w:val="single" w:sz="8" w:color="454546"/>
            </w:tcBorders>
          </w:tcPr>
          <w:p>
            <w:pPr>
              <w:spacing w:after="0" w:line="20" w:lineRule="exact"/>
              <w:rPr>
                <w:sz w:val="1"/>
                <w:szCs w:val="1"/>
                <w:color w:val="auto"/>
              </w:rPr>
            </w:pPr>
          </w:p>
        </w:tc>
        <w:tc>
          <w:tcPr>
            <w:tcW w:w="1260" w:type="dxa"/>
            <w:vAlign w:val="bottom"/>
            <w:tcBorders>
              <w:bottom w:val="single" w:sz="8" w:color="454546"/>
            </w:tcBorders>
          </w:tcPr>
          <w:p>
            <w:pPr>
              <w:spacing w:after="0" w:line="20" w:lineRule="exact"/>
              <w:rPr>
                <w:sz w:val="1"/>
                <w:szCs w:val="1"/>
                <w:color w:val="auto"/>
              </w:rPr>
            </w:pPr>
          </w:p>
        </w:tc>
        <w:tc>
          <w:tcPr>
            <w:tcW w:w="6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52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740" w:type="dxa"/>
            <w:vAlign w:val="bottom"/>
            <w:gridSpan w:val="5"/>
          </w:tcPr>
          <w:p>
            <w:pPr>
              <w:ind w:left="500"/>
              <w:spacing w:after="0"/>
              <w:rPr>
                <w:sz w:val="20"/>
                <w:szCs w:val="20"/>
                <w:color w:val="auto"/>
              </w:rPr>
            </w:pPr>
            <w:r>
              <w:rPr>
                <w:rFonts w:ascii="Times New Roman" w:cs="Times New Roman" w:eastAsia="Times New Roman" w:hAnsi="Times New Roman"/>
                <w:sz w:val="20"/>
                <w:szCs w:val="20"/>
                <w:color w:val="454546"/>
              </w:rPr>
              <w:t>Other long-term liabilities at January 31, 2024 and 2023 consisted of the following:</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Borders>
              <w:bottom w:val="single" w:sz="8" w:color="454546"/>
            </w:tcBorders>
          </w:tcPr>
          <w:p>
            <w:pPr>
              <w:spacing w:after="0"/>
              <w:rPr>
                <w:sz w:val="24"/>
                <w:szCs w:val="24"/>
                <w:color w:val="auto"/>
              </w:rPr>
            </w:pPr>
          </w:p>
        </w:tc>
        <w:tc>
          <w:tcPr>
            <w:tcW w:w="320" w:type="dxa"/>
            <w:vAlign w:val="bottom"/>
            <w:tcBorders>
              <w:bottom w:val="single" w:sz="8" w:color="454546"/>
            </w:tcBorders>
          </w:tcPr>
          <w:p>
            <w:pPr>
              <w:spacing w:after="0"/>
              <w:rPr>
                <w:sz w:val="24"/>
                <w:szCs w:val="24"/>
                <w:color w:val="auto"/>
              </w:rPr>
            </w:pPr>
          </w:p>
        </w:tc>
        <w:tc>
          <w:tcPr>
            <w:tcW w:w="2280" w:type="dxa"/>
            <w:vAlign w:val="bottom"/>
            <w:tcBorders>
              <w:bottom w:val="single" w:sz="8" w:color="454546"/>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454546"/>
              </w:rPr>
              <w:t>As of January 31,</w:t>
            </w:r>
          </w:p>
        </w:tc>
        <w:tc>
          <w:tcPr>
            <w:tcW w:w="680" w:type="dxa"/>
            <w:vAlign w:val="bottom"/>
            <w:tcBorders>
              <w:bottom w:val="single" w:sz="8" w:color="454546"/>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Borders>
              <w:bottom w:val="single" w:sz="8" w:color="454546"/>
            </w:tcBorders>
            <w:gridSpan w:val="2"/>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680" w:type="dxa"/>
            <w:vAlign w:val="bottom"/>
            <w:tcBorders>
              <w:bottom w:val="single" w:sz="8" w:color="454546"/>
            </w:tcBorders>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bottom w:val="single" w:sz="8" w:color="454546"/>
            </w:tcBorders>
          </w:tcPr>
          <w:p>
            <w:pPr>
              <w:jc w:val="right"/>
              <w:ind w:right="53"/>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680" w:type="dxa"/>
            <w:vAlign w:val="bottom"/>
            <w:tcBorders>
              <w:bottom w:val="single" w:sz="8" w:color="45454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46"/>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600" w:type="dxa"/>
            <w:vAlign w:val="bottom"/>
            <w:gridSpan w:val="2"/>
          </w:tcPr>
          <w:p>
            <w:pPr>
              <w:jc w:val="right"/>
              <w:ind w:right="853"/>
              <w:spacing w:after="0" w:line="174" w:lineRule="exact"/>
              <w:rPr>
                <w:sz w:val="20"/>
                <w:szCs w:val="20"/>
                <w:color w:val="auto"/>
              </w:rPr>
            </w:pPr>
            <w:r>
              <w:rPr>
                <w:rFonts w:ascii="Times New Roman" w:cs="Times New Roman" w:eastAsia="Times New Roman" w:hAnsi="Times New Roman"/>
                <w:sz w:val="16"/>
                <w:szCs w:val="16"/>
                <w:b w:val="1"/>
                <w:bCs w:val="1"/>
                <w:color w:val="454546"/>
                <w:w w:val="85"/>
              </w:rPr>
              <w:t>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Unrecognized tax benefits, including interest</w:t>
            </w:r>
          </w:p>
        </w:tc>
        <w:tc>
          <w:tcPr>
            <w:tcW w:w="2160" w:type="dxa"/>
            <w:vAlign w:val="bottom"/>
            <w:gridSpan w:val="2"/>
            <w:shd w:val="clear" w:color="auto" w:fill="E5E6E7"/>
          </w:tcPr>
          <w:p>
            <w:pPr>
              <w:jc w:val="right"/>
              <w:ind w:right="750"/>
              <w:spacing w:after="0"/>
              <w:rPr>
                <w:sz w:val="20"/>
                <w:szCs w:val="20"/>
                <w:color w:val="auto"/>
              </w:rPr>
            </w:pPr>
            <w:r>
              <w:rPr>
                <w:rFonts w:ascii="Times New Roman" w:cs="Times New Roman" w:eastAsia="Times New Roman" w:hAnsi="Times New Roman"/>
                <w:sz w:val="20"/>
                <w:szCs w:val="20"/>
                <w:color w:val="454546"/>
              </w:rPr>
              <w:t>$</w:t>
            </w:r>
          </w:p>
        </w:tc>
        <w:tc>
          <w:tcPr>
            <w:tcW w:w="32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3,762</w:t>
            </w:r>
          </w:p>
        </w:tc>
        <w:tc>
          <w:tcPr>
            <w:tcW w:w="1600" w:type="dxa"/>
            <w:vAlign w:val="bottom"/>
            <w:gridSpan w:val="2"/>
            <w:shd w:val="clear" w:color="auto" w:fill="E5E6E7"/>
          </w:tcPr>
          <w:p>
            <w:pPr>
              <w:jc w:val="right"/>
              <w:ind w:right="1073"/>
              <w:spacing w:after="0"/>
              <w:rPr>
                <w:sz w:val="20"/>
                <w:szCs w:val="20"/>
                <w:color w:val="auto"/>
              </w:rPr>
            </w:pPr>
            <w:r>
              <w:rPr>
                <w:rFonts w:ascii="Times New Roman" w:cs="Times New Roman" w:eastAsia="Times New Roman" w:hAnsi="Times New Roman"/>
                <w:sz w:val="20"/>
                <w:szCs w:val="20"/>
                <w:color w:val="454546"/>
              </w:rPr>
              <w:t>$</w:t>
            </w: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3,770</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Deferred tax liabilities</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855</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Software license liabilities, non-current</w:t>
            </w:r>
          </w:p>
        </w:tc>
        <w:tc>
          <w:tcPr>
            <w:tcW w:w="122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8,288</w:t>
            </w:r>
          </w:p>
        </w:tc>
        <w:tc>
          <w:tcPr>
            <w:tcW w:w="340" w:type="dxa"/>
            <w:vAlign w:val="bottom"/>
            <w:shd w:val="clear" w:color="auto" w:fill="E5E6E7"/>
          </w:tcPr>
          <w:p>
            <w:pPr>
              <w:spacing w:after="0"/>
              <w:rPr>
                <w:sz w:val="19"/>
                <w:szCs w:val="19"/>
                <w:color w:val="auto"/>
              </w:rPr>
            </w:pPr>
          </w:p>
        </w:tc>
        <w:tc>
          <w:tcPr>
            <w:tcW w:w="1260" w:type="dxa"/>
            <w:vAlign w:val="bottom"/>
            <w:shd w:val="clear" w:color="auto" w:fill="E5E6E7"/>
          </w:tcPr>
          <w:p>
            <w:pPr>
              <w:spacing w:after="0"/>
              <w:rPr>
                <w:sz w:val="19"/>
                <w:szCs w:val="19"/>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9,614</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E5E6E7"/>
            </w:tcBorders>
            <w:gridSpan w:val="2"/>
          </w:tcPr>
          <w:p>
            <w:pPr>
              <w:spacing w:after="0"/>
              <w:rPr>
                <w:sz w:val="20"/>
                <w:szCs w:val="20"/>
                <w:color w:val="auto"/>
              </w:rPr>
            </w:pPr>
            <w:r>
              <w:rPr>
                <w:rFonts w:ascii="Times New Roman" w:cs="Times New Roman" w:eastAsia="Times New Roman" w:hAnsi="Times New Roman"/>
                <w:sz w:val="20"/>
                <w:szCs w:val="20"/>
                <w:color w:val="454546"/>
              </w:rPr>
              <w:t>Other long-term liabilities</w:t>
            </w:r>
          </w:p>
        </w:tc>
        <w:tc>
          <w:tcPr>
            <w:tcW w:w="1220" w:type="dxa"/>
            <w:vAlign w:val="bottom"/>
            <w:tcBorders>
              <w:bottom w:val="single" w:sz="8" w:color="E5E6E7"/>
            </w:tcBorders>
          </w:tcPr>
          <w:p>
            <w:pPr>
              <w:spacing w:after="0"/>
              <w:rPr>
                <w:sz w:val="19"/>
                <w:szCs w:val="19"/>
                <w:color w:val="auto"/>
              </w:rPr>
            </w:pPr>
          </w:p>
        </w:tc>
        <w:tc>
          <w:tcPr>
            <w:tcW w:w="940" w:type="dxa"/>
            <w:vAlign w:val="bottom"/>
            <w:tcBorders>
              <w:bottom w:val="single" w:sz="8" w:color="454546"/>
            </w:tcBorders>
          </w:tcPr>
          <w:p>
            <w:pPr>
              <w:spacing w:after="0"/>
              <w:rPr>
                <w:sz w:val="19"/>
                <w:szCs w:val="19"/>
                <w:color w:val="auto"/>
              </w:rPr>
            </w:pPr>
          </w:p>
        </w:tc>
        <w:tc>
          <w:tcPr>
            <w:tcW w:w="320" w:type="dxa"/>
            <w:vAlign w:val="bottom"/>
            <w:tcBorders>
              <w:bottom w:val="single" w:sz="8" w:color="454546"/>
            </w:tcBorders>
          </w:tcPr>
          <w:p>
            <w:pPr>
              <w:spacing w:after="0"/>
              <w:rPr>
                <w:sz w:val="19"/>
                <w:szCs w:val="19"/>
                <w:color w:val="auto"/>
              </w:rPr>
            </w:pPr>
          </w:p>
        </w:tc>
        <w:tc>
          <w:tcPr>
            <w:tcW w:w="6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340" w:type="dxa"/>
            <w:vAlign w:val="bottom"/>
            <w:tcBorders>
              <w:bottom w:val="single" w:sz="8" w:color="E5E6E7"/>
            </w:tcBorders>
          </w:tcPr>
          <w:p>
            <w:pPr>
              <w:spacing w:after="0"/>
              <w:rPr>
                <w:sz w:val="19"/>
                <w:szCs w:val="19"/>
                <w:color w:val="auto"/>
              </w:rPr>
            </w:pPr>
          </w:p>
        </w:tc>
        <w:tc>
          <w:tcPr>
            <w:tcW w:w="1260" w:type="dxa"/>
            <w:vAlign w:val="bottom"/>
            <w:tcBorders>
              <w:bottom w:val="single" w:sz="8" w:color="454546"/>
            </w:tcBorders>
          </w:tcPr>
          <w:p>
            <w:pPr>
              <w:spacing w:after="0"/>
              <w:rPr>
                <w:sz w:val="19"/>
                <w:szCs w:val="19"/>
                <w:color w:val="auto"/>
              </w:rPr>
            </w:pPr>
          </w:p>
        </w:tc>
        <w:tc>
          <w:tcPr>
            <w:tcW w:w="6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1,044</w:t>
            </w:r>
          </w:p>
        </w:tc>
        <w:tc>
          <w:tcPr>
            <w:tcW w:w="10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60" w:type="dxa"/>
            <w:vAlign w:val="bottom"/>
            <w:gridSpan w:val="2"/>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other long-term liabilities</w:t>
            </w:r>
          </w:p>
        </w:tc>
        <w:tc>
          <w:tcPr>
            <w:tcW w:w="1220" w:type="dxa"/>
            <w:vAlign w:val="bottom"/>
            <w:shd w:val="clear" w:color="auto" w:fill="E5E6E7"/>
          </w:tcPr>
          <w:p>
            <w:pPr>
              <w:spacing w:after="0"/>
              <w:rPr>
                <w:sz w:val="19"/>
                <w:szCs w:val="19"/>
                <w:color w:val="auto"/>
              </w:rPr>
            </w:pPr>
          </w:p>
        </w:tc>
        <w:tc>
          <w:tcPr>
            <w:tcW w:w="940" w:type="dxa"/>
            <w:vAlign w:val="bottom"/>
            <w:tcBorders>
              <w:bottom w:val="single" w:sz="8" w:color="454546"/>
            </w:tcBorders>
            <w:shd w:val="clear" w:color="auto" w:fill="E5E6E7"/>
          </w:tcPr>
          <w:p>
            <w:pPr>
              <w:jc w:val="right"/>
              <w:ind w:right="75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320" w:type="dxa"/>
            <w:vAlign w:val="bottom"/>
            <w:tcBorders>
              <w:bottom w:val="single" w:sz="8" w:color="454546"/>
            </w:tcBorders>
            <w:shd w:val="clear" w:color="auto" w:fill="E5E6E7"/>
          </w:tcPr>
          <w:p>
            <w:pPr>
              <w:spacing w:after="0"/>
              <w:rPr>
                <w:sz w:val="19"/>
                <w:szCs w:val="19"/>
                <w:color w:val="auto"/>
              </w:rPr>
            </w:pPr>
          </w:p>
        </w:tc>
        <w:tc>
          <w:tcPr>
            <w:tcW w:w="6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12,909</w:t>
            </w:r>
          </w:p>
        </w:tc>
        <w:tc>
          <w:tcPr>
            <w:tcW w:w="340" w:type="dxa"/>
            <w:vAlign w:val="bottom"/>
            <w:shd w:val="clear" w:color="auto" w:fill="E5E6E7"/>
          </w:tcPr>
          <w:p>
            <w:pPr>
              <w:spacing w:after="0"/>
              <w:rPr>
                <w:sz w:val="19"/>
                <w:szCs w:val="19"/>
                <w:color w:val="auto"/>
              </w:rPr>
            </w:pPr>
          </w:p>
        </w:tc>
        <w:tc>
          <w:tcPr>
            <w:tcW w:w="1260" w:type="dxa"/>
            <w:vAlign w:val="bottom"/>
            <w:tcBorders>
              <w:bottom w:val="single" w:sz="8" w:color="454546"/>
            </w:tcBorders>
            <w:shd w:val="clear" w:color="auto" w:fill="E5E6E7"/>
          </w:tcPr>
          <w:p>
            <w:pPr>
              <w:jc w:val="right"/>
              <w:ind w:right="1073"/>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6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15,548</w:t>
            </w: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Borders>
              <w:bottom w:val="single" w:sz="8" w:color="454546"/>
            </w:tcBorders>
          </w:tcPr>
          <w:p>
            <w:pPr>
              <w:spacing w:after="0" w:line="20" w:lineRule="exact"/>
              <w:rPr>
                <w:sz w:val="1"/>
                <w:szCs w:val="1"/>
                <w:color w:val="auto"/>
              </w:rPr>
            </w:pPr>
          </w:p>
        </w:tc>
        <w:tc>
          <w:tcPr>
            <w:tcW w:w="320" w:type="dxa"/>
            <w:vAlign w:val="bottom"/>
            <w:tcBorders>
              <w:bottom w:val="single" w:sz="8" w:color="454546"/>
            </w:tcBorders>
          </w:tcPr>
          <w:p>
            <w:pPr>
              <w:spacing w:after="0" w:line="20" w:lineRule="exact"/>
              <w:rPr>
                <w:sz w:val="1"/>
                <w:szCs w:val="1"/>
                <w:color w:val="auto"/>
              </w:rPr>
            </w:pPr>
          </w:p>
        </w:tc>
        <w:tc>
          <w:tcPr>
            <w:tcW w:w="680" w:type="dxa"/>
            <w:vAlign w:val="bottom"/>
            <w:tcBorders>
              <w:bottom w:val="single" w:sz="8" w:color="454546"/>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454546"/>
            </w:tcBorders>
          </w:tcPr>
          <w:p>
            <w:pPr>
              <w:spacing w:after="0" w:line="20" w:lineRule="exact"/>
              <w:rPr>
                <w:sz w:val="1"/>
                <w:szCs w:val="1"/>
                <w:color w:val="auto"/>
              </w:rPr>
            </w:pPr>
          </w:p>
        </w:tc>
        <w:tc>
          <w:tcPr>
            <w:tcW w:w="68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500" w:right="8820" w:hanging="500"/>
        <w:spacing w:after="0" w:line="386" w:lineRule="auto"/>
        <w:tabs>
          <w:tab w:leader="none" w:pos="310" w:val="left"/>
        </w:tabs>
        <w:numPr>
          <w:ilvl w:val="0"/>
          <w:numId w:val="34"/>
        </w:numPr>
        <w:rPr>
          <w:rFonts w:ascii="Times New Roman" w:cs="Times New Roman" w:eastAsia="Times New Roman" w:hAnsi="Times New Roman"/>
          <w:sz w:val="19"/>
          <w:szCs w:val="19"/>
          <w:b w:val="1"/>
          <w:bCs w:val="1"/>
          <w:color w:val="454546"/>
        </w:rPr>
      </w:pPr>
      <w:r>
        <w:rPr>
          <w:rFonts w:ascii="Times New Roman" w:cs="Times New Roman" w:eastAsia="Times New Roman" w:hAnsi="Times New Roman"/>
          <w:sz w:val="19"/>
          <w:szCs w:val="19"/>
          <w:b w:val="1"/>
          <w:bCs w:val="1"/>
          <w:color w:val="454546"/>
        </w:rPr>
        <w:t xml:space="preserve">Capital Stock </w:t>
      </w:r>
      <w:r>
        <w:rPr>
          <w:rFonts w:ascii="Times New Roman" w:cs="Times New Roman" w:eastAsia="Times New Roman" w:hAnsi="Times New Roman"/>
          <w:sz w:val="19"/>
          <w:szCs w:val="19"/>
          <w:b w:val="1"/>
          <w:bCs w:val="1"/>
          <w:i w:val="1"/>
          <w:iCs w:val="1"/>
          <w:color w:val="454546"/>
        </w:rPr>
        <w:t>Preference shares</w:t>
      </w:r>
    </w:p>
    <w:p>
      <w:pPr>
        <w:spacing w:after="0" w:line="1"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454546"/>
        </w:rPr>
        <w:t>Since the Company’s initial public offering, or IPO, a total of 20,000,000 preference shares, with a $0.00045 par value per share, were authorized. There were no preference shares issued and outstanding as of January 31, 2024 and 2023, respectively.</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Ordinary shares</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454546"/>
        </w:rPr>
        <w:t>As of January 31, 2024 and 2023, the following ordinary shares were reserved for future issuance under the Company’s equity plans and employee stock purchase plan:</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260" w:type="dxa"/>
            <w:vAlign w:val="bottom"/>
            <w:tcBorders>
              <w:bottom w:val="single" w:sz="8" w:color="454546"/>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454546"/>
              </w:rPr>
              <w:t>As of January 31,</w:t>
            </w:r>
          </w:p>
        </w:tc>
        <w:tc>
          <w:tcPr>
            <w:tcW w:w="80" w:type="dxa"/>
            <w:vAlign w:val="bottom"/>
          </w:tcPr>
          <w:p>
            <w:pPr>
              <w:spacing w:after="0"/>
              <w:rPr>
                <w:sz w:val="17"/>
                <w:szCs w:val="17"/>
                <w:color w:val="auto"/>
              </w:rPr>
            </w:pPr>
          </w:p>
        </w:tc>
      </w:tr>
      <w:tr>
        <w:trPr>
          <w:trHeight w:val="174"/>
        </w:trPr>
        <w:tc>
          <w:tcPr>
            <w:tcW w:w="5220" w:type="dxa"/>
            <w:vAlign w:val="bottom"/>
          </w:tcPr>
          <w:p>
            <w:pPr>
              <w:spacing w:after="0"/>
              <w:rPr>
                <w:sz w:val="15"/>
                <w:szCs w:val="15"/>
                <w:color w:val="auto"/>
              </w:rPr>
            </w:pPr>
          </w:p>
        </w:tc>
        <w:tc>
          <w:tcPr>
            <w:tcW w:w="1060" w:type="dxa"/>
            <w:vAlign w:val="bottom"/>
          </w:tcPr>
          <w:p>
            <w:pPr>
              <w:jc w:val="right"/>
              <w:ind w:right="29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200" w:type="dxa"/>
            <w:vAlign w:val="bottom"/>
            <w:gridSpan w:val="2"/>
          </w:tcPr>
          <w:p>
            <w:pPr>
              <w:jc w:val="right"/>
              <w:ind w:right="26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80" w:type="dxa"/>
            <w:vAlign w:val="bottom"/>
          </w:tcPr>
          <w:p>
            <w:pPr>
              <w:spacing w:after="0"/>
              <w:rPr>
                <w:sz w:val="15"/>
                <w:szCs w:val="15"/>
                <w:color w:val="auto"/>
              </w:rPr>
            </w:pPr>
          </w:p>
        </w:tc>
      </w:tr>
      <w:tr>
        <w:trPr>
          <w:trHeight w:val="200"/>
        </w:trPr>
        <w:tc>
          <w:tcPr>
            <w:tcW w:w="5220" w:type="dxa"/>
            <w:vAlign w:val="bottom"/>
            <w:tcBorders>
              <w:top w:val="single" w:sz="8" w:color="E5E6E7"/>
            </w:tcBorders>
            <w:shd w:val="clear" w:color="auto" w:fill="E5E6E7"/>
          </w:tcPr>
          <w:p>
            <w:pPr>
              <w:spacing w:after="0" w:line="201" w:lineRule="exact"/>
              <w:rPr>
                <w:sz w:val="20"/>
                <w:szCs w:val="20"/>
                <w:color w:val="auto"/>
              </w:rPr>
            </w:pPr>
            <w:r>
              <w:rPr>
                <w:rFonts w:ascii="Times New Roman" w:cs="Times New Roman" w:eastAsia="Times New Roman" w:hAnsi="Times New Roman"/>
                <w:sz w:val="20"/>
                <w:szCs w:val="20"/>
                <w:color w:val="454546"/>
              </w:rPr>
              <w:t>Shares reserved for options, restricted stock and restricted stock</w:t>
            </w:r>
          </w:p>
        </w:tc>
        <w:tc>
          <w:tcPr>
            <w:tcW w:w="1060" w:type="dxa"/>
            <w:vAlign w:val="bottom"/>
            <w:tcBorders>
              <w:top w:val="single" w:sz="8" w:color="454546"/>
            </w:tcBorders>
            <w:shd w:val="clear" w:color="auto" w:fill="E5E6E7"/>
          </w:tcPr>
          <w:p>
            <w:pPr>
              <w:spacing w:after="0"/>
              <w:rPr>
                <w:sz w:val="17"/>
                <w:szCs w:val="17"/>
                <w:color w:val="auto"/>
              </w:rPr>
            </w:pPr>
          </w:p>
        </w:tc>
        <w:tc>
          <w:tcPr>
            <w:tcW w:w="160" w:type="dxa"/>
            <w:vAlign w:val="bottom"/>
            <w:tcBorders>
              <w:top w:val="single" w:sz="8" w:color="E5E6E7"/>
            </w:tcBorders>
            <w:shd w:val="clear" w:color="auto" w:fill="E5E6E7"/>
          </w:tcPr>
          <w:p>
            <w:pPr>
              <w:spacing w:after="0"/>
              <w:rPr>
                <w:sz w:val="17"/>
                <w:szCs w:val="17"/>
                <w:color w:val="auto"/>
              </w:rPr>
            </w:pPr>
          </w:p>
        </w:tc>
        <w:tc>
          <w:tcPr>
            <w:tcW w:w="1040" w:type="dxa"/>
            <w:vAlign w:val="bottom"/>
            <w:tcBorders>
              <w:top w:val="single" w:sz="8" w:color="454546"/>
            </w:tcBorders>
            <w:shd w:val="clear" w:color="auto" w:fill="E5E6E7"/>
          </w:tcPr>
          <w:p>
            <w:pPr>
              <w:spacing w:after="0"/>
              <w:rPr>
                <w:sz w:val="17"/>
                <w:szCs w:val="17"/>
                <w:color w:val="auto"/>
              </w:rPr>
            </w:pPr>
          </w:p>
        </w:tc>
        <w:tc>
          <w:tcPr>
            <w:tcW w:w="80" w:type="dxa"/>
            <w:vAlign w:val="bottom"/>
            <w:tcBorders>
              <w:top w:val="single" w:sz="8" w:color="E5E6E7"/>
            </w:tcBorders>
            <w:shd w:val="clear" w:color="auto" w:fill="E5E6E7"/>
          </w:tcPr>
          <w:p>
            <w:pPr>
              <w:spacing w:after="0"/>
              <w:rPr>
                <w:sz w:val="17"/>
                <w:szCs w:val="17"/>
                <w:color w:val="auto"/>
              </w:rPr>
            </w:pPr>
          </w:p>
        </w:tc>
      </w:tr>
      <w:tr>
        <w:trPr>
          <w:trHeight w:val="249"/>
        </w:trPr>
        <w:tc>
          <w:tcPr>
            <w:tcW w:w="5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units under equity plans</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4,492,705</w:t>
            </w:r>
          </w:p>
        </w:tc>
        <w:tc>
          <w:tcPr>
            <w:tcW w:w="16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5,822,819</w:t>
            </w:r>
          </w:p>
        </w:tc>
        <w:tc>
          <w:tcPr>
            <w:tcW w:w="80" w:type="dxa"/>
            <w:vAlign w:val="bottom"/>
            <w:shd w:val="clear" w:color="auto" w:fill="E5E6E7"/>
          </w:tcPr>
          <w:p>
            <w:pPr>
              <w:spacing w:after="0"/>
              <w:rPr>
                <w:sz w:val="21"/>
                <w:szCs w:val="21"/>
                <w:color w:val="auto"/>
              </w:rPr>
            </w:pPr>
          </w:p>
        </w:tc>
      </w:tr>
      <w:tr>
        <w:trPr>
          <w:trHeight w:val="266"/>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454546"/>
              </w:rPr>
              <w:t>Shares reserved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2,834,384</w:t>
            </w: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2,986,403</w:t>
            </w:r>
          </w:p>
        </w:tc>
        <w:tc>
          <w:tcPr>
            <w:tcW w:w="80" w:type="dxa"/>
            <w:vAlign w:val="bottom"/>
          </w:tcPr>
          <w:p>
            <w:pPr>
              <w:spacing w:after="0"/>
              <w:rPr>
                <w:sz w:val="23"/>
                <w:szCs w:val="23"/>
                <w:color w:val="auto"/>
              </w:rPr>
            </w:pPr>
          </w:p>
        </w:tc>
      </w:tr>
    </w:tbl>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Shares repurchased</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454546"/>
        </w:rPr>
        <w:t>There were no shares repurchased in fiscal years 2024, 2023 and 2022. On May 26, 2023, the Company's Board of Directors approved an extension of the existing share repurchase program for an additional twelve months through June 30, 2024. As of January 31, 2024, there was approximately $49.0 million available for repurchases through June 30, 2024. Repurchases under the program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Repurchases are funded using working capital and any repurchased shares will be recorded as authorized but unissued shares.</w:t>
      </w:r>
    </w:p>
    <w:p>
      <w:pPr>
        <w:sectPr>
          <w:pgSz w:w="12240" w:h="15840" w:orient="portrait"/>
          <w:cols w:equalWidth="0" w:num="1">
            <w:col w:w="10800"/>
          </w:cols>
          <w:pgMar w:left="720" w:top="97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93</w:t>
      </w:r>
    </w:p>
    <w:p>
      <w:pPr>
        <w:sectPr>
          <w:pgSz w:w="12240" w:h="15840" w:orient="portrait"/>
          <w:cols w:equalWidth="0" w:num="1">
            <w:col w:w="10800"/>
          </w:cols>
          <w:pgMar w:left="720" w:top="976" w:right="720" w:bottom="175" w:gutter="0" w:footer="0" w:header="0"/>
          <w:type w:val="continuous"/>
        </w:sectPr>
      </w:pPr>
    </w:p>
    <w:bookmarkStart w:id="98" w:name="page99"/>
    <w:bookmarkEnd w:id="98"/>
    <w:p>
      <w:pPr>
        <w:ind w:left="500" w:right="6140" w:hanging="500"/>
        <w:spacing w:after="0" w:line="367" w:lineRule="auto"/>
        <w:tabs>
          <w:tab w:leader="none" w:pos="310" w:val="left"/>
        </w:tabs>
        <w:numPr>
          <w:ilvl w:val="0"/>
          <w:numId w:val="35"/>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b w:val="1"/>
          <w:bCs w:val="1"/>
          <w:color w:val="454546"/>
        </w:rPr>
        <w:t xml:space="preserve">Employee Benefits and Stock-based Compensation </w:t>
      </w:r>
      <w:r>
        <w:rPr>
          <w:rFonts w:ascii="Times New Roman" w:cs="Times New Roman" w:eastAsia="Times New Roman" w:hAnsi="Times New Roman"/>
          <w:sz w:val="20"/>
          <w:szCs w:val="20"/>
          <w:b w:val="1"/>
          <w:bCs w:val="1"/>
          <w:i w:val="1"/>
          <w:iCs w:val="1"/>
          <w:color w:val="454546"/>
        </w:rPr>
        <w:t>401(k) Plan</w:t>
      </w:r>
    </w:p>
    <w:p>
      <w:pPr>
        <w:spacing w:after="0" w:line="1"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454546"/>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Company’s contribution expense for the fiscal years ended January 31, 2024, 2023, and 2022 was approximately $0.8 million, $0.8 million and $0.6 million, respectively.</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 Option Plans</w:t>
      </w:r>
    </w:p>
    <w:p>
      <w:pPr>
        <w:spacing w:after="0" w:line="240"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2012 Equity Incentive Plan. </w:t>
      </w:r>
      <w:r>
        <w:rPr>
          <w:rFonts w:ascii="Times New Roman" w:cs="Times New Roman" w:eastAsia="Times New Roman" w:hAnsi="Times New Roman"/>
          <w:sz w:val="20"/>
          <w:szCs w:val="20"/>
          <w:color w:val="454546"/>
        </w:rPr>
        <w:t>The 2012 Equity Incentive Plan, or 2012 EIP, permits the grant of ISOs, within the meaning of</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Section 422 of the Code, to employees of the Company and any of the Company’s subsidiary corporations, and the grant of NSOs, stock appreciation rights, restricted stock, restricted stock units, performance units, performance shares, deferred stock units and dividend equivalents to employees, directors and consultants of the Company and any of the Company’s subsidiary corporations’ employees and consultants.</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2021 Equity Incentive Plan. </w:t>
      </w:r>
      <w:r>
        <w:rPr>
          <w:rFonts w:ascii="Times New Roman" w:cs="Times New Roman" w:eastAsia="Times New Roman" w:hAnsi="Times New Roman"/>
          <w:sz w:val="20"/>
          <w:szCs w:val="20"/>
          <w:color w:val="454546"/>
        </w:rPr>
        <w:t>In June 2021, the Company’s shareholders approved the 2021 Equity Incentive Plan, or 2021 EIP.</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The 2021 EIP permits the grant of ISOs, within the meaning of Section 422 of the Code, to employees of the Company and any of the Company’s subsidiary or parent corporations, and the grant of NSOs, stock appreciation rights, restricted stock, restricted stock units, and performance awards to employees, directors and consultants of the Company and any of the Company’s subsidiary or parent corporations’ employees and consultants. Upon adoption of the 2021 EIP, the total number of ordinary shares of the Company reserved for issuance under the 2021 Plan was equal to, subject to adjustments upon changes in capitalization as provided under the 2021 EIP, 1,350,000 ordinary shares, plus (i) any ordinary shares subject to outstanding awards granted under the 2012 EIP, that, after the date the 2012 EIP is terminated, are cancelled, expire or otherwise terminate without having been exercised in full or are forfeited to or repurchased by the Company due to failure to vest, and (ii) any ordinary shares that, as of immediately prior to the termination of the 2012 EIP, were available for grant under the 2012 EIP, up to a maximum of 6,834,208 ordinary shares pursuant to clauses (i) and (ii).</w:t>
      </w:r>
    </w:p>
    <w:p>
      <w:pPr>
        <w:spacing w:after="0" w:line="20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454546"/>
        </w:rPr>
        <w:t>In the first quarter of fiscal year 2022, the Company added 1,599,634 shares to the ordinary shares reserved for issuance, pursuant to an “evergreen” provision contained in the 2012 EIP. Upon the approval of the 2021 EIP, the 2012 EIP was terminated. No additional awards will be granted under the 2012 EIP and any shares that were reserved but not issued under the 2012 EIP became available for future grant or sale under the 2021 EIP. However, all outstanding stock options and other awards previously granted under the 2012 EIP will remain subject to the terms of the 2012 EIP.</w:t>
      </w:r>
    </w:p>
    <w:p>
      <w:pPr>
        <w:spacing w:after="0" w:line="197"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Oculii Corp. 2017 Stock Option Plan. </w:t>
      </w:r>
      <w:r>
        <w:rPr>
          <w:rFonts w:ascii="Times New Roman" w:cs="Times New Roman" w:eastAsia="Times New Roman" w:hAnsi="Times New Roman"/>
          <w:sz w:val="20"/>
          <w:szCs w:val="20"/>
          <w:color w:val="454546"/>
        </w:rPr>
        <w:t>In November 2021, the Company assumed the Oculii Corp. 2017 Stock Option Plan, or</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2017 Plan, as part of the acquisition of Oculii.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94" w:lineRule="exact"/>
        <w:rPr>
          <w:sz w:val="20"/>
          <w:szCs w:val="20"/>
          <w:color w:val="auto"/>
        </w:rPr>
      </w:pPr>
    </w:p>
    <w:p>
      <w:pPr>
        <w:jc w:val="both"/>
        <w:ind w:right="140" w:firstLine="490"/>
        <w:spacing w:after="0" w:line="249" w:lineRule="auto"/>
        <w:rPr>
          <w:sz w:val="20"/>
          <w:szCs w:val="20"/>
          <w:color w:val="auto"/>
        </w:rPr>
      </w:pPr>
      <w:r>
        <w:rPr>
          <w:rFonts w:ascii="Times New Roman" w:cs="Times New Roman" w:eastAsia="Times New Roman" w:hAnsi="Times New Roman"/>
          <w:sz w:val="20"/>
          <w:szCs w:val="20"/>
          <w:color w:val="454546"/>
        </w:rPr>
        <w:t>The exercise price of ISOs granted to a holder of more than 10% of the voting power of all classes of the Company’s shares shall be no less than 110% of fair market value on the grant date. The exercise price of ISOs granted to other employees and NSOs shall be no less than 100% of fair market value on the grant date. Options granted under the Plan have a term of up to 10 years from grant date. Options granted to new employees generally vest 25% on the first anniversary service date of the grant and the remainder vest ratably over the following 36 months.</w:t>
      </w:r>
    </w:p>
    <w:p>
      <w:pPr>
        <w:spacing w:after="0" w:line="197"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454546"/>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p>
    <w:p>
      <w:pPr>
        <w:spacing w:after="0" w:line="18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Vesting schedules for other service condition, market condition or performance condition awards vary and are subject to approval by the Board of Directors; provided that the performance condition associated awards shall not vest at all until the performance conditions are achieved and are subject to the award’s holders continuing to provide services to the Company through such vesting dates. The performance condition awards are automatically forfeited in their entirety, without any cost to or action by the Company, if there has been no achievement of the performance. The holders of restricted stock have voting power and other rights with respect to such shares, provided, however, that such shares are held in escrow and subject to forfeiture until the shares vested.</w:t>
      </w:r>
    </w:p>
    <w:p>
      <w:pPr>
        <w:sectPr>
          <w:pgSz w:w="12240" w:h="15840" w:orient="portrait"/>
          <w:cols w:equalWidth="0" w:num="1">
            <w:col w:w="10760"/>
          </w:cols>
          <w:pgMar w:left="720" w:top="972"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94</w:t>
      </w:r>
    </w:p>
    <w:p>
      <w:pPr>
        <w:sectPr>
          <w:pgSz w:w="12240" w:h="15840" w:orient="portrait"/>
          <w:cols w:equalWidth="0" w:num="1">
            <w:col w:w="10760"/>
          </w:cols>
          <w:pgMar w:left="720" w:top="972" w:right="760" w:bottom="175" w:gutter="0" w:footer="0" w:header="0"/>
          <w:type w:val="continuous"/>
        </w:sectPr>
      </w:pPr>
    </w:p>
    <w:bookmarkStart w:id="99" w:name="page100"/>
    <w:bookmarkEnd w:id="99"/>
    <w:p>
      <w:pPr>
        <w:ind w:right="60"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454546"/>
        </w:rPr>
        <w:t xml:space="preserve">Amended and Restated 2012 Employee Stock Purchase Plan. </w:t>
      </w:r>
      <w:r>
        <w:rPr>
          <w:rFonts w:ascii="Times New Roman" w:cs="Times New Roman" w:eastAsia="Times New Roman" w:hAnsi="Times New Roman"/>
          <w:sz w:val="20"/>
          <w:szCs w:val="20"/>
          <w:color w:val="454546"/>
        </w:rPr>
        <w:t>The Amended and Restated 2012 Employee Stock Purchase</w:t>
      </w:r>
      <w:r>
        <w:rPr>
          <w:rFonts w:ascii="Times New Roman" w:cs="Times New Roman" w:eastAsia="Times New Roman" w:hAnsi="Times New Roman"/>
          <w:sz w:val="20"/>
          <w:szCs w:val="20"/>
          <w:b w:val="1"/>
          <w:bCs w:val="1"/>
          <w:i w:val="1"/>
          <w:iCs w:val="1"/>
          <w:color w:val="454546"/>
        </w:rPr>
        <w:t xml:space="preserve"> </w:t>
      </w:r>
      <w:r>
        <w:rPr>
          <w:rFonts w:ascii="Times New Roman" w:cs="Times New Roman" w:eastAsia="Times New Roman" w:hAnsi="Times New Roman"/>
          <w:sz w:val="20"/>
          <w:szCs w:val="20"/>
          <w:color w:val="454546"/>
        </w:rPr>
        <w:t>Plan, or ESPP, permits 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97"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454546"/>
        </w:rPr>
        <w:t>In the first quarter of fiscal year 2024 and 2023, the Company added 488,037 and 466,285 shares, respectively,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presents the classification of stock-based compensation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6"/>
          </w:tcPr>
          <w:p>
            <w:pPr>
              <w:jc w:val="center"/>
              <w:ind w:left="467"/>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7"/>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0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4"/>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20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4"/>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Stock-based compensation:</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Cost of revenue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3,341</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3,597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1,489</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72,759</w:t>
            </w: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71,236</w:t>
            </w: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54,787</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Selling, general and administrative</w:t>
            </w:r>
          </w:p>
        </w:tc>
        <w:tc>
          <w:tcPr>
            <w:tcW w:w="12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35,216</w:t>
            </w:r>
          </w:p>
        </w:tc>
        <w:tc>
          <w:tcPr>
            <w:tcW w:w="20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36,325</w:t>
            </w:r>
          </w:p>
        </w:tc>
        <w:tc>
          <w:tcPr>
            <w:tcW w:w="20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7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31,525</w:t>
            </w:r>
          </w:p>
        </w:tc>
        <w:tc>
          <w:tcPr>
            <w:tcW w:w="80" w:type="dxa"/>
            <w:vAlign w:val="bottom"/>
            <w:tcBorders>
              <w:bottom w:val="single" w:sz="8" w:color="E5E6E7"/>
            </w:tcBorders>
          </w:tcPr>
          <w:p>
            <w:pPr>
              <w:spacing w:after="0"/>
              <w:rPr>
                <w:sz w:val="19"/>
                <w:szCs w:val="19"/>
                <w:color w:val="auto"/>
              </w:rPr>
            </w:pPr>
          </w:p>
        </w:tc>
      </w:tr>
      <w:tr>
        <w:trPr>
          <w:trHeight w:val="220"/>
        </w:trPr>
        <w:tc>
          <w:tcPr>
            <w:tcW w:w="496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Total stock-based compensation</w:t>
            </w: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111,316</w:t>
            </w:r>
          </w:p>
        </w:tc>
        <w:tc>
          <w:tcPr>
            <w:tcW w:w="20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50"/>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111,158</w:t>
            </w:r>
          </w:p>
        </w:tc>
        <w:tc>
          <w:tcPr>
            <w:tcW w:w="20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87,801</w:t>
            </w:r>
          </w:p>
        </w:tc>
        <w:tc>
          <w:tcPr>
            <w:tcW w:w="80" w:type="dxa"/>
            <w:vAlign w:val="bottom"/>
            <w:shd w:val="clear" w:color="auto" w:fill="E5E6E7"/>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As of January 31, 2024 and 2023, approximately $3.6 million and $4.6 million of stock-based compensation expense, respectively, was accrued in accrued and other current liabilities in the consolidated balance sheets. Total unrecognized compensation cost related to unvested stock options at January 31, 2024 was $6.7 million and is expected to be recognized over a weighted-average period of 1.25 years. Total unrecognized compensation cost related to unvested restricted stock units at January 31, 2024 was $165.5 million and is expected to be recognized over a weighted-average period of 2.43 years.</w:t>
      </w:r>
    </w:p>
    <w:p>
      <w:pPr>
        <w:spacing w:after="0" w:line="18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454546"/>
        </w:rPr>
        <w:t>In fiscal year 2024, the Company entered into a separation agreement and release with an executive associated with the retirement for his continued service through the separation date. The separation agreement provided for acceleration of vesting of 24,559 shares of restricted stock units and a one-time compensation of $693,000 which is expected to be settled through the issuance of restricted stock units with equivalent value. In accordance with the applicable accounting guidance, the one-time compensation was also recorded as stock-based compensation. As a result, there was approximately $1.6 million of additional stock-based compensation expense, net, recognized associated with the separation in the fiscal year ended January 31, 2024.</w:t>
      </w:r>
    </w:p>
    <w:p>
      <w:pPr>
        <w:spacing w:after="0" w:line="19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454546"/>
        </w:rPr>
        <w:t>In fiscal year 2023, the Company’s Compensation Committee of the Board of Directors approved the acceleration of vesting of 35,703 shares of unvested equity awards associated with the departure of an executive. As a result, there was approximately $1.7 million of additional stock-based compensation expense, net, recognized in the fiscal year ended January 31, 2023.</w:t>
      </w:r>
    </w:p>
    <w:p>
      <w:pPr>
        <w:spacing w:after="0" w:line="18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454546"/>
        </w:rPr>
        <w:t>The following table sets forth the weighted-average assumptions used to estimate the fair value of stock options and employee stock purchase plan awards for the periods indicated:</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bottom w:val="single" w:sz="8" w:color="454546"/>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160" w:type="dxa"/>
            <w:vAlign w:val="bottom"/>
          </w:tcPr>
          <w:p>
            <w:pPr>
              <w:spacing w:after="0"/>
              <w:rPr>
                <w:sz w:val="17"/>
                <w:szCs w:val="17"/>
                <w:color w:val="auto"/>
              </w:rPr>
            </w:pPr>
          </w:p>
        </w:tc>
      </w:tr>
      <w:tr>
        <w:trPr>
          <w:trHeight w:val="174"/>
        </w:trPr>
        <w:tc>
          <w:tcPr>
            <w:tcW w:w="4960" w:type="dxa"/>
            <w:vAlign w:val="bottom"/>
            <w:tcBorders>
              <w:bottom w:val="single" w:sz="8" w:color="E5E6E7"/>
            </w:tcBorders>
          </w:tcPr>
          <w:p>
            <w:pPr>
              <w:spacing w:after="0"/>
              <w:rPr>
                <w:sz w:val="15"/>
                <w:szCs w:val="15"/>
                <w:color w:val="auto"/>
              </w:rPr>
            </w:pPr>
          </w:p>
        </w:tc>
        <w:tc>
          <w:tcPr>
            <w:tcW w:w="80" w:type="dxa"/>
            <w:vAlign w:val="bottom"/>
            <w:tcBorders>
              <w:bottom w:val="single" w:sz="8" w:color="E5E6E7"/>
            </w:tcBorders>
          </w:tcPr>
          <w:p>
            <w:pPr>
              <w:spacing w:after="0"/>
              <w:rPr>
                <w:sz w:val="15"/>
                <w:szCs w:val="15"/>
                <w:color w:val="auto"/>
              </w:rPr>
            </w:pPr>
          </w:p>
        </w:tc>
        <w:tc>
          <w:tcPr>
            <w:tcW w:w="980" w:type="dxa"/>
            <w:vAlign w:val="bottom"/>
            <w:tcBorders>
              <w:bottom w:val="single" w:sz="8" w:color="454546"/>
            </w:tcBorders>
          </w:tcPr>
          <w:p>
            <w:pPr>
              <w:jc w:val="right"/>
              <w:ind w:right="247"/>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40" w:type="dxa"/>
            <w:vAlign w:val="bottom"/>
            <w:tcBorders>
              <w:bottom w:val="single" w:sz="8" w:color="E5E6E7"/>
            </w:tcBorders>
          </w:tcPr>
          <w:p>
            <w:pPr>
              <w:spacing w:after="0"/>
              <w:rPr>
                <w:sz w:val="15"/>
                <w:szCs w:val="15"/>
                <w:color w:val="auto"/>
              </w:rPr>
            </w:pPr>
          </w:p>
        </w:tc>
        <w:tc>
          <w:tcPr>
            <w:tcW w:w="980" w:type="dxa"/>
            <w:vAlign w:val="bottom"/>
            <w:tcBorders>
              <w:bottom w:val="single" w:sz="8" w:color="454546"/>
            </w:tcBorders>
          </w:tcPr>
          <w:p>
            <w:pPr>
              <w:jc w:val="right"/>
              <w:ind w:right="222"/>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260" w:type="dxa"/>
            <w:vAlign w:val="bottom"/>
            <w:tcBorders>
              <w:bottom w:val="single" w:sz="8" w:color="E5E6E7"/>
            </w:tcBorders>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42"/>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60" w:type="dxa"/>
            <w:vAlign w:val="bottom"/>
            <w:tcBorders>
              <w:bottom w:val="single" w:sz="8" w:color="E5E6E7"/>
            </w:tcBorders>
          </w:tcPr>
          <w:p>
            <w:pPr>
              <w:spacing w:after="0"/>
              <w:rPr>
                <w:sz w:val="15"/>
                <w:szCs w:val="15"/>
                <w:color w:val="auto"/>
              </w:rPr>
            </w:pPr>
          </w:p>
        </w:tc>
      </w:tr>
      <w:tr>
        <w:trPr>
          <w:trHeight w:val="220"/>
        </w:trPr>
        <w:tc>
          <w:tcPr>
            <w:tcW w:w="4960" w:type="dxa"/>
            <w:vAlign w:val="bottom"/>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Stock Options:</w:t>
            </w:r>
          </w:p>
        </w:tc>
        <w:tc>
          <w:tcPr>
            <w:tcW w:w="8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Volatility</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51%</w:t>
            </w: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Risk-free interest rate</w:t>
            </w:r>
          </w:p>
        </w:tc>
        <w:tc>
          <w:tcPr>
            <w:tcW w:w="80" w:type="dxa"/>
            <w:vAlign w:val="bottom"/>
            <w:shd w:val="clear" w:color="auto" w:fill="E5E6E7"/>
          </w:tcPr>
          <w:p>
            <w:pPr>
              <w:spacing w:after="0"/>
              <w:rPr>
                <w:sz w:val="19"/>
                <w:szCs w:val="19"/>
                <w:color w:val="auto"/>
              </w:rPr>
            </w:pPr>
          </w:p>
        </w:tc>
        <w:tc>
          <w:tcPr>
            <w:tcW w:w="1220" w:type="dxa"/>
            <w:vAlign w:val="bottom"/>
            <w:gridSpan w:val="2"/>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1440" w:type="dxa"/>
            <w:vAlign w:val="bottom"/>
            <w:gridSpan w:val="3"/>
            <w:shd w:val="clear" w:color="auto" w:fill="E5E6E7"/>
          </w:tcPr>
          <w:p>
            <w:pPr>
              <w:jc w:val="right"/>
              <w:ind w:right="460"/>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1.04%</w:t>
            </w: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Expected term (years)</w:t>
            </w:r>
          </w:p>
        </w:tc>
        <w:tc>
          <w:tcPr>
            <w:tcW w:w="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5.06</w:t>
            </w:r>
          </w:p>
        </w:tc>
        <w:tc>
          <w:tcPr>
            <w:tcW w:w="16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Dividend yield</w:t>
            </w:r>
          </w:p>
        </w:tc>
        <w:tc>
          <w:tcPr>
            <w:tcW w:w="80" w:type="dxa"/>
            <w:vAlign w:val="bottom"/>
            <w:shd w:val="clear" w:color="auto" w:fill="E5E6E7"/>
          </w:tcPr>
          <w:p>
            <w:pPr>
              <w:spacing w:after="0"/>
              <w:rPr>
                <w:sz w:val="19"/>
                <w:szCs w:val="19"/>
                <w:color w:val="auto"/>
              </w:rPr>
            </w:pPr>
          </w:p>
        </w:tc>
        <w:tc>
          <w:tcPr>
            <w:tcW w:w="1220" w:type="dxa"/>
            <w:vAlign w:val="bottom"/>
            <w:gridSpan w:val="2"/>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54546"/>
              </w:rPr>
              <w:t>—</w:t>
            </w:r>
          </w:p>
        </w:tc>
        <w:tc>
          <w:tcPr>
            <w:tcW w:w="1440" w:type="dxa"/>
            <w:vAlign w:val="bottom"/>
            <w:gridSpan w:val="3"/>
            <w:shd w:val="clear" w:color="auto" w:fill="E5E6E7"/>
          </w:tcPr>
          <w:p>
            <w:pPr>
              <w:jc w:val="right"/>
              <w:ind w:right="460"/>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0%</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Employee stock purchase plan awards: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Volatility</w:t>
            </w:r>
          </w:p>
        </w:tc>
        <w:tc>
          <w:tcPr>
            <w:tcW w:w="130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56%</w:t>
            </w:r>
          </w:p>
        </w:tc>
        <w:tc>
          <w:tcPr>
            <w:tcW w:w="12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81%</w:t>
            </w:r>
          </w:p>
        </w:tc>
        <w:tc>
          <w:tcPr>
            <w:tcW w:w="200" w:type="dxa"/>
            <w:vAlign w:val="bottom"/>
            <w:shd w:val="clear" w:color="auto" w:fill="E5E6E7"/>
          </w:tcPr>
          <w:p>
            <w:pPr>
              <w:spacing w:after="0"/>
              <w:rPr>
                <w:sz w:val="19"/>
                <w:szCs w:val="19"/>
                <w:color w:val="auto"/>
              </w:rPr>
            </w:pPr>
          </w:p>
        </w:tc>
        <w:tc>
          <w:tcPr>
            <w:tcW w:w="9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57%</w:t>
            </w: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Risk-free interest rate</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454546"/>
              </w:rPr>
              <w:t>5.11%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2.32%</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0.06%</w:t>
            </w: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Expected term (years)</w:t>
            </w:r>
          </w:p>
        </w:tc>
        <w:tc>
          <w:tcPr>
            <w:tcW w:w="10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0.5</w:t>
            </w:r>
          </w:p>
        </w:tc>
        <w:tc>
          <w:tcPr>
            <w:tcW w:w="240" w:type="dxa"/>
            <w:vAlign w:val="bottom"/>
            <w:shd w:val="clear" w:color="auto" w:fill="E5E6E7"/>
          </w:tcPr>
          <w:p>
            <w:pPr>
              <w:spacing w:after="0"/>
              <w:rPr>
                <w:sz w:val="19"/>
                <w:szCs w:val="19"/>
                <w:color w:val="auto"/>
              </w:rPr>
            </w:pP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0.5</w:t>
            </w:r>
          </w:p>
        </w:tc>
        <w:tc>
          <w:tcPr>
            <w:tcW w:w="2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0.5</w:t>
            </w:r>
          </w:p>
        </w:tc>
        <w:tc>
          <w:tcPr>
            <w:tcW w:w="160" w:type="dxa"/>
            <w:vAlign w:val="bottom"/>
            <w:shd w:val="clear" w:color="auto" w:fill="E5E6E7"/>
          </w:tcPr>
          <w:p>
            <w:pPr>
              <w:spacing w:after="0"/>
              <w:rPr>
                <w:sz w:val="19"/>
                <w:szCs w:val="19"/>
                <w:color w:val="auto"/>
              </w:rPr>
            </w:pPr>
          </w:p>
        </w:tc>
      </w:tr>
      <w:tr>
        <w:trPr>
          <w:trHeight w:val="266"/>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Dividend yield</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454546"/>
              </w:rPr>
              <w:t>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0%</w:t>
            </w:r>
          </w:p>
        </w:tc>
        <w:tc>
          <w:tcPr>
            <w:tcW w:w="2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0%</w:t>
            </w:r>
          </w:p>
        </w:tc>
      </w:tr>
    </w:tbl>
    <w:p>
      <w:pPr>
        <w:spacing w:after="0" w:line="200" w:lineRule="exact"/>
        <w:rPr>
          <w:sz w:val="20"/>
          <w:szCs w:val="20"/>
          <w:color w:val="auto"/>
        </w:rPr>
      </w:pPr>
    </w:p>
    <w:p>
      <w:pPr>
        <w:sectPr>
          <w:pgSz w:w="12240" w:h="15840" w:orient="portrait"/>
          <w:cols w:equalWidth="0" w:num="1">
            <w:col w:w="10760"/>
          </w:cols>
          <w:pgMar w:left="720" w:top="976" w:right="760" w:bottom="17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95</w:t>
      </w:r>
    </w:p>
    <w:p>
      <w:pPr>
        <w:sectPr>
          <w:pgSz w:w="12240" w:h="15840" w:orient="portrait"/>
          <w:cols w:equalWidth="0" w:num="1">
            <w:col w:w="10760"/>
          </w:cols>
          <w:pgMar w:left="720" w:top="976" w:right="760" w:bottom="175" w:gutter="0" w:footer="0" w:header="0"/>
          <w:type w:val="continuous"/>
        </w:sectPr>
      </w:pPr>
    </w:p>
    <w:bookmarkStart w:id="100" w:name="page101"/>
    <w:bookmarkEnd w:id="100"/>
    <w:p>
      <w:pPr>
        <w:ind w:left="500"/>
        <w:spacing w:after="0"/>
        <w:rPr>
          <w:sz w:val="20"/>
          <w:szCs w:val="20"/>
          <w:color w:val="auto"/>
        </w:rPr>
      </w:pPr>
      <w:r>
        <w:rPr>
          <w:rFonts w:ascii="Times New Roman" w:cs="Times New Roman" w:eastAsia="Times New Roman" w:hAnsi="Times New Roman"/>
          <w:sz w:val="20"/>
          <w:szCs w:val="20"/>
          <w:color w:val="454546"/>
        </w:rPr>
        <w:t>The following table summarizes stock option activities for the periods indicated: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860" w:type="dxa"/>
            <w:vAlign w:val="bottom"/>
            <w:tcBorders>
              <w:bottom w:val="single" w:sz="8" w:color="454546"/>
            </w:tcBorders>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100" w:type="dxa"/>
            <w:vAlign w:val="bottom"/>
            <w:tcBorders>
              <w:bottom w:val="single" w:sz="8" w:color="454546"/>
            </w:tcBorders>
          </w:tcPr>
          <w:p>
            <w:pPr>
              <w:spacing w:after="0"/>
              <w:rPr>
                <w:sz w:val="17"/>
                <w:szCs w:val="17"/>
                <w:color w:val="auto"/>
              </w:rPr>
            </w:pPr>
          </w:p>
        </w:tc>
        <w:tc>
          <w:tcPr>
            <w:tcW w:w="2680" w:type="dxa"/>
            <w:vAlign w:val="bottom"/>
            <w:tcBorders>
              <w:bottom w:val="single" w:sz="8" w:color="454546"/>
            </w:tcBorders>
            <w:gridSpan w:val="7"/>
          </w:tcPr>
          <w:p>
            <w:pPr>
              <w:jc w:val="center"/>
              <w:ind w:right="50"/>
              <w:spacing w:after="0"/>
              <w:rPr>
                <w:sz w:val="20"/>
                <w:szCs w:val="20"/>
                <w:color w:val="auto"/>
              </w:rPr>
            </w:pPr>
            <w:r>
              <w:rPr>
                <w:rFonts w:ascii="Times New Roman" w:cs="Times New Roman" w:eastAsia="Times New Roman" w:hAnsi="Times New Roman"/>
                <w:sz w:val="16"/>
                <w:szCs w:val="16"/>
                <w:b w:val="1"/>
                <w:bCs w:val="1"/>
                <w:color w:val="454546"/>
              </w:rPr>
              <w:t>Option Outstanding</w:t>
            </w:r>
          </w:p>
        </w:tc>
        <w:tc>
          <w:tcPr>
            <w:tcW w:w="120" w:type="dxa"/>
            <w:vAlign w:val="bottom"/>
            <w:tcBorders>
              <w:bottom w:val="single" w:sz="8" w:color="454546"/>
            </w:tcBorders>
          </w:tcPr>
          <w:p>
            <w:pPr>
              <w:spacing w:after="0"/>
              <w:rPr>
                <w:sz w:val="17"/>
                <w:szCs w:val="17"/>
                <w:color w:val="auto"/>
              </w:rPr>
            </w:pPr>
          </w:p>
        </w:tc>
        <w:tc>
          <w:tcPr>
            <w:tcW w:w="840" w:type="dxa"/>
            <w:vAlign w:val="bottom"/>
            <w:tcBorders>
              <w:bottom w:val="single" w:sz="8" w:color="454546"/>
            </w:tcBorders>
          </w:tcPr>
          <w:p>
            <w:pPr>
              <w:spacing w:after="0"/>
              <w:rPr>
                <w:sz w:val="17"/>
                <w:szCs w:val="17"/>
                <w:color w:val="auto"/>
              </w:rPr>
            </w:pPr>
          </w:p>
        </w:tc>
        <w:tc>
          <w:tcPr>
            <w:tcW w:w="60" w:type="dxa"/>
            <w:vAlign w:val="bottom"/>
            <w:tcBorders>
              <w:bottom w:val="single" w:sz="8" w:color="454546"/>
            </w:tcBorders>
          </w:tcPr>
          <w:p>
            <w:pPr>
              <w:spacing w:after="0"/>
              <w:rPr>
                <w:sz w:val="17"/>
                <w:szCs w:val="17"/>
                <w:color w:val="auto"/>
              </w:rPr>
            </w:pPr>
          </w:p>
        </w:tc>
        <w:tc>
          <w:tcPr>
            <w:tcW w:w="120" w:type="dxa"/>
            <w:vAlign w:val="bottom"/>
            <w:tcBorders>
              <w:bottom w:val="single" w:sz="8" w:color="454546"/>
            </w:tcBorders>
          </w:tcPr>
          <w:p>
            <w:pPr>
              <w:spacing w:after="0"/>
              <w:rPr>
                <w:sz w:val="17"/>
                <w:szCs w:val="17"/>
                <w:color w:val="auto"/>
              </w:rPr>
            </w:pPr>
          </w:p>
        </w:tc>
        <w:tc>
          <w:tcPr>
            <w:tcW w:w="860" w:type="dxa"/>
            <w:vAlign w:val="bottom"/>
            <w:tcBorders>
              <w:bottom w:val="single" w:sz="8" w:color="454546"/>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454546"/>
                <w:w w:val="98"/>
              </w:rPr>
              <w:t>Total Intrinsic</w:t>
            </w:r>
          </w:p>
        </w:tc>
        <w:tc>
          <w:tcPr>
            <w:tcW w:w="120" w:type="dxa"/>
            <w:vAlign w:val="bottom"/>
          </w:tcPr>
          <w:p>
            <w:pPr>
              <w:spacing w:after="0"/>
              <w:rPr>
                <w:sz w:val="14"/>
                <w:szCs w:val="14"/>
                <w:color w:val="auto"/>
              </w:rPr>
            </w:pPr>
          </w:p>
        </w:tc>
        <w:tc>
          <w:tcPr>
            <w:tcW w:w="84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454546"/>
              </w:rPr>
              <w:t>Weighted-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Average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12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454546"/>
              </w:rPr>
              <w:t>Value of</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Remaining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454546"/>
                <w:w w:val="99"/>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454546"/>
              </w:rPr>
              <w:t>options</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Contractual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454546"/>
                <w:w w:val="98"/>
              </w:rPr>
              <w:t>Intrinsic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100" w:type="dxa"/>
            <w:vAlign w:val="bottom"/>
          </w:tcPr>
          <w:p>
            <w:pPr>
              <w:spacing w:after="0"/>
              <w:rPr>
                <w:sz w:val="15"/>
                <w:szCs w:val="15"/>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454546"/>
                <w:w w:val="97"/>
              </w:rPr>
              <w:t>Grant-</w:t>
            </w:r>
          </w:p>
        </w:tc>
        <w:tc>
          <w:tcPr>
            <w:tcW w:w="12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454546"/>
                <w:w w:val="98"/>
              </w:rPr>
              <w:t>Acquisition-</w:t>
            </w:r>
          </w:p>
        </w:tc>
        <w:tc>
          <w:tcPr>
            <w:tcW w:w="86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454546"/>
                <w:w w:val="98"/>
              </w:rPr>
              <w:t>Exercised</w:t>
            </w:r>
          </w:p>
        </w:tc>
        <w:tc>
          <w:tcPr>
            <w:tcW w:w="12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Term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454546"/>
              </w:rPr>
              <w:t>date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454546"/>
              </w:rPr>
              <w:t>date</w:t>
            </w: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454546"/>
              </w:rPr>
              <w:t>Exercise Price</w:t>
            </w:r>
          </w:p>
        </w:tc>
        <w:tc>
          <w:tcPr>
            <w:tcW w:w="100" w:type="dxa"/>
            <w:vAlign w:val="bottom"/>
          </w:tcPr>
          <w:p>
            <w:pPr>
              <w:spacing w:after="0"/>
              <w:rPr>
                <w:sz w:val="15"/>
                <w:szCs w:val="15"/>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454546"/>
              </w:rPr>
              <w:t>Fair</w:t>
            </w:r>
          </w:p>
        </w:tc>
        <w:tc>
          <w:tcPr>
            <w:tcW w:w="120" w:type="dxa"/>
            <w:vAlign w:val="bottom"/>
          </w:tcPr>
          <w:p>
            <w:pPr>
              <w:spacing w:after="0"/>
              <w:rPr>
                <w:sz w:val="15"/>
                <w:szCs w:val="15"/>
                <w:color w:val="auto"/>
              </w:rPr>
            </w:pPr>
          </w:p>
        </w:tc>
        <w:tc>
          <w:tcPr>
            <w:tcW w:w="19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Fair Value  (in thousands)</w:t>
            </w:r>
          </w:p>
        </w:tc>
        <w:tc>
          <w:tcPr>
            <w:tcW w:w="12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(in years)</w:t>
            </w:r>
          </w:p>
        </w:tc>
        <w:tc>
          <w:tcPr>
            <w:tcW w:w="6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12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40" w:type="dxa"/>
            <w:vAlign w:val="bottom"/>
            <w:tcBorders>
              <w:top w:val="single" w:sz="8" w:color="E5E6E7"/>
            </w:tcBorders>
            <w:gridSpan w:val="2"/>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at January 31, 2021</w:t>
            </w:r>
          </w:p>
        </w:tc>
        <w:tc>
          <w:tcPr>
            <w:tcW w:w="7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719,143</w:t>
            </w:r>
          </w:p>
        </w:tc>
        <w:tc>
          <w:tcPr>
            <w:tcW w:w="12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86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38.33</w:t>
            </w:r>
          </w:p>
        </w:tc>
        <w:tc>
          <w:tcPr>
            <w:tcW w:w="14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454546"/>
            </w:tcBorders>
            <w:shd w:val="clear" w:color="auto" w:fill="E5E6E7"/>
          </w:tcPr>
          <w:p>
            <w:pPr>
              <w:spacing w:after="0"/>
              <w:rPr>
                <w:sz w:val="19"/>
                <w:szCs w:val="19"/>
                <w:color w:val="auto"/>
              </w:rPr>
            </w:pPr>
          </w:p>
        </w:tc>
        <w:tc>
          <w:tcPr>
            <w:tcW w:w="600" w:type="dxa"/>
            <w:vAlign w:val="bottom"/>
            <w:tcBorders>
              <w:top w:val="single" w:sz="8" w:color="454546"/>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454546"/>
            </w:tcBorders>
            <w:shd w:val="clear" w:color="auto" w:fill="E5E6E7"/>
          </w:tcPr>
          <w:p>
            <w:pPr>
              <w:spacing w:after="0"/>
              <w:rPr>
                <w:sz w:val="19"/>
                <w:szCs w:val="19"/>
                <w:color w:val="auto"/>
              </w:rPr>
            </w:pPr>
          </w:p>
        </w:tc>
        <w:tc>
          <w:tcPr>
            <w:tcW w:w="720" w:type="dxa"/>
            <w:vAlign w:val="bottom"/>
            <w:tcBorders>
              <w:top w:val="single" w:sz="8" w:color="454546"/>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454546"/>
            </w:tcBorders>
            <w:shd w:val="clear" w:color="auto" w:fill="E5E6E7"/>
          </w:tcPr>
          <w:p>
            <w:pPr>
              <w:spacing w:after="0"/>
              <w:rPr>
                <w:sz w:val="19"/>
                <w:szCs w:val="19"/>
                <w:color w:val="auto"/>
              </w:rPr>
            </w:pPr>
          </w:p>
        </w:tc>
        <w:tc>
          <w:tcPr>
            <w:tcW w:w="860" w:type="dxa"/>
            <w:vAlign w:val="bottom"/>
            <w:tcBorders>
              <w:top w:val="single" w:sz="8" w:color="454546"/>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40" w:type="dxa"/>
            <w:vAlign w:val="bottom"/>
            <w:tcBorders>
              <w:top w:val="single" w:sz="8" w:color="454546"/>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454546"/>
            </w:tcBorders>
            <w:shd w:val="clear" w:color="auto" w:fill="E5E6E7"/>
          </w:tcPr>
          <w:p>
            <w:pPr>
              <w:spacing w:after="0"/>
              <w:rPr>
                <w:sz w:val="19"/>
                <w:szCs w:val="19"/>
                <w:color w:val="auto"/>
              </w:rPr>
            </w:pPr>
          </w:p>
        </w:tc>
        <w:tc>
          <w:tcPr>
            <w:tcW w:w="860" w:type="dxa"/>
            <w:vAlign w:val="bottom"/>
            <w:tcBorders>
              <w:top w:val="single" w:sz="8" w:color="454546"/>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110.19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Assumed</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163,581</w:t>
            </w:r>
          </w:p>
        </w:tc>
        <w:tc>
          <w:tcPr>
            <w:tcW w:w="1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23.10</w:t>
            </w: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600" w:type="dxa"/>
            <w:vAlign w:val="bottom"/>
            <w:shd w:val="clear" w:color="auto" w:fill="E5E6E7"/>
          </w:tcPr>
          <w:p>
            <w:pPr>
              <w:spacing w:after="0"/>
              <w:rPr>
                <w:sz w:val="19"/>
                <w:szCs w:val="19"/>
                <w:color w:val="auto"/>
              </w:rPr>
            </w:pPr>
          </w:p>
        </w:tc>
        <w:tc>
          <w:tcPr>
            <w:tcW w:w="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173.04</w:t>
            </w:r>
          </w:p>
        </w:tc>
        <w:tc>
          <w:tcPr>
            <w:tcW w:w="1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Exercised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6"/>
              </w:rPr>
              <w:t>(269,287)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25,622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(7,669)</w:t>
            </w:r>
          </w:p>
        </w:tc>
        <w:tc>
          <w:tcPr>
            <w:tcW w:w="1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68.95</w:t>
            </w: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6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Expired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at January 31, 2022</w:t>
            </w:r>
          </w:p>
        </w:tc>
        <w:tc>
          <w:tcPr>
            <w:tcW w:w="20" w:type="dxa"/>
            <w:vAlign w:val="bottom"/>
            <w:tcBorders>
              <w:top w:val="single" w:sz="8" w:color="454546"/>
            </w:tcBorders>
            <w:shd w:val="clear" w:color="auto" w:fill="E5E6E7"/>
          </w:tcPr>
          <w:p>
            <w:pPr>
              <w:spacing w:after="0"/>
              <w:rPr>
                <w:sz w:val="19"/>
                <w:szCs w:val="19"/>
                <w:color w:val="auto"/>
              </w:rPr>
            </w:pPr>
          </w:p>
        </w:tc>
        <w:tc>
          <w:tcPr>
            <w:tcW w:w="7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619,322</w:t>
            </w:r>
          </w:p>
        </w:tc>
        <w:tc>
          <w:tcPr>
            <w:tcW w:w="12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40.08</w:t>
            </w:r>
          </w:p>
        </w:tc>
        <w:tc>
          <w:tcPr>
            <w:tcW w:w="14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60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72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Exercised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96"/>
              </w:rPr>
              <w:t>(121,624)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6,712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(10,618)</w:t>
            </w:r>
          </w:p>
        </w:tc>
        <w:tc>
          <w:tcPr>
            <w:tcW w:w="1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55.97</w:t>
            </w: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6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Expired</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39.19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at January 31, 2023</w:t>
            </w:r>
          </w:p>
        </w:tc>
        <w:tc>
          <w:tcPr>
            <w:tcW w:w="20" w:type="dxa"/>
            <w:vAlign w:val="bottom"/>
            <w:tcBorders>
              <w:top w:val="single" w:sz="8" w:color="454546"/>
            </w:tcBorders>
            <w:shd w:val="clear" w:color="auto" w:fill="E5E6E7"/>
          </w:tcPr>
          <w:p>
            <w:pPr>
              <w:spacing w:after="0"/>
              <w:rPr>
                <w:sz w:val="19"/>
                <w:szCs w:val="19"/>
                <w:color w:val="auto"/>
              </w:rPr>
            </w:pPr>
          </w:p>
        </w:tc>
        <w:tc>
          <w:tcPr>
            <w:tcW w:w="7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484,791</w:t>
            </w:r>
          </w:p>
        </w:tc>
        <w:tc>
          <w:tcPr>
            <w:tcW w:w="12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42.18</w:t>
            </w:r>
          </w:p>
        </w:tc>
        <w:tc>
          <w:tcPr>
            <w:tcW w:w="14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60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72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Exercised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(104,931)</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26.06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4,479</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(926)</w:t>
            </w:r>
          </w:p>
        </w:tc>
        <w:tc>
          <w:tcPr>
            <w:tcW w:w="1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42.59</w:t>
            </w:r>
          </w:p>
        </w:tc>
        <w:tc>
          <w:tcPr>
            <w:tcW w:w="14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6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9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454546"/>
              </w:rPr>
              <w:t>Expired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(5,616)</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63.39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Outstanding at January 31, 2024</w:t>
            </w:r>
          </w:p>
        </w:tc>
        <w:tc>
          <w:tcPr>
            <w:tcW w:w="20" w:type="dxa"/>
            <w:vAlign w:val="bottom"/>
            <w:tcBorders>
              <w:top w:val="single" w:sz="8" w:color="454546"/>
            </w:tcBorders>
            <w:shd w:val="clear" w:color="auto" w:fill="E5E6E7"/>
          </w:tcPr>
          <w:p>
            <w:pPr>
              <w:spacing w:after="0"/>
              <w:rPr>
                <w:sz w:val="19"/>
                <w:szCs w:val="19"/>
                <w:color w:val="auto"/>
              </w:rPr>
            </w:pPr>
          </w:p>
        </w:tc>
        <w:tc>
          <w:tcPr>
            <w:tcW w:w="7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373,318</w:t>
            </w:r>
          </w:p>
        </w:tc>
        <w:tc>
          <w:tcPr>
            <w:tcW w:w="12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46.39</w:t>
            </w:r>
          </w:p>
        </w:tc>
        <w:tc>
          <w:tcPr>
            <w:tcW w:w="14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60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72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140" w:type="dxa"/>
            <w:vAlign w:val="bottom"/>
            <w:tcBorders>
              <w:top w:val="single" w:sz="8" w:color="E5E6E7"/>
            </w:tcBorders>
            <w:shd w:val="clear" w:color="auto" w:fill="E5E6E7"/>
          </w:tcPr>
          <w:p>
            <w:pPr>
              <w:spacing w:after="0"/>
              <w:rPr>
                <w:sz w:val="19"/>
                <w:szCs w:val="19"/>
                <w:color w:val="auto"/>
              </w:rPr>
            </w:pPr>
          </w:p>
        </w:tc>
        <w:tc>
          <w:tcPr>
            <w:tcW w:w="860" w:type="dxa"/>
            <w:vAlign w:val="bottom"/>
            <w:tcBorders>
              <w:top w:val="single" w:sz="8" w:color="E5E6E7"/>
            </w:tcBorders>
            <w:shd w:val="clear" w:color="auto" w:fill="E5E6E7"/>
          </w:tcPr>
          <w:p>
            <w:pPr>
              <w:spacing w:after="0"/>
              <w:rPr>
                <w:sz w:val="19"/>
                <w:szCs w:val="19"/>
                <w:color w:val="auto"/>
              </w:rPr>
            </w:pPr>
          </w:p>
        </w:tc>
        <w:tc>
          <w:tcPr>
            <w:tcW w:w="960" w:type="dxa"/>
            <w:vAlign w:val="bottom"/>
            <w:tcBorders>
              <w:top w:val="single" w:sz="8" w:color="E5E6E7"/>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3.43</w:t>
            </w:r>
          </w:p>
        </w:tc>
        <w:tc>
          <w:tcPr>
            <w:tcW w:w="180" w:type="dxa"/>
            <w:vAlign w:val="bottom"/>
            <w:tcBorders>
              <w:top w:val="single" w:sz="8" w:color="E5E6E7"/>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86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16,454</w:t>
            </w:r>
          </w:p>
        </w:tc>
        <w:tc>
          <w:tcPr>
            <w:tcW w:w="6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94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Exercisable at January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326,464</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454546"/>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47.75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2.95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13,920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 w:firstLine="550"/>
        <w:spacing w:after="0" w:line="252" w:lineRule="auto"/>
        <w:rPr>
          <w:sz w:val="20"/>
          <w:szCs w:val="20"/>
          <w:color w:val="auto"/>
        </w:rPr>
      </w:pPr>
      <w:r>
        <w:rPr>
          <w:rFonts w:ascii="Times New Roman" w:cs="Times New Roman" w:eastAsia="Times New Roman" w:hAnsi="Times New Roman"/>
          <w:sz w:val="20"/>
          <w:szCs w:val="20"/>
          <w:color w:val="454546"/>
        </w:rPr>
        <w:t>The intrinsic value of options outstanding and exercisable is calculated based on the difference between the fair market value of the Company’s ordinary shares on the reporting date and the exercise price. The closing price of the Company’s stock was $ 52.56 on January 31, 2024, as reported by The NASDAQ Global Select Market. The intrinsic value of exercised options is calculated based on the difference between the fair market value of the Company’s stock on the exercise date and the exercise price.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summarizes restricted stock unit activities for the periods indicated:</w:t>
      </w:r>
    </w:p>
    <w:p>
      <w:pPr>
        <w:spacing w:after="0" w:line="230"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454546"/>
                <w:w w:val="98"/>
              </w:rPr>
              <w:t>Weighted-</w:t>
            </w:r>
          </w:p>
        </w:tc>
        <w:tc>
          <w:tcPr>
            <w:tcW w:w="80" w:type="dxa"/>
            <w:vAlign w:val="bottom"/>
          </w:tcPr>
          <w:p>
            <w:pPr>
              <w:spacing w:after="0"/>
              <w:rPr>
                <w:sz w:val="16"/>
                <w:szCs w:val="16"/>
                <w:color w:val="auto"/>
              </w:rPr>
            </w:pPr>
          </w:p>
        </w:tc>
      </w:tr>
      <w:tr>
        <w:trPr>
          <w:trHeight w:val="184"/>
        </w:trPr>
        <w:tc>
          <w:tcPr>
            <w:tcW w:w="5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454546"/>
              </w:rPr>
              <w:t>Average</w:t>
            </w:r>
          </w:p>
        </w:tc>
        <w:tc>
          <w:tcPr>
            <w:tcW w:w="80" w:type="dxa"/>
            <w:vAlign w:val="bottom"/>
          </w:tcPr>
          <w:p>
            <w:pPr>
              <w:spacing w:after="0"/>
              <w:rPr>
                <w:sz w:val="15"/>
                <w:szCs w:val="15"/>
                <w:color w:val="auto"/>
              </w:rPr>
            </w:pPr>
          </w:p>
        </w:tc>
      </w:tr>
      <w:tr>
        <w:trPr>
          <w:trHeight w:val="184"/>
        </w:trPr>
        <w:tc>
          <w:tcPr>
            <w:tcW w:w="5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454546"/>
                <w:w w:val="98"/>
              </w:rPr>
              <w:t>Grant-Date</w:t>
            </w:r>
          </w:p>
        </w:tc>
        <w:tc>
          <w:tcPr>
            <w:tcW w:w="80" w:type="dxa"/>
            <w:vAlign w:val="bottom"/>
          </w:tcPr>
          <w:p>
            <w:pPr>
              <w:spacing w:after="0"/>
              <w:rPr>
                <w:sz w:val="15"/>
                <w:szCs w:val="15"/>
                <w:color w:val="auto"/>
              </w:rPr>
            </w:pPr>
          </w:p>
        </w:tc>
      </w:tr>
      <w:tr>
        <w:trPr>
          <w:trHeight w:val="203"/>
        </w:trPr>
        <w:tc>
          <w:tcPr>
            <w:tcW w:w="514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454546"/>
              </w:rPr>
              <w:t>Fair Value</w:t>
            </w:r>
          </w:p>
        </w:tc>
        <w:tc>
          <w:tcPr>
            <w:tcW w:w="80" w:type="dxa"/>
            <w:vAlign w:val="bottom"/>
          </w:tcPr>
          <w:p>
            <w:pPr>
              <w:spacing w:after="0"/>
              <w:rPr>
                <w:sz w:val="17"/>
                <w:szCs w:val="17"/>
                <w:color w:val="auto"/>
              </w:rPr>
            </w:pPr>
          </w:p>
        </w:tc>
      </w:tr>
      <w:tr>
        <w:trPr>
          <w:trHeight w:val="220"/>
        </w:trPr>
        <w:tc>
          <w:tcPr>
            <w:tcW w:w="514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Unvested at January 31, 2021</w:t>
            </w:r>
          </w:p>
        </w:tc>
        <w:tc>
          <w:tcPr>
            <w:tcW w:w="10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2,871,801</w:t>
            </w:r>
          </w:p>
        </w:tc>
        <w:tc>
          <w:tcPr>
            <w:tcW w:w="1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94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51.73</w:t>
            </w:r>
          </w:p>
        </w:tc>
        <w:tc>
          <w:tcPr>
            <w:tcW w:w="80" w:type="dxa"/>
            <w:vAlign w:val="bottom"/>
            <w:tcBorders>
              <w:top w:val="single" w:sz="8" w:color="E5E6E7"/>
            </w:tcBorders>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1,213,257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128.80</w:t>
            </w:r>
          </w:p>
        </w:tc>
        <w:tc>
          <w:tcPr>
            <w:tcW w:w="80" w:type="dxa"/>
            <w:vAlign w:val="bottom"/>
          </w:tcPr>
          <w:p>
            <w:pPr>
              <w:spacing w:after="0"/>
              <w:rPr>
                <w:sz w:val="19"/>
                <w:szCs w:val="19"/>
                <w:color w:val="auto"/>
              </w:rPr>
            </w:pPr>
          </w:p>
        </w:tc>
      </w:tr>
      <w:tr>
        <w:trPr>
          <w:trHeight w:val="230"/>
        </w:trPr>
        <w:tc>
          <w:tcPr>
            <w:tcW w:w="51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Vested</w:t>
            </w:r>
          </w:p>
        </w:tc>
        <w:tc>
          <w:tcPr>
            <w:tcW w:w="12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(1,367,309)</w:t>
            </w: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53.85</w:t>
            </w:r>
          </w:p>
        </w:tc>
        <w:tc>
          <w:tcPr>
            <w:tcW w:w="80" w:type="dxa"/>
            <w:vAlign w:val="bottom"/>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(66,614)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71.59</w:t>
            </w:r>
          </w:p>
        </w:tc>
        <w:tc>
          <w:tcPr>
            <w:tcW w:w="80" w:type="dxa"/>
            <w:vAlign w:val="bottom"/>
          </w:tcPr>
          <w:p>
            <w:pPr>
              <w:spacing w:after="0"/>
              <w:rPr>
                <w:sz w:val="19"/>
                <w:szCs w:val="19"/>
                <w:color w:val="auto"/>
              </w:rPr>
            </w:pPr>
          </w:p>
        </w:tc>
      </w:tr>
      <w:tr>
        <w:trPr>
          <w:trHeight w:val="220"/>
        </w:trPr>
        <w:tc>
          <w:tcPr>
            <w:tcW w:w="514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Unvested at January 31, 2022</w:t>
            </w:r>
          </w:p>
        </w:tc>
        <w:tc>
          <w:tcPr>
            <w:tcW w:w="10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2,651,135</w:t>
            </w:r>
          </w:p>
        </w:tc>
        <w:tc>
          <w:tcPr>
            <w:tcW w:w="1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94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85.41</w:t>
            </w:r>
          </w:p>
        </w:tc>
        <w:tc>
          <w:tcPr>
            <w:tcW w:w="80" w:type="dxa"/>
            <w:vAlign w:val="bottom"/>
            <w:tcBorders>
              <w:top w:val="single" w:sz="8" w:color="E5E6E7"/>
            </w:tcBorders>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1,549,174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74.45</w:t>
            </w:r>
          </w:p>
        </w:tc>
        <w:tc>
          <w:tcPr>
            <w:tcW w:w="80" w:type="dxa"/>
            <w:vAlign w:val="bottom"/>
          </w:tcPr>
          <w:p>
            <w:pPr>
              <w:spacing w:after="0"/>
              <w:rPr>
                <w:sz w:val="19"/>
                <w:szCs w:val="19"/>
                <w:color w:val="auto"/>
              </w:rPr>
            </w:pPr>
          </w:p>
        </w:tc>
      </w:tr>
      <w:tr>
        <w:trPr>
          <w:trHeight w:val="230"/>
        </w:trPr>
        <w:tc>
          <w:tcPr>
            <w:tcW w:w="51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Vested</w:t>
            </w:r>
          </w:p>
        </w:tc>
        <w:tc>
          <w:tcPr>
            <w:tcW w:w="12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(1,513,972)</w:t>
            </w: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71.32</w:t>
            </w:r>
          </w:p>
        </w:tc>
        <w:tc>
          <w:tcPr>
            <w:tcW w:w="80" w:type="dxa"/>
            <w:vAlign w:val="bottom"/>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(112,978)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99.46</w:t>
            </w:r>
          </w:p>
        </w:tc>
        <w:tc>
          <w:tcPr>
            <w:tcW w:w="80" w:type="dxa"/>
            <w:vAlign w:val="bottom"/>
          </w:tcPr>
          <w:p>
            <w:pPr>
              <w:spacing w:after="0"/>
              <w:rPr>
                <w:sz w:val="19"/>
                <w:szCs w:val="19"/>
                <w:color w:val="auto"/>
              </w:rPr>
            </w:pPr>
          </w:p>
        </w:tc>
      </w:tr>
      <w:tr>
        <w:trPr>
          <w:trHeight w:val="220"/>
        </w:trPr>
        <w:tc>
          <w:tcPr>
            <w:tcW w:w="514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Unvested at January 31, 2023</w:t>
            </w:r>
          </w:p>
        </w:tc>
        <w:tc>
          <w:tcPr>
            <w:tcW w:w="10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2,573,359</w:t>
            </w:r>
          </w:p>
        </w:tc>
        <w:tc>
          <w:tcPr>
            <w:tcW w:w="1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120" w:type="dxa"/>
            <w:vAlign w:val="bottom"/>
            <w:tcBorders>
              <w:top w:val="single" w:sz="8" w:color="E5E6E7"/>
            </w:tcBorders>
            <w:shd w:val="clear" w:color="auto" w:fill="E5E6E7"/>
          </w:tcPr>
          <w:p>
            <w:pPr>
              <w:spacing w:after="0"/>
              <w:rPr>
                <w:sz w:val="19"/>
                <w:szCs w:val="19"/>
                <w:color w:val="auto"/>
              </w:rPr>
            </w:pPr>
          </w:p>
        </w:tc>
        <w:tc>
          <w:tcPr>
            <w:tcW w:w="94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86.81</w:t>
            </w:r>
          </w:p>
        </w:tc>
        <w:tc>
          <w:tcPr>
            <w:tcW w:w="80" w:type="dxa"/>
            <w:vAlign w:val="bottom"/>
            <w:tcBorders>
              <w:top w:val="single" w:sz="8" w:color="E5E6E7"/>
            </w:tcBorders>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1,305,401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70.32</w:t>
            </w:r>
          </w:p>
        </w:tc>
        <w:tc>
          <w:tcPr>
            <w:tcW w:w="80" w:type="dxa"/>
            <w:vAlign w:val="bottom"/>
          </w:tcPr>
          <w:p>
            <w:pPr>
              <w:spacing w:after="0"/>
              <w:rPr>
                <w:sz w:val="19"/>
                <w:szCs w:val="19"/>
                <w:color w:val="auto"/>
              </w:rPr>
            </w:pPr>
          </w:p>
        </w:tc>
      </w:tr>
      <w:tr>
        <w:trPr>
          <w:trHeight w:val="230"/>
        </w:trPr>
        <w:tc>
          <w:tcPr>
            <w:tcW w:w="51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Vested</w:t>
            </w:r>
          </w:p>
        </w:tc>
        <w:tc>
          <w:tcPr>
            <w:tcW w:w="12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(1,220,608)</w:t>
            </w:r>
          </w:p>
        </w:tc>
        <w:tc>
          <w:tcPr>
            <w:tcW w:w="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78.62</w:t>
            </w:r>
          </w:p>
        </w:tc>
        <w:tc>
          <w:tcPr>
            <w:tcW w:w="80" w:type="dxa"/>
            <w:vAlign w:val="bottom"/>
            <w:shd w:val="clear" w:color="auto" w:fill="E5E6E7"/>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Forfeited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(225,512)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81.79</w:t>
            </w:r>
          </w:p>
        </w:tc>
        <w:tc>
          <w:tcPr>
            <w:tcW w:w="80" w:type="dxa"/>
            <w:vAlign w:val="bottom"/>
          </w:tcPr>
          <w:p>
            <w:pPr>
              <w:spacing w:after="0"/>
              <w:rPr>
                <w:sz w:val="19"/>
                <w:szCs w:val="19"/>
                <w:color w:val="auto"/>
              </w:rPr>
            </w:pPr>
          </w:p>
        </w:tc>
      </w:tr>
      <w:tr>
        <w:trPr>
          <w:trHeight w:val="220"/>
        </w:trPr>
        <w:tc>
          <w:tcPr>
            <w:tcW w:w="514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Unvested at January 31, 2024</w:t>
            </w:r>
          </w:p>
        </w:tc>
        <w:tc>
          <w:tcPr>
            <w:tcW w:w="108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2,432,640</w:t>
            </w:r>
          </w:p>
        </w:tc>
        <w:tc>
          <w:tcPr>
            <w:tcW w:w="140" w:type="dxa"/>
            <w:vAlign w:val="bottom"/>
            <w:tcBorders>
              <w:top w:val="single" w:sz="8" w:color="E5E6E7"/>
            </w:tcBorders>
            <w:shd w:val="clear" w:color="auto" w:fill="E5E6E7"/>
          </w:tcPr>
          <w:p>
            <w:pPr>
              <w:spacing w:after="0"/>
              <w:rPr>
                <w:sz w:val="19"/>
                <w:szCs w:val="19"/>
                <w:color w:val="auto"/>
              </w:rPr>
            </w:pPr>
          </w:p>
        </w:tc>
        <w:tc>
          <w:tcPr>
            <w:tcW w:w="180" w:type="dxa"/>
            <w:vAlign w:val="bottom"/>
            <w:tcBorders>
              <w:top w:val="single" w:sz="8" w:color="E5E6E7"/>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94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82.54</w:t>
            </w:r>
          </w:p>
        </w:tc>
        <w:tc>
          <w:tcPr>
            <w:tcW w:w="80" w:type="dxa"/>
            <w:vAlign w:val="bottom"/>
            <w:tcBorders>
              <w:top w:val="single" w:sz="8" w:color="E5E6E7"/>
            </w:tcBorders>
            <w:shd w:val="clear" w:color="auto" w:fill="E5E6E7"/>
          </w:tcPr>
          <w:p>
            <w:pPr>
              <w:spacing w:after="0"/>
              <w:rPr>
                <w:sz w:val="19"/>
                <w:szCs w:val="19"/>
                <w:color w:val="auto"/>
              </w:rPr>
            </w:pPr>
          </w:p>
        </w:tc>
      </w:tr>
    </w:tbl>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Total fair value of restricted stock units vested as of the respective vesting dates for the fiscal years ended January 31, 2024,</w:t>
      </w:r>
    </w:p>
    <w:p>
      <w:pPr>
        <w:spacing w:after="0" w:line="28" w:lineRule="exact"/>
        <w:rPr>
          <w:sz w:val="20"/>
          <w:szCs w:val="20"/>
          <w:color w:val="auto"/>
        </w:rPr>
      </w:pPr>
    </w:p>
    <w:p>
      <w:pPr>
        <w:ind w:right="640"/>
        <w:spacing w:after="0" w:line="248" w:lineRule="auto"/>
        <w:rPr>
          <w:sz w:val="20"/>
          <w:szCs w:val="20"/>
          <w:color w:val="auto"/>
        </w:rPr>
      </w:pPr>
      <w:r>
        <w:rPr>
          <w:rFonts w:ascii="Times New Roman" w:cs="Times New Roman" w:eastAsia="Times New Roman" w:hAnsi="Times New Roman"/>
          <w:sz w:val="20"/>
          <w:szCs w:val="20"/>
          <w:color w:val="454546"/>
        </w:rPr>
        <w:t>2023 and 2022 was approximately $88.0 million, $122.0 million, and $192.5 million, respectively. As of January 31, 2024, the aggregate intrinsic value of unvested restricted stock units was $127.9 million.</w:t>
      </w:r>
    </w:p>
    <w:p>
      <w:pPr>
        <w:sectPr>
          <w:pgSz w:w="12240" w:h="15840" w:orient="portrait"/>
          <w:cols w:equalWidth="0" w:num="1">
            <w:col w:w="10800"/>
          </w:cols>
          <w:pgMar w:left="720" w:top="120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96</w:t>
      </w:r>
    </w:p>
    <w:p>
      <w:pPr>
        <w:sectPr>
          <w:pgSz w:w="12240" w:h="15840" w:orient="portrait"/>
          <w:cols w:equalWidth="0" w:num="1">
            <w:col w:w="10800"/>
          </w:cols>
          <w:pgMar w:left="720" w:top="1206" w:right="720" w:bottom="175"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454546"/>
        </w:rPr>
        <w:t>13. Net Loss Per Ordinary Share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The following table sets forth the computation of basic and diluted net loss per ordinary share for the periods indicated:</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454546"/>
            </w:tcBorders>
          </w:tcPr>
          <w:p>
            <w:pPr>
              <w:spacing w:after="0"/>
              <w:rPr>
                <w:sz w:val="17"/>
                <w:szCs w:val="17"/>
                <w:color w:val="auto"/>
              </w:rPr>
            </w:pPr>
          </w:p>
        </w:tc>
        <w:tc>
          <w:tcPr>
            <w:tcW w:w="2700" w:type="dxa"/>
            <w:vAlign w:val="bottom"/>
            <w:tcBorders>
              <w:bottom w:val="single" w:sz="8" w:color="454546"/>
            </w:tcBorders>
            <w:gridSpan w:val="8"/>
          </w:tcPr>
          <w:p>
            <w:pPr>
              <w:jc w:val="center"/>
              <w:ind w:left="708"/>
              <w:spacing w:after="0"/>
              <w:rPr>
                <w:sz w:val="20"/>
                <w:szCs w:val="20"/>
                <w:color w:val="auto"/>
              </w:rPr>
            </w:pPr>
            <w:r>
              <w:rPr>
                <w:rFonts w:ascii="Times New Roman" w:cs="Times New Roman" w:eastAsia="Times New Roman" w:hAnsi="Times New Roman"/>
                <w:sz w:val="16"/>
                <w:szCs w:val="16"/>
                <w:b w:val="1"/>
                <w:bCs w:val="1"/>
                <w:color w:val="454546"/>
                <w:w w:val="99"/>
              </w:rPr>
              <w:t>Year Ended January 31,</w:t>
            </w:r>
          </w:p>
        </w:tc>
        <w:tc>
          <w:tcPr>
            <w:tcW w:w="960" w:type="dxa"/>
            <w:vAlign w:val="bottom"/>
            <w:tcBorders>
              <w:bottom w:val="single" w:sz="8" w:color="45454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454546"/>
            </w:tcBorders>
          </w:tcPr>
          <w:p>
            <w:pPr>
              <w:spacing w:after="0"/>
              <w:rPr>
                <w:sz w:val="15"/>
                <w:szCs w:val="15"/>
                <w:color w:val="auto"/>
              </w:rPr>
            </w:pPr>
          </w:p>
        </w:tc>
        <w:tc>
          <w:tcPr>
            <w:tcW w:w="960" w:type="dxa"/>
            <w:vAlign w:val="bottom"/>
            <w:tcBorders>
              <w:bottom w:val="single" w:sz="8" w:color="454546"/>
            </w:tcBorders>
          </w:tcPr>
          <w:p>
            <w:pPr>
              <w:jc w:val="right"/>
              <w:ind w:right="308"/>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454546"/>
            </w:tcBorders>
          </w:tcPr>
          <w:p>
            <w:pPr>
              <w:spacing w:after="0"/>
              <w:rPr>
                <w:sz w:val="15"/>
                <w:szCs w:val="15"/>
                <w:color w:val="auto"/>
              </w:rPr>
            </w:pPr>
          </w:p>
        </w:tc>
        <w:tc>
          <w:tcPr>
            <w:tcW w:w="960" w:type="dxa"/>
            <w:vAlign w:val="bottom"/>
            <w:tcBorders>
              <w:bottom w:val="single" w:sz="8" w:color="454546"/>
            </w:tcBorders>
          </w:tcPr>
          <w:p>
            <w:pPr>
              <w:jc w:val="center"/>
              <w:ind w:right="63"/>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454546"/>
                <w:w w:val="86"/>
              </w:rPr>
              <w:t>per</w:t>
            </w:r>
          </w:p>
        </w:tc>
        <w:tc>
          <w:tcPr>
            <w:tcW w:w="160" w:type="dxa"/>
            <w:vAlign w:val="bottom"/>
            <w:tcBorders>
              <w:bottom w:val="single" w:sz="8" w:color="454546"/>
            </w:tcBorders>
          </w:tcPr>
          <w:p>
            <w:pPr>
              <w:spacing w:after="0"/>
              <w:rPr>
                <w:sz w:val="15"/>
                <w:szCs w:val="15"/>
                <w:color w:val="auto"/>
              </w:rPr>
            </w:pPr>
          </w:p>
        </w:tc>
        <w:tc>
          <w:tcPr>
            <w:tcW w:w="960" w:type="dxa"/>
            <w:vAlign w:val="bottom"/>
            <w:tcBorders>
              <w:bottom w:val="single" w:sz="8" w:color="454546"/>
            </w:tcBorders>
          </w:tcPr>
          <w:p>
            <w:pPr>
              <w:jc w:val="right"/>
              <w:ind w:right="303"/>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454546"/>
                <w:w w:val="97"/>
              </w:rPr>
              <w:t>(in thousands,</w:t>
            </w:r>
          </w:p>
        </w:tc>
        <w:tc>
          <w:tcPr>
            <w:tcW w:w="240" w:type="dxa"/>
            <w:vAlign w:val="bottom"/>
            <w:gridSpan w:val="2"/>
          </w:tcPr>
          <w:p>
            <w:pPr>
              <w:spacing w:after="0"/>
              <w:rPr>
                <w:sz w:val="15"/>
                <w:szCs w:val="15"/>
                <w:color w:val="auto"/>
              </w:rPr>
            </w:pPr>
          </w:p>
        </w:tc>
        <w:tc>
          <w:tcPr>
            <w:tcW w:w="112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4"/>
              </w:rPr>
              <w:t>except share and</w:t>
            </w:r>
          </w:p>
        </w:tc>
        <w:tc>
          <w:tcPr>
            <w:tcW w:w="220" w:type="dxa"/>
            <w:vAlign w:val="bottom"/>
            <w:gridSpan w:val="2"/>
            <w:vMerge w:val="continue"/>
          </w:tcPr>
          <w:p>
            <w:pPr>
              <w:spacing w:after="0"/>
              <w:rPr>
                <w:sz w:val="15"/>
                <w:szCs w:val="15"/>
                <w:color w:val="auto"/>
              </w:rPr>
            </w:pPr>
          </w:p>
        </w:tc>
        <w:tc>
          <w:tcPr>
            <w:tcW w:w="1120" w:type="dxa"/>
            <w:vAlign w:val="bottom"/>
            <w:gridSpan w:val="2"/>
          </w:tcPr>
          <w:p>
            <w:pPr>
              <w:jc w:val="right"/>
              <w:ind w:right="203"/>
              <w:spacing w:after="0" w:line="174" w:lineRule="exact"/>
              <w:rPr>
                <w:sz w:val="20"/>
                <w:szCs w:val="20"/>
                <w:color w:val="auto"/>
              </w:rPr>
            </w:pPr>
            <w:r>
              <w:rPr>
                <w:rFonts w:ascii="Times New Roman" w:cs="Times New Roman" w:eastAsia="Times New Roman" w:hAnsi="Times New Roman"/>
                <w:sz w:val="16"/>
                <w:szCs w:val="16"/>
                <w:b w:val="1"/>
                <w:bCs w:val="1"/>
                <w:color w:val="454546"/>
              </w:rPr>
              <w:t>share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Numerator:</w:t>
            </w:r>
          </w:p>
        </w:tc>
        <w:tc>
          <w:tcPr>
            <w:tcW w:w="2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9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454546"/>
              </w:rPr>
              <w:t>Net loss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(169,417)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(65,386)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(26,411)</w:t>
            </w:r>
          </w:p>
        </w:tc>
        <w:tc>
          <w:tcPr>
            <w:tcW w:w="0" w:type="dxa"/>
            <w:vAlign w:val="bottom"/>
          </w:tcPr>
          <w:p>
            <w:pPr>
              <w:spacing w:after="0"/>
              <w:rPr>
                <w:sz w:val="1"/>
                <w:szCs w:val="1"/>
                <w:color w:val="auto"/>
              </w:rPr>
            </w:pPr>
          </w:p>
        </w:tc>
      </w:tr>
      <w:tr>
        <w:trPr>
          <w:trHeight w:val="215"/>
        </w:trPr>
        <w:tc>
          <w:tcPr>
            <w:tcW w:w="5600" w:type="dxa"/>
            <w:vAlign w:val="bottom"/>
            <w:tcBorders>
              <w:top w:val="single" w:sz="8" w:color="E5E6E7"/>
            </w:tcBorders>
            <w:shd w:val="clear" w:color="auto" w:fill="E5E6E7"/>
          </w:tcPr>
          <w:p>
            <w:pPr>
              <w:spacing w:after="0" w:line="215" w:lineRule="exact"/>
              <w:rPr>
                <w:sz w:val="20"/>
                <w:szCs w:val="20"/>
                <w:color w:val="auto"/>
              </w:rPr>
            </w:pPr>
            <w:r>
              <w:rPr>
                <w:rFonts w:ascii="Times New Roman" w:cs="Times New Roman" w:eastAsia="Times New Roman" w:hAnsi="Times New Roman"/>
                <w:sz w:val="20"/>
                <w:szCs w:val="20"/>
                <w:b w:val="1"/>
                <w:bCs w:val="1"/>
                <w:color w:val="454546"/>
              </w:rPr>
              <w:t>Denominator:</w:t>
            </w:r>
          </w:p>
        </w:tc>
        <w:tc>
          <w:tcPr>
            <w:tcW w:w="20" w:type="dxa"/>
            <w:vAlign w:val="bottom"/>
            <w:tcBorders>
              <w:top w:val="single" w:sz="8" w:color="E5E6E7"/>
            </w:tcBorders>
            <w:shd w:val="clear" w:color="auto" w:fill="E5E6E7"/>
          </w:tcPr>
          <w:p>
            <w:pPr>
              <w:spacing w:after="0"/>
              <w:rPr>
                <w:sz w:val="18"/>
                <w:szCs w:val="18"/>
                <w:color w:val="auto"/>
              </w:rPr>
            </w:pPr>
          </w:p>
        </w:tc>
        <w:tc>
          <w:tcPr>
            <w:tcW w:w="140" w:type="dxa"/>
            <w:vAlign w:val="bottom"/>
            <w:tcBorders>
              <w:top w:val="single" w:sz="8" w:color="454546"/>
            </w:tcBorders>
            <w:shd w:val="clear" w:color="auto" w:fill="E5E6E7"/>
          </w:tcPr>
          <w:p>
            <w:pPr>
              <w:spacing w:after="0"/>
              <w:rPr>
                <w:sz w:val="18"/>
                <w:szCs w:val="18"/>
                <w:color w:val="auto"/>
              </w:rPr>
            </w:pPr>
          </w:p>
        </w:tc>
        <w:tc>
          <w:tcPr>
            <w:tcW w:w="960" w:type="dxa"/>
            <w:vAlign w:val="bottom"/>
            <w:tcBorders>
              <w:top w:val="single" w:sz="8" w:color="454546"/>
            </w:tcBorders>
            <w:shd w:val="clear" w:color="auto" w:fill="E5E6E7"/>
          </w:tcPr>
          <w:p>
            <w:pPr>
              <w:spacing w:after="0"/>
              <w:rPr>
                <w:sz w:val="18"/>
                <w:szCs w:val="18"/>
                <w:color w:val="auto"/>
              </w:rPr>
            </w:pPr>
          </w:p>
        </w:tc>
        <w:tc>
          <w:tcPr>
            <w:tcW w:w="160" w:type="dxa"/>
            <w:vAlign w:val="bottom"/>
            <w:tcBorders>
              <w:top w:val="single" w:sz="8" w:color="E5E6E7"/>
            </w:tcBorders>
            <w:shd w:val="clear" w:color="auto" w:fill="E5E6E7"/>
          </w:tcPr>
          <w:p>
            <w:pPr>
              <w:spacing w:after="0"/>
              <w:rPr>
                <w:sz w:val="18"/>
                <w:szCs w:val="18"/>
                <w:color w:val="auto"/>
              </w:rPr>
            </w:pPr>
          </w:p>
        </w:tc>
        <w:tc>
          <w:tcPr>
            <w:tcW w:w="80" w:type="dxa"/>
            <w:vAlign w:val="bottom"/>
            <w:tcBorders>
              <w:top w:val="single" w:sz="8" w:color="E5E6E7"/>
            </w:tcBorders>
            <w:shd w:val="clear" w:color="auto" w:fill="E5E6E7"/>
          </w:tcPr>
          <w:p>
            <w:pPr>
              <w:spacing w:after="0"/>
              <w:rPr>
                <w:sz w:val="18"/>
                <w:szCs w:val="18"/>
                <w:color w:val="auto"/>
              </w:rPr>
            </w:pPr>
          </w:p>
        </w:tc>
        <w:tc>
          <w:tcPr>
            <w:tcW w:w="160" w:type="dxa"/>
            <w:vAlign w:val="bottom"/>
            <w:tcBorders>
              <w:top w:val="single" w:sz="8" w:color="454546"/>
            </w:tcBorders>
            <w:shd w:val="clear" w:color="auto" w:fill="E5E6E7"/>
          </w:tcPr>
          <w:p>
            <w:pPr>
              <w:spacing w:after="0"/>
              <w:rPr>
                <w:sz w:val="18"/>
                <w:szCs w:val="18"/>
                <w:color w:val="auto"/>
              </w:rPr>
            </w:pPr>
          </w:p>
        </w:tc>
        <w:tc>
          <w:tcPr>
            <w:tcW w:w="960" w:type="dxa"/>
            <w:vAlign w:val="bottom"/>
            <w:tcBorders>
              <w:top w:val="single" w:sz="8" w:color="454546"/>
            </w:tcBorders>
            <w:shd w:val="clear" w:color="auto" w:fill="E5E6E7"/>
          </w:tcPr>
          <w:p>
            <w:pPr>
              <w:spacing w:after="0"/>
              <w:rPr>
                <w:sz w:val="18"/>
                <w:szCs w:val="18"/>
                <w:color w:val="auto"/>
              </w:rPr>
            </w:pPr>
          </w:p>
        </w:tc>
        <w:tc>
          <w:tcPr>
            <w:tcW w:w="140" w:type="dxa"/>
            <w:vAlign w:val="bottom"/>
            <w:tcBorders>
              <w:top w:val="single" w:sz="8" w:color="E5E6E7"/>
            </w:tcBorders>
            <w:shd w:val="clear" w:color="auto" w:fill="E5E6E7"/>
          </w:tcPr>
          <w:p>
            <w:pPr>
              <w:spacing w:after="0"/>
              <w:rPr>
                <w:sz w:val="18"/>
                <w:szCs w:val="18"/>
                <w:color w:val="auto"/>
              </w:rPr>
            </w:pPr>
          </w:p>
        </w:tc>
        <w:tc>
          <w:tcPr>
            <w:tcW w:w="80" w:type="dxa"/>
            <w:vAlign w:val="bottom"/>
            <w:tcBorders>
              <w:top w:val="single" w:sz="8" w:color="E5E6E7"/>
            </w:tcBorders>
            <w:shd w:val="clear" w:color="auto" w:fill="E5E6E7"/>
          </w:tcPr>
          <w:p>
            <w:pPr>
              <w:spacing w:after="0"/>
              <w:rPr>
                <w:sz w:val="18"/>
                <w:szCs w:val="18"/>
                <w:color w:val="auto"/>
              </w:rPr>
            </w:pPr>
          </w:p>
        </w:tc>
        <w:tc>
          <w:tcPr>
            <w:tcW w:w="160" w:type="dxa"/>
            <w:vAlign w:val="bottom"/>
            <w:tcBorders>
              <w:top w:val="single" w:sz="8" w:color="454546"/>
            </w:tcBorders>
            <w:shd w:val="clear" w:color="auto" w:fill="E5E6E7"/>
          </w:tcPr>
          <w:p>
            <w:pPr>
              <w:spacing w:after="0"/>
              <w:rPr>
                <w:sz w:val="18"/>
                <w:szCs w:val="18"/>
                <w:color w:val="auto"/>
              </w:rPr>
            </w:pPr>
          </w:p>
        </w:tc>
        <w:tc>
          <w:tcPr>
            <w:tcW w:w="960" w:type="dxa"/>
            <w:vAlign w:val="bottom"/>
            <w:tcBorders>
              <w:top w:val="single" w:sz="8" w:color="454546"/>
            </w:tcBorders>
            <w:shd w:val="clear" w:color="auto" w:fill="E5E6E7"/>
          </w:tcPr>
          <w:p>
            <w:pPr>
              <w:spacing w:after="0"/>
              <w:rPr>
                <w:sz w:val="18"/>
                <w:szCs w:val="18"/>
                <w:color w:val="auto"/>
              </w:rPr>
            </w:pPr>
          </w:p>
        </w:tc>
        <w:tc>
          <w:tcPr>
            <w:tcW w:w="100" w:type="dxa"/>
            <w:vAlign w:val="bottom"/>
            <w:tcBorders>
              <w:top w:val="single" w:sz="8" w:color="E5E6E7"/>
            </w:tcBorders>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454546"/>
              </w:rPr>
              <w:t>Weighted-average ordinary shares - basic</w:t>
            </w:r>
          </w:p>
        </w:tc>
        <w:tc>
          <w:tcPr>
            <w:tcW w:w="20" w:type="dxa"/>
            <w:vAlign w:val="bottom"/>
            <w:tcBorders>
              <w:bottom w:val="single" w:sz="8" w:color="E5E6E7"/>
            </w:tcBorders>
          </w:tcPr>
          <w:p>
            <w:pPr>
              <w:spacing w:after="0"/>
              <w:rPr>
                <w:sz w:val="23"/>
                <w:szCs w:val="23"/>
                <w:color w:val="auto"/>
              </w:rPr>
            </w:pPr>
          </w:p>
        </w:tc>
        <w:tc>
          <w:tcPr>
            <w:tcW w:w="140" w:type="dxa"/>
            <w:vAlign w:val="bottom"/>
            <w:tcBorders>
              <w:bottom w:val="single" w:sz="8" w:color="454546"/>
            </w:tcBorders>
          </w:tcPr>
          <w:p>
            <w:pPr>
              <w:spacing w:after="0"/>
              <w:rPr>
                <w:sz w:val="23"/>
                <w:szCs w:val="23"/>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39,878,872</w:t>
            </w:r>
          </w:p>
        </w:tc>
        <w:tc>
          <w:tcPr>
            <w:tcW w:w="160" w:type="dxa"/>
            <w:vAlign w:val="bottom"/>
            <w:tcBorders>
              <w:bottom w:val="single" w:sz="8" w:color="E5E6E7"/>
            </w:tcBorders>
          </w:tcPr>
          <w:p>
            <w:pPr>
              <w:spacing w:after="0"/>
              <w:rPr>
                <w:sz w:val="23"/>
                <w:szCs w:val="23"/>
                <w:color w:val="auto"/>
              </w:rPr>
            </w:pPr>
          </w:p>
        </w:tc>
        <w:tc>
          <w:tcPr>
            <w:tcW w:w="80" w:type="dxa"/>
            <w:vAlign w:val="bottom"/>
            <w:tcBorders>
              <w:bottom w:val="single" w:sz="8" w:color="E5E6E7"/>
            </w:tcBorders>
          </w:tcPr>
          <w:p>
            <w:pPr>
              <w:spacing w:after="0"/>
              <w:rPr>
                <w:sz w:val="23"/>
                <w:szCs w:val="23"/>
                <w:color w:val="auto"/>
              </w:rPr>
            </w:pPr>
          </w:p>
        </w:tc>
        <w:tc>
          <w:tcPr>
            <w:tcW w:w="160" w:type="dxa"/>
            <w:vAlign w:val="bottom"/>
            <w:tcBorders>
              <w:bottom w:val="single" w:sz="8" w:color="454546"/>
            </w:tcBorders>
          </w:tcPr>
          <w:p>
            <w:pPr>
              <w:spacing w:after="0"/>
              <w:rPr>
                <w:sz w:val="23"/>
                <w:szCs w:val="23"/>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38,363,638</w:t>
            </w:r>
          </w:p>
        </w:tc>
        <w:tc>
          <w:tcPr>
            <w:tcW w:w="140" w:type="dxa"/>
            <w:vAlign w:val="bottom"/>
            <w:tcBorders>
              <w:bottom w:val="single" w:sz="8" w:color="E5E6E7"/>
            </w:tcBorders>
          </w:tcPr>
          <w:p>
            <w:pPr>
              <w:spacing w:after="0"/>
              <w:rPr>
                <w:sz w:val="23"/>
                <w:szCs w:val="23"/>
                <w:color w:val="auto"/>
              </w:rPr>
            </w:pPr>
          </w:p>
        </w:tc>
        <w:tc>
          <w:tcPr>
            <w:tcW w:w="80" w:type="dxa"/>
            <w:vAlign w:val="bottom"/>
            <w:tcBorders>
              <w:bottom w:val="single" w:sz="8" w:color="E5E6E7"/>
            </w:tcBorders>
          </w:tcPr>
          <w:p>
            <w:pPr>
              <w:spacing w:after="0"/>
              <w:rPr>
                <w:sz w:val="23"/>
                <w:szCs w:val="23"/>
                <w:color w:val="auto"/>
              </w:rPr>
            </w:pPr>
          </w:p>
        </w:tc>
        <w:tc>
          <w:tcPr>
            <w:tcW w:w="160" w:type="dxa"/>
            <w:vAlign w:val="bottom"/>
            <w:tcBorders>
              <w:bottom w:val="single" w:sz="8" w:color="454546"/>
            </w:tcBorders>
          </w:tcPr>
          <w:p>
            <w:pPr>
              <w:spacing w:after="0"/>
              <w:rPr>
                <w:sz w:val="23"/>
                <w:szCs w:val="23"/>
                <w:color w:val="auto"/>
              </w:rPr>
            </w:pPr>
          </w:p>
        </w:tc>
        <w:tc>
          <w:tcPr>
            <w:tcW w:w="96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36,577,120</w:t>
            </w:r>
          </w:p>
        </w:tc>
        <w:tc>
          <w:tcPr>
            <w:tcW w:w="100" w:type="dxa"/>
            <w:vAlign w:val="bottom"/>
            <w:tcBorders>
              <w:bottom w:val="single" w:sz="8" w:color="E5E6E7"/>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E5E6E7"/>
          </w:tcPr>
          <w:p>
            <w:pPr>
              <w:spacing w:after="0" w:line="215" w:lineRule="exact"/>
              <w:rPr>
                <w:sz w:val="20"/>
                <w:szCs w:val="20"/>
                <w:color w:val="auto"/>
              </w:rPr>
            </w:pPr>
            <w:r>
              <w:rPr>
                <w:rFonts w:ascii="Times New Roman" w:cs="Times New Roman" w:eastAsia="Times New Roman" w:hAnsi="Times New Roman"/>
                <w:sz w:val="20"/>
                <w:szCs w:val="20"/>
                <w:color w:val="454546"/>
              </w:rPr>
              <w:t>Weighted-average ordinary shares - diluted</w:t>
            </w:r>
          </w:p>
        </w:tc>
        <w:tc>
          <w:tcPr>
            <w:tcW w:w="20" w:type="dxa"/>
            <w:vAlign w:val="bottom"/>
            <w:shd w:val="clear" w:color="auto" w:fill="E5E6E7"/>
          </w:tcPr>
          <w:p>
            <w:pPr>
              <w:spacing w:after="0"/>
              <w:rPr>
                <w:sz w:val="18"/>
                <w:szCs w:val="18"/>
                <w:color w:val="auto"/>
              </w:rPr>
            </w:pPr>
          </w:p>
        </w:tc>
        <w:tc>
          <w:tcPr>
            <w:tcW w:w="140" w:type="dxa"/>
            <w:vAlign w:val="bottom"/>
            <w:tcBorders>
              <w:bottom w:val="single" w:sz="8" w:color="454546"/>
            </w:tcBorders>
            <w:shd w:val="clear" w:color="auto" w:fill="E5E6E7"/>
          </w:tcPr>
          <w:p>
            <w:pPr>
              <w:spacing w:after="0"/>
              <w:rPr>
                <w:sz w:val="18"/>
                <w:szCs w:val="18"/>
                <w:color w:val="auto"/>
              </w:rPr>
            </w:pPr>
          </w:p>
        </w:tc>
        <w:tc>
          <w:tcPr>
            <w:tcW w:w="96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39,878,872</w:t>
            </w:r>
          </w:p>
        </w:tc>
        <w:tc>
          <w:tcPr>
            <w:tcW w:w="1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160" w:type="dxa"/>
            <w:vAlign w:val="bottom"/>
            <w:tcBorders>
              <w:bottom w:val="single" w:sz="8" w:color="454546"/>
            </w:tcBorders>
            <w:shd w:val="clear" w:color="auto" w:fill="E5E6E7"/>
          </w:tcPr>
          <w:p>
            <w:pPr>
              <w:spacing w:after="0"/>
              <w:rPr>
                <w:sz w:val="18"/>
                <w:szCs w:val="18"/>
                <w:color w:val="auto"/>
              </w:rPr>
            </w:pPr>
          </w:p>
        </w:tc>
        <w:tc>
          <w:tcPr>
            <w:tcW w:w="96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38,363,638</w:t>
            </w:r>
          </w:p>
        </w:tc>
        <w:tc>
          <w:tcPr>
            <w:tcW w:w="1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160" w:type="dxa"/>
            <w:vAlign w:val="bottom"/>
            <w:tcBorders>
              <w:bottom w:val="single" w:sz="8" w:color="454546"/>
            </w:tcBorders>
            <w:shd w:val="clear" w:color="auto" w:fill="E5E6E7"/>
          </w:tcPr>
          <w:p>
            <w:pPr>
              <w:spacing w:after="0"/>
              <w:rPr>
                <w:sz w:val="18"/>
                <w:szCs w:val="18"/>
                <w:color w:val="auto"/>
              </w:rPr>
            </w:pPr>
          </w:p>
        </w:tc>
        <w:tc>
          <w:tcPr>
            <w:tcW w:w="960" w:type="dxa"/>
            <w:vAlign w:val="bottom"/>
            <w:tcBorders>
              <w:bottom w:val="single" w:sz="8" w:color="454546"/>
            </w:tcBorders>
            <w:shd w:val="clear" w:color="auto" w:fill="E5E6E7"/>
          </w:tcPr>
          <w:p>
            <w:pPr>
              <w:jc w:val="right"/>
              <w:spacing w:after="0" w:line="215" w:lineRule="exact"/>
              <w:rPr>
                <w:sz w:val="20"/>
                <w:szCs w:val="20"/>
                <w:color w:val="auto"/>
              </w:rPr>
            </w:pPr>
            <w:r>
              <w:rPr>
                <w:rFonts w:ascii="Times New Roman" w:cs="Times New Roman" w:eastAsia="Times New Roman" w:hAnsi="Times New Roman"/>
                <w:sz w:val="20"/>
                <w:szCs w:val="20"/>
                <w:color w:val="454546"/>
              </w:rPr>
              <w:t>36,577,120</w:t>
            </w:r>
          </w:p>
        </w:tc>
        <w:tc>
          <w:tcPr>
            <w:tcW w:w="100" w:type="dxa"/>
            <w:vAlign w:val="bottom"/>
            <w:shd w:val="clear" w:color="auto" w:fill="E5E6E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Net loss per ordinary share:</w:t>
            </w:r>
          </w:p>
        </w:tc>
        <w:tc>
          <w:tcPr>
            <w:tcW w:w="20" w:type="dxa"/>
            <w:vAlign w:val="bottom"/>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Basic</w:t>
            </w:r>
          </w:p>
        </w:tc>
        <w:tc>
          <w:tcPr>
            <w:tcW w:w="1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w w:val="79"/>
              </w:rPr>
              <w:t>$</w:t>
            </w:r>
          </w:p>
        </w:tc>
        <w:tc>
          <w:tcPr>
            <w:tcW w:w="11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(4.25)</w:t>
            </w:r>
          </w:p>
        </w:tc>
        <w:tc>
          <w:tcPr>
            <w:tcW w:w="2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(1.70)</w:t>
            </w:r>
          </w:p>
        </w:tc>
        <w:tc>
          <w:tcPr>
            <w:tcW w:w="2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(0.72)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454546"/>
              </w:rPr>
              <w:t>Diluted</w:t>
            </w:r>
          </w:p>
        </w:tc>
        <w:tc>
          <w:tcPr>
            <w:tcW w:w="20" w:type="dxa"/>
            <w:vAlign w:val="bottom"/>
            <w:vMerge w:val="restart"/>
          </w:tcPr>
          <w:p>
            <w:pPr>
              <w:spacing w:after="0" w:line="20" w:lineRule="exact"/>
              <w:rPr>
                <w:sz w:val="1"/>
                <w:szCs w:val="1"/>
                <w:color w:val="auto"/>
              </w:rPr>
            </w:pPr>
          </w:p>
        </w:tc>
        <w:tc>
          <w:tcPr>
            <w:tcW w:w="14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top w:val="single" w:sz="8" w:color="454546"/>
              <w:bottom w:val="single" w:sz="8" w:color="454546"/>
            </w:tcBorders>
          </w:tcPr>
          <w:p>
            <w:pPr>
              <w:spacing w:after="0" w:line="20" w:lineRule="exact"/>
              <w:rPr>
                <w:sz w:val="1"/>
                <w:szCs w:val="1"/>
                <w:color w:val="auto"/>
              </w:rPr>
            </w:pPr>
          </w:p>
        </w:tc>
        <w:tc>
          <w:tcPr>
            <w:tcW w:w="960" w:type="dxa"/>
            <w:vAlign w:val="bottom"/>
            <w:tcBorders>
              <w:top w:val="single" w:sz="8" w:color="454546"/>
              <w:bottom w:val="single" w:sz="8" w:color="454546"/>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17"/>
                <w:szCs w:val="17"/>
                <w:color w:val="454546"/>
                <w:w w:val="70"/>
              </w:rPr>
              <w:t>$</w:t>
            </w:r>
          </w:p>
        </w:tc>
        <w:tc>
          <w:tcPr>
            <w:tcW w:w="96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(4.25)</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96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(1.70)</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w w:val="79"/>
              </w:rPr>
              <w:t>$</w:t>
            </w:r>
          </w:p>
        </w:tc>
        <w:tc>
          <w:tcPr>
            <w:tcW w:w="960" w:type="dxa"/>
            <w:vAlign w:val="bottom"/>
            <w:tcBorders>
              <w:bottom w:val="single" w:sz="8" w:color="454546"/>
            </w:tcBorders>
          </w:tcPr>
          <w:p>
            <w:pPr>
              <w:jc w:val="right"/>
              <w:spacing w:after="0" w:line="215" w:lineRule="exact"/>
              <w:rPr>
                <w:sz w:val="20"/>
                <w:szCs w:val="20"/>
                <w:color w:val="auto"/>
              </w:rPr>
            </w:pPr>
            <w:r>
              <w:rPr>
                <w:rFonts w:ascii="Times New Roman" w:cs="Times New Roman" w:eastAsia="Times New Roman" w:hAnsi="Times New Roman"/>
                <w:sz w:val="20"/>
                <w:szCs w:val="20"/>
                <w:color w:val="454546"/>
              </w:rPr>
              <w:t>(0.72)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14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6"/>
            </w:tcBorders>
          </w:tcPr>
          <w:p>
            <w:pPr>
              <w:spacing w:after="0" w:line="20" w:lineRule="exact"/>
              <w:rPr>
                <w:sz w:val="1"/>
                <w:szCs w:val="1"/>
                <w:color w:val="auto"/>
              </w:rPr>
            </w:pPr>
          </w:p>
        </w:tc>
        <w:tc>
          <w:tcPr>
            <w:tcW w:w="960" w:type="dxa"/>
            <w:vAlign w:val="bottom"/>
            <w:tcBorders>
              <w:bottom w:val="single" w:sz="8" w:color="45454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454546"/>
        </w:rPr>
        <w:t>The following weighted-average potentially dilutive securities were excluded from the computation of diluted net loss per ordinary share as their effect would have been antidilutive:</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454546"/>
            </w:tcBorders>
            <w:gridSpan w:val="5"/>
          </w:tcPr>
          <w:p>
            <w:pPr>
              <w:ind w:left="900"/>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86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68"/>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220" w:type="dxa"/>
            <w:vAlign w:val="bottom"/>
            <w:gridSpan w:val="2"/>
          </w:tcPr>
          <w:p>
            <w:pPr>
              <w:jc w:val="right"/>
              <w:ind w:right="26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220"/>
        </w:trPr>
        <w:tc>
          <w:tcPr>
            <w:tcW w:w="496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Options to purchase ordinary shares</w:t>
            </w:r>
          </w:p>
        </w:tc>
        <w:tc>
          <w:tcPr>
            <w:tcW w:w="100" w:type="dxa"/>
            <w:vAlign w:val="bottom"/>
            <w:tcBorders>
              <w:top w:val="single" w:sz="8" w:color="E5E6E7"/>
            </w:tcBorders>
            <w:shd w:val="clear" w:color="auto" w:fill="E5E6E7"/>
          </w:tcPr>
          <w:p>
            <w:pPr>
              <w:spacing w:after="0"/>
              <w:rPr>
                <w:sz w:val="19"/>
                <w:szCs w:val="19"/>
                <w:color w:val="auto"/>
              </w:rPr>
            </w:pPr>
          </w:p>
        </w:tc>
        <w:tc>
          <w:tcPr>
            <w:tcW w:w="104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234,088</w:t>
            </w:r>
          </w:p>
        </w:tc>
        <w:tc>
          <w:tcPr>
            <w:tcW w:w="180" w:type="dxa"/>
            <w:vAlign w:val="bottom"/>
            <w:tcBorders>
              <w:top w:val="single" w:sz="8" w:color="E5E6E7"/>
            </w:tcBorders>
            <w:shd w:val="clear" w:color="auto" w:fill="E5E6E7"/>
          </w:tcPr>
          <w:p>
            <w:pPr>
              <w:spacing w:after="0"/>
              <w:rPr>
                <w:sz w:val="19"/>
                <w:szCs w:val="19"/>
                <w:color w:val="auto"/>
              </w:rPr>
            </w:pPr>
          </w:p>
        </w:tc>
        <w:tc>
          <w:tcPr>
            <w:tcW w:w="104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336,828</w:t>
            </w:r>
          </w:p>
        </w:tc>
        <w:tc>
          <w:tcPr>
            <w:tcW w:w="180" w:type="dxa"/>
            <w:vAlign w:val="bottom"/>
            <w:tcBorders>
              <w:top w:val="single" w:sz="8" w:color="E5E6E7"/>
            </w:tcBorders>
            <w:shd w:val="clear" w:color="auto" w:fill="E5E6E7"/>
          </w:tcPr>
          <w:p>
            <w:pPr>
              <w:spacing w:after="0"/>
              <w:rPr>
                <w:sz w:val="19"/>
                <w:szCs w:val="19"/>
                <w:color w:val="auto"/>
              </w:rPr>
            </w:pPr>
          </w:p>
        </w:tc>
        <w:tc>
          <w:tcPr>
            <w:tcW w:w="200" w:type="dxa"/>
            <w:vAlign w:val="bottom"/>
            <w:tcBorders>
              <w:top w:val="single" w:sz="8" w:color="454546"/>
            </w:tcBorders>
            <w:shd w:val="clear" w:color="auto" w:fill="E5E6E7"/>
          </w:tcPr>
          <w:p>
            <w:pPr>
              <w:spacing w:after="0"/>
              <w:rPr>
                <w:sz w:val="19"/>
                <w:szCs w:val="19"/>
                <w:color w:val="auto"/>
              </w:rPr>
            </w:pPr>
          </w:p>
        </w:tc>
        <w:tc>
          <w:tcPr>
            <w:tcW w:w="860" w:type="dxa"/>
            <w:vAlign w:val="bottom"/>
            <w:tcBorders>
              <w:top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327,747</w:t>
            </w:r>
          </w:p>
        </w:tc>
        <w:tc>
          <w:tcPr>
            <w:tcW w:w="80" w:type="dxa"/>
            <w:vAlign w:val="bottom"/>
            <w:tcBorders>
              <w:top w:val="single" w:sz="8" w:color="E5E6E7"/>
            </w:tcBorders>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Restricted stock units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1,549,026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1,550,679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1,388,091</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Employee stock purchase plan</w:t>
            </w:r>
          </w:p>
        </w:tc>
        <w:tc>
          <w:tcPr>
            <w:tcW w:w="11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10,483</w:t>
            </w:r>
          </w:p>
        </w:tc>
        <w:tc>
          <w:tcPr>
            <w:tcW w:w="1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10,883</w:t>
            </w:r>
          </w:p>
        </w:tc>
        <w:tc>
          <w:tcPr>
            <w:tcW w:w="1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8,904</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1,793,597</w:t>
            </w:r>
          </w:p>
        </w:tc>
        <w:tc>
          <w:tcPr>
            <w:tcW w:w="180" w:type="dxa"/>
            <w:vAlign w:val="bottom"/>
          </w:tcPr>
          <w:p>
            <w:pPr>
              <w:spacing w:after="0"/>
              <w:rPr>
                <w:sz w:val="19"/>
                <w:szCs w:val="19"/>
                <w:color w:val="auto"/>
              </w:rPr>
            </w:pPr>
          </w:p>
        </w:tc>
        <w:tc>
          <w:tcPr>
            <w:tcW w:w="104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1,898,390</w:t>
            </w:r>
          </w:p>
        </w:tc>
        <w:tc>
          <w:tcPr>
            <w:tcW w:w="180" w:type="dxa"/>
            <w:vAlign w:val="bottom"/>
          </w:tcPr>
          <w:p>
            <w:pPr>
              <w:spacing w:after="0"/>
              <w:rPr>
                <w:sz w:val="19"/>
                <w:szCs w:val="19"/>
                <w:color w:val="auto"/>
              </w:rPr>
            </w:pPr>
          </w:p>
        </w:tc>
        <w:tc>
          <w:tcPr>
            <w:tcW w:w="200" w:type="dxa"/>
            <w:vAlign w:val="bottom"/>
            <w:tcBorders>
              <w:top w:val="single" w:sz="8" w:color="454546"/>
              <w:bottom w:val="single" w:sz="8" w:color="454546"/>
            </w:tcBorders>
          </w:tcPr>
          <w:p>
            <w:pPr>
              <w:spacing w:after="0"/>
              <w:rPr>
                <w:sz w:val="19"/>
                <w:szCs w:val="19"/>
                <w:color w:val="auto"/>
              </w:rPr>
            </w:pPr>
          </w:p>
        </w:tc>
        <w:tc>
          <w:tcPr>
            <w:tcW w:w="86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1,724,742</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45454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86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14. Income Taxes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Loss before income taxes consisted of the following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2500" w:type="dxa"/>
            <w:vAlign w:val="bottom"/>
            <w:tcBorders>
              <w:bottom w:val="single" w:sz="8" w:color="454546"/>
            </w:tcBorders>
            <w:gridSpan w:val="8"/>
          </w:tcPr>
          <w:p>
            <w:pPr>
              <w:jc w:val="center"/>
              <w:ind w:left="488"/>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820" w:type="dxa"/>
            <w:vAlign w:val="bottom"/>
            <w:tcBorders>
              <w:bottom w:val="single" w:sz="8" w:color="454546"/>
            </w:tcBorders>
          </w:tcPr>
          <w:p>
            <w:pPr>
              <w:jc w:val="right"/>
              <w:ind w:right="248"/>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5"/>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5"/>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operations</w:t>
            </w:r>
          </w:p>
        </w:tc>
        <w:tc>
          <w:tcPr>
            <w:tcW w:w="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(33,953)</w:t>
            </w:r>
          </w:p>
        </w:tc>
        <w:tc>
          <w:tcPr>
            <w:tcW w:w="300" w:type="dxa"/>
            <w:vAlign w:val="bottom"/>
            <w:gridSpan w:val="2"/>
            <w:shd w:val="clear" w:color="auto" w:fill="E5E6E7"/>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(18,968)</w:t>
            </w:r>
          </w:p>
        </w:tc>
        <w:tc>
          <w:tcPr>
            <w:tcW w:w="3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(5,842)</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Non-U.S. operations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(114,577)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(51,970)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(22,799)</w:t>
            </w:r>
          </w:p>
        </w:tc>
      </w:tr>
      <w:tr>
        <w:trPr>
          <w:trHeight w:val="220"/>
        </w:trPr>
        <w:tc>
          <w:tcPr>
            <w:tcW w:w="496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Loss before income taxes</w:t>
            </w:r>
          </w:p>
        </w:tc>
        <w:tc>
          <w:tcPr>
            <w:tcW w:w="120" w:type="dxa"/>
            <w:vAlign w:val="bottom"/>
            <w:tcBorders>
              <w:top w:val="single" w:sz="8" w:color="E5E6E7"/>
            </w:tcBorders>
            <w:shd w:val="clear" w:color="auto" w:fill="E5E6E7"/>
          </w:tcPr>
          <w:p>
            <w:pPr>
              <w:spacing w:after="0"/>
              <w:rPr>
                <w:sz w:val="19"/>
                <w:szCs w:val="19"/>
                <w:color w:val="auto"/>
              </w:rPr>
            </w:pPr>
          </w:p>
        </w:tc>
        <w:tc>
          <w:tcPr>
            <w:tcW w:w="2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79"/>
                <w:shd w:val="clear" w:color="auto" w:fill="E5E6E7"/>
              </w:rPr>
              <w:t>$</w:t>
            </w:r>
          </w:p>
        </w:tc>
        <w:tc>
          <w:tcPr>
            <w:tcW w:w="82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shd w:val="clear" w:color="auto" w:fill="E5E6E7"/>
              </w:rPr>
              <w:t>(148,530</w:t>
            </w:r>
          </w:p>
        </w:tc>
        <w:tc>
          <w:tcPr>
            <w:tcW w:w="140" w:type="dxa"/>
            <w:vAlign w:val="bottom"/>
            <w:tcBorders>
              <w:top w:val="single" w:sz="8" w:color="E5E6E7"/>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w w:val="89"/>
              </w:rPr>
              <w:t>)</w:t>
            </w:r>
          </w:p>
        </w:tc>
        <w:tc>
          <w:tcPr>
            <w:tcW w:w="6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454546"/>
              <w:bottom w:val="single" w:sz="8" w:color="454546"/>
            </w:tcBorders>
            <w:shd w:val="clear" w:color="auto" w:fill="E5E6E7"/>
          </w:tcPr>
          <w:p>
            <w:pPr>
              <w:jc w:val="right"/>
              <w:ind w:right="5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(70,938</w:t>
            </w:r>
          </w:p>
        </w:tc>
        <w:tc>
          <w:tcPr>
            <w:tcW w:w="12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w w:val="74"/>
              </w:rPr>
              <w:t>)</w:t>
            </w:r>
          </w:p>
        </w:tc>
        <w:tc>
          <w:tcPr>
            <w:tcW w:w="8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454546"/>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(28,641</w:t>
            </w:r>
          </w:p>
        </w:tc>
        <w:tc>
          <w:tcPr>
            <w:tcW w:w="8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54546"/>
                <w:w w:val="74"/>
                <w:shd w:val="clear" w:color="auto" w:fill="E5E6E7"/>
              </w:rPr>
              <w:t>)</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82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Income tax provision (benefit) consisted of the following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8"/>
          </w:tcPr>
          <w:p>
            <w:pPr>
              <w:jc w:val="center"/>
              <w:ind w:left="464"/>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4"/>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2"/>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Current:</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U.S. federal tax</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303</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(3,525)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907</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U.S. state taxes</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175</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r>
      <w:tr>
        <w:trPr>
          <w:trHeight w:val="230"/>
        </w:trPr>
        <w:tc>
          <w:tcPr>
            <w:tcW w:w="496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454546"/>
              </w:rPr>
              <w:t>Non-U.S. foreign taxes</w:t>
            </w:r>
          </w:p>
        </w:tc>
        <w:tc>
          <w:tcPr>
            <w:tcW w:w="120" w:type="dxa"/>
            <w:vAlign w:val="bottom"/>
            <w:tcBorders>
              <w:bottom w:val="single" w:sz="8" w:color="E5E6E7"/>
            </w:tcBorders>
          </w:tcPr>
          <w:p>
            <w:pPr>
              <w:spacing w:after="0"/>
              <w:rPr>
                <w:sz w:val="19"/>
                <w:szCs w:val="19"/>
                <w:color w:val="auto"/>
              </w:rPr>
            </w:pPr>
          </w:p>
        </w:tc>
        <w:tc>
          <w:tcPr>
            <w:tcW w:w="22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1,711</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80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2,395</w:t>
            </w:r>
          </w:p>
        </w:tc>
        <w:tc>
          <w:tcPr>
            <w:tcW w:w="12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40" w:type="dxa"/>
            <w:vAlign w:val="bottom"/>
            <w:tcBorders>
              <w:bottom w:val="single" w:sz="8" w:color="454546"/>
            </w:tcBorders>
          </w:tcPr>
          <w:p>
            <w:pPr>
              <w:spacing w:after="0"/>
              <w:rPr>
                <w:sz w:val="19"/>
                <w:szCs w:val="19"/>
                <w:color w:val="auto"/>
              </w:rPr>
            </w:pPr>
          </w:p>
        </w:tc>
        <w:tc>
          <w:tcPr>
            <w:tcW w:w="780" w:type="dxa"/>
            <w:vAlign w:val="bottom"/>
            <w:tcBorders>
              <w:bottom w:val="single" w:sz="8" w:color="454546"/>
            </w:tcBorders>
          </w:tcPr>
          <w:p>
            <w:pPr>
              <w:jc w:val="right"/>
              <w:spacing w:after="0"/>
              <w:rPr>
                <w:sz w:val="20"/>
                <w:szCs w:val="20"/>
                <w:color w:val="auto"/>
              </w:rPr>
            </w:pPr>
            <w:r>
              <w:rPr>
                <w:rFonts w:ascii="Times New Roman" w:cs="Times New Roman" w:eastAsia="Times New Roman" w:hAnsi="Times New Roman"/>
                <w:sz w:val="20"/>
                <w:szCs w:val="20"/>
                <w:color w:val="454546"/>
              </w:rPr>
              <w:t>1,778</w:t>
            </w:r>
          </w:p>
        </w:tc>
        <w:tc>
          <w:tcPr>
            <w:tcW w:w="80" w:type="dxa"/>
            <w:vAlign w:val="bottom"/>
            <w:tcBorders>
              <w:bottom w:val="single" w:sz="8" w:color="E5E6E7"/>
            </w:tcBorders>
          </w:tcPr>
          <w:p>
            <w:pPr>
              <w:spacing w:after="0"/>
              <w:rPr>
                <w:sz w:val="19"/>
                <w:szCs w:val="19"/>
                <w:color w:val="auto"/>
              </w:rPr>
            </w:pPr>
          </w:p>
        </w:tc>
      </w:tr>
      <w:tr>
        <w:trPr>
          <w:trHeight w:val="220"/>
        </w:trPr>
        <w:tc>
          <w:tcPr>
            <w:tcW w:w="496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2,015</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(955)</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2,685</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Deferred: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U.S. federal tax</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18,909</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(4,231)</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(4,819)</w:t>
            </w: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U.S. state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(14)</w:t>
            </w: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Non-U.S. foreign taxes</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(37)</w:t>
            </w: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(366)</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(82)</w:t>
            </w:r>
          </w:p>
        </w:tc>
      </w:tr>
      <w:tr>
        <w:trPr>
          <w:trHeight w:val="220"/>
        </w:trPr>
        <w:tc>
          <w:tcPr>
            <w:tcW w:w="496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220" w:type="dxa"/>
            <w:vAlign w:val="bottom"/>
            <w:tcBorders>
              <w:top w:val="single" w:sz="8" w:color="454546"/>
              <w:bottom w:val="single" w:sz="8" w:color="454546"/>
            </w:tcBorders>
          </w:tcPr>
          <w:p>
            <w:pPr>
              <w:spacing w:after="0"/>
              <w:rPr>
                <w:sz w:val="19"/>
                <w:szCs w:val="19"/>
                <w:color w:val="auto"/>
              </w:rPr>
            </w:pPr>
          </w:p>
        </w:tc>
        <w:tc>
          <w:tcPr>
            <w:tcW w:w="8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18,872</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240" w:type="dxa"/>
            <w:vAlign w:val="bottom"/>
            <w:tcBorders>
              <w:top w:val="single" w:sz="8" w:color="454546"/>
              <w:bottom w:val="single" w:sz="8" w:color="454546"/>
            </w:tcBorders>
          </w:tcPr>
          <w:p>
            <w:pPr>
              <w:spacing w:after="0"/>
              <w:rPr>
                <w:sz w:val="19"/>
                <w:szCs w:val="19"/>
                <w:color w:val="auto"/>
              </w:rPr>
            </w:pPr>
          </w:p>
        </w:tc>
        <w:tc>
          <w:tcPr>
            <w:tcW w:w="80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(4,597)</w:t>
            </w:r>
          </w:p>
        </w:tc>
        <w:tc>
          <w:tcPr>
            <w:tcW w:w="12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40" w:type="dxa"/>
            <w:vAlign w:val="bottom"/>
            <w:tcBorders>
              <w:top w:val="single" w:sz="8" w:color="454546"/>
              <w:bottom w:val="single" w:sz="8" w:color="454546"/>
            </w:tcBorders>
          </w:tcPr>
          <w:p>
            <w:pPr>
              <w:spacing w:after="0"/>
              <w:rPr>
                <w:sz w:val="19"/>
                <w:szCs w:val="19"/>
                <w:color w:val="auto"/>
              </w:rPr>
            </w:pPr>
          </w:p>
        </w:tc>
        <w:tc>
          <w:tcPr>
            <w:tcW w:w="780" w:type="dxa"/>
            <w:vAlign w:val="bottom"/>
            <w:tcBorders>
              <w:top w:val="single" w:sz="8" w:color="454546"/>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(4,915)</w:t>
            </w:r>
          </w:p>
        </w:tc>
        <w:tc>
          <w:tcPr>
            <w:tcW w:w="80" w:type="dxa"/>
            <w:vAlign w:val="bottom"/>
            <w:tcBorders>
              <w:bottom w:val="single" w:sz="8" w:color="E5E6E7"/>
            </w:tcBorders>
          </w:tcPr>
          <w:p>
            <w:pPr>
              <w:spacing w:after="0"/>
              <w:rPr>
                <w:sz w:val="19"/>
                <w:szCs w:val="19"/>
                <w:color w:val="auto"/>
              </w:rPr>
            </w:pPr>
          </w:p>
        </w:tc>
      </w:tr>
      <w:tr>
        <w:trPr>
          <w:trHeight w:val="220"/>
        </w:trPr>
        <w:tc>
          <w:tcPr>
            <w:tcW w:w="4960" w:type="dxa"/>
            <w:vAlign w:val="bottom"/>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454546"/>
              </w:rPr>
              <w:t>Provision (benefit) for income taxes</w:t>
            </w:r>
          </w:p>
        </w:tc>
        <w:tc>
          <w:tcPr>
            <w:tcW w:w="1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20,887</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5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(5,552)</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(2,230)</w:t>
            </w:r>
          </w:p>
        </w:tc>
        <w:tc>
          <w:tcPr>
            <w:tcW w:w="80" w:type="dxa"/>
            <w:vAlign w:val="bottom"/>
            <w:shd w:val="clear" w:color="auto" w:fill="E5E6E7"/>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720" w:top="97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454546"/>
        </w:rPr>
        <w:t>97</w:t>
      </w:r>
    </w:p>
    <w:p>
      <w:pPr>
        <w:sectPr>
          <w:pgSz w:w="12240" w:h="15840" w:orient="portrait"/>
          <w:cols w:equalWidth="0" w:num="1">
            <w:col w:w="10260"/>
          </w:cols>
          <w:pgMar w:left="720" w:top="972" w:right="1260" w:bottom="175" w:gutter="0" w:footer="0" w:header="0"/>
          <w:type w:val="continuous"/>
        </w:sectPr>
      </w:pPr>
    </w:p>
    <w:bookmarkStart w:id="102" w:name="page103"/>
    <w:bookmarkEnd w:id="102"/>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Company consists of a Cayman Islands parent company with various foreign and U.S. subsidiaries. Effective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 rate is applied to pretax income (loss) as a result of the following for the periods indicated, respectively:</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8"/>
          </w:tcPr>
          <w:p>
            <w:pPr>
              <w:jc w:val="center"/>
              <w:ind w:left="463"/>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2"/>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2"/>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Provision at U.S. notional statutory rate</w:t>
            </w:r>
          </w:p>
        </w:tc>
        <w:tc>
          <w:tcPr>
            <w:tcW w:w="340" w:type="dxa"/>
            <w:vAlign w:val="bottom"/>
            <w:gridSpan w:val="3"/>
            <w:shd w:val="clear" w:color="auto" w:fill="E5E6E7"/>
          </w:tcPr>
          <w:p>
            <w:pPr>
              <w:jc w:val="right"/>
              <w:ind w:right="35"/>
              <w:spacing w:after="0"/>
              <w:rPr>
                <w:sz w:val="20"/>
                <w:szCs w:val="20"/>
                <w:color w:val="auto"/>
              </w:rPr>
            </w:pPr>
            <w:r>
              <w:rPr>
                <w:rFonts w:ascii="Times New Roman" w:cs="Times New Roman" w:eastAsia="Times New Roman" w:hAnsi="Times New Roman"/>
                <w:sz w:val="20"/>
                <w:szCs w:val="20"/>
                <w:color w:val="454546"/>
              </w:rPr>
              <w:t>$</w:t>
            </w:r>
          </w:p>
        </w:tc>
        <w:tc>
          <w:tcPr>
            <w:tcW w:w="9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(31,191)</w:t>
            </w:r>
          </w:p>
        </w:tc>
        <w:tc>
          <w:tcPr>
            <w:tcW w:w="300" w:type="dxa"/>
            <w:vAlign w:val="bottom"/>
            <w:gridSpan w:val="2"/>
            <w:shd w:val="clear" w:color="auto" w:fill="E5E6E7"/>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(14,897)</w:t>
            </w:r>
          </w:p>
        </w:tc>
        <w:tc>
          <w:tcPr>
            <w:tcW w:w="3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(6,015)</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U.S. state taxes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(11)</w:t>
            </w: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Non-U.S. foreign tax differential</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25,736</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12,943</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6,483</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Stock-based compensation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4,847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10,004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1,900</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U.S. R&amp;D credit</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(7,232)</w:t>
            </w: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(5,045)</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(5,886)</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Valuation allowance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28,311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765</w:t>
            </w:r>
          </w:p>
        </w:tc>
        <w:tc>
          <w:tcPr>
            <w:tcW w:w="80" w:type="dxa"/>
            <w:vAlign w:val="bottom"/>
          </w:tcPr>
          <w:p>
            <w:pPr>
              <w:spacing w:after="0"/>
              <w:rPr>
                <w:sz w:val="20"/>
                <w:szCs w:val="20"/>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FIN48 interest</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45</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54546"/>
              </w:rPr>
              <w:t>(739)</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311</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Uncertain tax position release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(10,188)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r>
      <w:tr>
        <w:trPr>
          <w:trHeight w:val="250"/>
        </w:trPr>
        <w:tc>
          <w:tcPr>
            <w:tcW w:w="4960" w:type="dxa"/>
            <w:vAlign w:val="bottom"/>
            <w:tcBorders>
              <w:bottom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54546"/>
              </w:rPr>
              <w:t>Other</w:t>
            </w:r>
          </w:p>
        </w:tc>
        <w:tc>
          <w:tcPr>
            <w:tcW w:w="120" w:type="dxa"/>
            <w:vAlign w:val="bottom"/>
            <w:tcBorders>
              <w:bottom w:val="single" w:sz="8" w:color="E5E6E7"/>
            </w:tcBorders>
            <w:shd w:val="clear" w:color="auto" w:fill="E5E6E7"/>
          </w:tcPr>
          <w:p>
            <w:pPr>
              <w:spacing w:after="0"/>
              <w:rPr>
                <w:sz w:val="21"/>
                <w:szCs w:val="21"/>
                <w:color w:val="auto"/>
              </w:rPr>
            </w:pPr>
          </w:p>
        </w:tc>
        <w:tc>
          <w:tcPr>
            <w:tcW w:w="20" w:type="dxa"/>
            <w:vAlign w:val="bottom"/>
            <w:tcBorders>
              <w:bottom w:val="single" w:sz="8" w:color="E5E6E7"/>
            </w:tcBorders>
            <w:shd w:val="clear" w:color="auto" w:fill="E5E6E7"/>
          </w:tcPr>
          <w:p>
            <w:pPr>
              <w:spacing w:after="0"/>
              <w:rPr>
                <w:sz w:val="21"/>
                <w:szCs w:val="21"/>
                <w:color w:val="auto"/>
              </w:rPr>
            </w:pPr>
          </w:p>
        </w:tc>
        <w:tc>
          <w:tcPr>
            <w:tcW w:w="200" w:type="dxa"/>
            <w:vAlign w:val="bottom"/>
            <w:tcBorders>
              <w:bottom w:val="single" w:sz="8" w:color="454546"/>
            </w:tcBorders>
            <w:shd w:val="clear" w:color="auto" w:fill="E5E6E7"/>
          </w:tcPr>
          <w:p>
            <w:pPr>
              <w:spacing w:after="0"/>
              <w:rPr>
                <w:sz w:val="21"/>
                <w:szCs w:val="21"/>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365</w:t>
            </w:r>
          </w:p>
        </w:tc>
        <w:tc>
          <w:tcPr>
            <w:tcW w:w="140" w:type="dxa"/>
            <w:vAlign w:val="bottom"/>
            <w:tcBorders>
              <w:bottom w:val="single" w:sz="8" w:color="E5E6E7"/>
            </w:tcBorders>
            <w:shd w:val="clear" w:color="auto" w:fill="E5E6E7"/>
          </w:tcPr>
          <w:p>
            <w:pPr>
              <w:spacing w:after="0"/>
              <w:rPr>
                <w:sz w:val="21"/>
                <w:szCs w:val="21"/>
                <w:color w:val="auto"/>
              </w:rPr>
            </w:pPr>
          </w:p>
        </w:tc>
        <w:tc>
          <w:tcPr>
            <w:tcW w:w="60" w:type="dxa"/>
            <w:vAlign w:val="bottom"/>
            <w:tcBorders>
              <w:bottom w:val="single" w:sz="8" w:color="E5E6E7"/>
            </w:tcBorders>
            <w:shd w:val="clear" w:color="auto" w:fill="E5E6E7"/>
          </w:tcPr>
          <w:p>
            <w:pPr>
              <w:spacing w:after="0"/>
              <w:rPr>
                <w:sz w:val="21"/>
                <w:szCs w:val="21"/>
                <w:color w:val="auto"/>
              </w:rPr>
            </w:pPr>
          </w:p>
        </w:tc>
        <w:tc>
          <w:tcPr>
            <w:tcW w:w="240" w:type="dxa"/>
            <w:vAlign w:val="bottom"/>
            <w:tcBorders>
              <w:bottom w:val="single" w:sz="8" w:color="454546"/>
            </w:tcBorders>
            <w:shd w:val="clear" w:color="auto" w:fill="E5E6E7"/>
          </w:tcPr>
          <w:p>
            <w:pPr>
              <w:spacing w:after="0"/>
              <w:rPr>
                <w:sz w:val="21"/>
                <w:szCs w:val="21"/>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132</w:t>
            </w:r>
          </w:p>
        </w:tc>
        <w:tc>
          <w:tcPr>
            <w:tcW w:w="120" w:type="dxa"/>
            <w:vAlign w:val="bottom"/>
            <w:tcBorders>
              <w:bottom w:val="single" w:sz="8" w:color="E5E6E7"/>
            </w:tcBorders>
            <w:shd w:val="clear" w:color="auto" w:fill="E5E6E7"/>
          </w:tcPr>
          <w:p>
            <w:pPr>
              <w:spacing w:after="0"/>
              <w:rPr>
                <w:sz w:val="21"/>
                <w:szCs w:val="21"/>
                <w:color w:val="auto"/>
              </w:rPr>
            </w:pPr>
          </w:p>
        </w:tc>
        <w:tc>
          <w:tcPr>
            <w:tcW w:w="80" w:type="dxa"/>
            <w:vAlign w:val="bottom"/>
            <w:tcBorders>
              <w:bottom w:val="single" w:sz="8" w:color="E5E6E7"/>
            </w:tcBorders>
            <w:shd w:val="clear" w:color="auto" w:fill="E5E6E7"/>
          </w:tcPr>
          <w:p>
            <w:pPr>
              <w:spacing w:after="0"/>
              <w:rPr>
                <w:sz w:val="21"/>
                <w:szCs w:val="21"/>
                <w:color w:val="auto"/>
              </w:rPr>
            </w:pPr>
          </w:p>
        </w:tc>
        <w:tc>
          <w:tcPr>
            <w:tcW w:w="240" w:type="dxa"/>
            <w:vAlign w:val="bottom"/>
            <w:tcBorders>
              <w:bottom w:val="single" w:sz="8" w:color="454546"/>
            </w:tcBorders>
            <w:shd w:val="clear" w:color="auto" w:fill="E5E6E7"/>
          </w:tcPr>
          <w:p>
            <w:pPr>
              <w:spacing w:after="0"/>
              <w:rPr>
                <w:sz w:val="21"/>
                <w:szCs w:val="21"/>
                <w:color w:val="auto"/>
              </w:rPr>
            </w:pPr>
          </w:p>
        </w:tc>
        <w:tc>
          <w:tcPr>
            <w:tcW w:w="7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223</w:t>
            </w:r>
          </w:p>
        </w:tc>
        <w:tc>
          <w:tcPr>
            <w:tcW w:w="80" w:type="dxa"/>
            <w:vAlign w:val="bottom"/>
            <w:tcBorders>
              <w:bottom w:val="single" w:sz="8" w:color="E5E6E7"/>
            </w:tcBorders>
            <w:shd w:val="clear" w:color="auto" w:fill="E5E6E7"/>
          </w:tcPr>
          <w:p>
            <w:pPr>
              <w:spacing w:after="0"/>
              <w:rPr>
                <w:sz w:val="21"/>
                <w:szCs w:val="21"/>
                <w:color w:val="auto"/>
              </w:rPr>
            </w:pPr>
          </w:p>
        </w:tc>
      </w:tr>
      <w:tr>
        <w:trPr>
          <w:trHeight w:val="200"/>
        </w:trPr>
        <w:tc>
          <w:tcPr>
            <w:tcW w:w="496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b w:val="1"/>
                <w:bCs w:val="1"/>
                <w:color w:val="454546"/>
              </w:rPr>
              <w:t>Provision (benefit) for income taxes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454546"/>
            </w:tcBorders>
          </w:tcPr>
          <w:p>
            <w:pPr>
              <w:jc w:val="right"/>
              <w:ind w:right="35"/>
              <w:spacing w:after="0"/>
              <w:rPr>
                <w:sz w:val="20"/>
                <w:szCs w:val="20"/>
                <w:color w:val="auto"/>
              </w:rPr>
            </w:pPr>
            <w:r>
              <w:rPr>
                <w:rFonts w:ascii="Times New Roman" w:cs="Times New Roman" w:eastAsia="Times New Roman" w:hAnsi="Times New Roman"/>
                <w:sz w:val="17"/>
                <w:szCs w:val="17"/>
                <w:color w:val="454546"/>
                <w:w w:val="70"/>
              </w:rPr>
              <w:t>$</w:t>
            </w:r>
          </w:p>
        </w:tc>
        <w:tc>
          <w:tcPr>
            <w:tcW w:w="800" w:type="dxa"/>
            <w:vAlign w:val="bottom"/>
            <w:tcBorders>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20,887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454546"/>
            </w:tcBorders>
          </w:tcPr>
          <w:p>
            <w:pPr>
              <w:jc w:val="right"/>
              <w:ind w:right="50"/>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(5,552)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454546"/>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bottom w:val="single" w:sz="8" w:color="454546"/>
            </w:tcBorders>
          </w:tcPr>
          <w:p>
            <w:pPr>
              <w:jc w:val="right"/>
              <w:spacing w:after="0" w:line="200" w:lineRule="exact"/>
              <w:rPr>
                <w:sz w:val="20"/>
                <w:szCs w:val="20"/>
                <w:color w:val="auto"/>
              </w:rPr>
            </w:pPr>
            <w:r>
              <w:rPr>
                <w:rFonts w:ascii="Times New Roman" w:cs="Times New Roman" w:eastAsia="Times New Roman" w:hAnsi="Times New Roman"/>
                <w:sz w:val="20"/>
                <w:szCs w:val="20"/>
                <w:color w:val="454546"/>
              </w:rPr>
              <w:t>(2,230)</w:t>
            </w:r>
          </w:p>
        </w:tc>
        <w:tc>
          <w:tcPr>
            <w:tcW w:w="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454546"/>
        </w:rPr>
        <w:t>Temporary differences that gave rise to significant portions of the Company’s deferred tax assets and liabilities at January 31, 2024 and 2023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454546"/>
              </w:rPr>
              <w:t>As of January 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top w:val="single" w:sz="8" w:color="454546"/>
              <w:bottom w:val="single" w:sz="8" w:color="454546"/>
            </w:tcBorders>
          </w:tcPr>
          <w:p>
            <w:pPr>
              <w:spacing w:after="0"/>
              <w:rPr>
                <w:sz w:val="15"/>
                <w:szCs w:val="15"/>
                <w:color w:val="auto"/>
              </w:rPr>
            </w:pPr>
          </w:p>
        </w:tc>
        <w:tc>
          <w:tcPr>
            <w:tcW w:w="780" w:type="dxa"/>
            <w:vAlign w:val="bottom"/>
            <w:tcBorders>
              <w:top w:val="single" w:sz="8" w:color="454546"/>
              <w:bottom w:val="single" w:sz="8" w:color="454546"/>
            </w:tcBorders>
            <w:gridSpan w:val="2"/>
          </w:tcPr>
          <w:p>
            <w:pPr>
              <w:jc w:val="right"/>
              <w:ind w:right="300"/>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60" w:type="dxa"/>
            <w:vAlign w:val="bottom"/>
            <w:tcBorders>
              <w:top w:val="single" w:sz="8" w:color="454546"/>
            </w:tcBorders>
          </w:tcPr>
          <w:p>
            <w:pPr>
              <w:spacing w:after="0"/>
              <w:rPr>
                <w:sz w:val="15"/>
                <w:szCs w:val="15"/>
                <w:color w:val="auto"/>
              </w:rPr>
            </w:pPr>
          </w:p>
        </w:tc>
        <w:tc>
          <w:tcPr>
            <w:tcW w:w="20" w:type="dxa"/>
            <w:vAlign w:val="bottom"/>
            <w:tcBorders>
              <w:top w:val="single" w:sz="8" w:color="454546"/>
            </w:tcBorders>
          </w:tcPr>
          <w:p>
            <w:pPr>
              <w:spacing w:after="0"/>
              <w:rPr>
                <w:sz w:val="15"/>
                <w:szCs w:val="15"/>
                <w:color w:val="auto"/>
              </w:rPr>
            </w:pPr>
          </w:p>
        </w:tc>
        <w:tc>
          <w:tcPr>
            <w:tcW w:w="220" w:type="dxa"/>
            <w:vAlign w:val="bottom"/>
            <w:tcBorders>
              <w:top w:val="single" w:sz="8" w:color="454546"/>
              <w:bottom w:val="single" w:sz="8" w:color="454546"/>
            </w:tcBorders>
          </w:tcPr>
          <w:p>
            <w:pPr>
              <w:spacing w:after="0"/>
              <w:rPr>
                <w:sz w:val="15"/>
                <w:szCs w:val="15"/>
                <w:color w:val="auto"/>
              </w:rPr>
            </w:pPr>
          </w:p>
        </w:tc>
        <w:tc>
          <w:tcPr>
            <w:tcW w:w="100" w:type="dxa"/>
            <w:vAlign w:val="bottom"/>
            <w:tcBorders>
              <w:top w:val="single" w:sz="8" w:color="454546"/>
              <w:bottom w:val="single" w:sz="8" w:color="454546"/>
            </w:tcBorders>
          </w:tcPr>
          <w:p>
            <w:pPr>
              <w:spacing w:after="0"/>
              <w:rPr>
                <w:sz w:val="15"/>
                <w:szCs w:val="15"/>
                <w:color w:val="auto"/>
              </w:rPr>
            </w:pPr>
          </w:p>
        </w:tc>
        <w:tc>
          <w:tcPr>
            <w:tcW w:w="740" w:type="dxa"/>
            <w:vAlign w:val="bottom"/>
            <w:tcBorders>
              <w:top w:val="single" w:sz="8" w:color="454546"/>
              <w:bottom w:val="single" w:sz="8" w:color="454546"/>
            </w:tcBorders>
            <w:gridSpan w:val="2"/>
          </w:tcPr>
          <w:p>
            <w:pPr>
              <w:jc w:val="right"/>
              <w:ind w:right="280"/>
              <w:spacing w:after="0" w:line="174" w:lineRule="exact"/>
              <w:rPr>
                <w:sz w:val="20"/>
                <w:szCs w:val="20"/>
                <w:color w:val="auto"/>
              </w:rPr>
            </w:pPr>
            <w:r>
              <w:rPr>
                <w:rFonts w:ascii="Times New Roman" w:cs="Times New Roman" w:eastAsia="Times New Roman" w:hAnsi="Times New Roman"/>
                <w:sz w:val="16"/>
                <w:szCs w:val="16"/>
                <w:b w:val="1"/>
                <w:bCs w:val="1"/>
                <w:color w:val="454546"/>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454546"/>
              </w:rPr>
              <w:t>(in</w:t>
            </w:r>
          </w:p>
        </w:tc>
        <w:tc>
          <w:tcPr>
            <w:tcW w:w="1240" w:type="dxa"/>
            <w:vAlign w:val="bottom"/>
            <w:gridSpan w:val="6"/>
          </w:tcPr>
          <w:p>
            <w:pPr>
              <w:jc w:val="right"/>
              <w:ind w:right="580"/>
              <w:spacing w:after="0" w:line="174" w:lineRule="exact"/>
              <w:rPr>
                <w:sz w:val="20"/>
                <w:szCs w:val="20"/>
                <w:color w:val="auto"/>
              </w:rPr>
            </w:pPr>
            <w:r>
              <w:rPr>
                <w:rFonts w:ascii="Times New Roman" w:cs="Times New Roman" w:eastAsia="Times New Roman" w:hAnsi="Times New Roman"/>
                <w:sz w:val="16"/>
                <w:szCs w:val="16"/>
                <w:b w:val="1"/>
                <w:bCs w:val="1"/>
                <w:color w:val="454546"/>
                <w:w w:val="74"/>
              </w:rPr>
              <w:t>thousands)</w:t>
            </w:r>
          </w:p>
        </w:tc>
        <w:tc>
          <w:tcPr>
            <w:tcW w:w="4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Deferred tax assets:</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5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6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Federal and state credits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center"/>
              <w:ind w:left="640"/>
              <w:spacing w:after="0"/>
              <w:rPr>
                <w:sz w:val="20"/>
                <w:szCs w:val="20"/>
                <w:color w:val="auto"/>
              </w:rPr>
            </w:pPr>
            <w:r>
              <w:rPr>
                <w:rFonts w:ascii="Times New Roman" w:cs="Times New Roman" w:eastAsia="Times New Roman" w:hAnsi="Times New Roman"/>
                <w:sz w:val="20"/>
                <w:szCs w:val="20"/>
                <w:color w:val="454546"/>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51,344</w:t>
            </w:r>
          </w:p>
        </w:tc>
        <w:tc>
          <w:tcPr>
            <w:tcW w:w="16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454546"/>
              </w:rPr>
              <w:t>$</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40,134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Net operating losses</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6,099</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6,659</w:t>
            </w:r>
          </w:p>
        </w:tc>
        <w:tc>
          <w:tcPr>
            <w:tcW w:w="80" w:type="dxa"/>
            <w:vAlign w:val="bottom"/>
            <w:shd w:val="clear" w:color="auto" w:fill="E5E6E7"/>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Expenses not currently deductible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3,988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Operating lease liabilities</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1,009</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7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1,582</w:t>
            </w:r>
          </w:p>
        </w:tc>
        <w:tc>
          <w:tcPr>
            <w:tcW w:w="80" w:type="dxa"/>
            <w:vAlign w:val="bottom"/>
            <w:shd w:val="clear" w:color="auto" w:fill="E5E6E7"/>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Stock-based compensation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3,820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3,678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Other deferred tax assets</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220</w:t>
            </w: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20" w:type="dxa"/>
            <w:vAlign w:val="bottom"/>
            <w:tcBorders>
              <w:bottom w:val="single" w:sz="8" w:color="454546"/>
            </w:tcBorders>
            <w:shd w:val="clear" w:color="auto" w:fill="E5E6E7"/>
          </w:tcPr>
          <w:p>
            <w:pPr>
              <w:spacing w:after="0"/>
              <w:rPr>
                <w:sz w:val="19"/>
                <w:szCs w:val="19"/>
                <w:color w:val="auto"/>
              </w:rPr>
            </w:pPr>
          </w:p>
        </w:tc>
        <w:tc>
          <w:tcPr>
            <w:tcW w:w="100" w:type="dxa"/>
            <w:vAlign w:val="bottom"/>
            <w:tcBorders>
              <w:bottom w:val="single" w:sz="8" w:color="454546"/>
            </w:tcBorders>
            <w:shd w:val="clear" w:color="auto" w:fill="E5E6E7"/>
          </w:tcPr>
          <w:p>
            <w:pPr>
              <w:spacing w:after="0"/>
              <w:rPr>
                <w:sz w:val="19"/>
                <w:szCs w:val="19"/>
                <w:color w:val="auto"/>
              </w:rPr>
            </w:pPr>
          </w:p>
        </w:tc>
        <w:tc>
          <w:tcPr>
            <w:tcW w:w="740" w:type="dxa"/>
            <w:vAlign w:val="bottom"/>
            <w:tcBorders>
              <w:bottom w:val="single" w:sz="8" w:color="454546"/>
            </w:tcBorders>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262</w:t>
            </w:r>
          </w:p>
        </w:tc>
        <w:tc>
          <w:tcPr>
            <w:tcW w:w="80" w:type="dxa"/>
            <w:vAlign w:val="bottom"/>
            <w:shd w:val="clear" w:color="auto" w:fill="E5E6E7"/>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620" w:type="dxa"/>
            <w:vAlign w:val="bottom"/>
          </w:tcPr>
          <w:p>
            <w:pPr>
              <w:spacing w:after="0"/>
              <w:rPr>
                <w:sz w:val="19"/>
                <w:szCs w:val="19"/>
                <w:color w:val="auto"/>
              </w:rPr>
            </w:pPr>
          </w:p>
        </w:tc>
        <w:tc>
          <w:tcPr>
            <w:tcW w:w="312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b w:val="1"/>
                <w:bCs w:val="1"/>
                <w:color w:val="454546"/>
              </w:rPr>
              <w:t>Gross deferred tax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66,480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55,479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ind w:left="600"/>
              <w:spacing w:after="0"/>
              <w:rPr>
                <w:sz w:val="20"/>
                <w:szCs w:val="20"/>
                <w:color w:val="auto"/>
              </w:rPr>
            </w:pPr>
            <w:r>
              <w:rPr>
                <w:rFonts w:ascii="Times New Roman" w:cs="Times New Roman" w:eastAsia="Times New Roman" w:hAnsi="Times New Roman"/>
                <w:sz w:val="20"/>
                <w:szCs w:val="20"/>
                <w:b w:val="1"/>
                <w:bCs w:val="1"/>
                <w:color w:val="454546"/>
              </w:rPr>
              <w:t>Valuation allowance</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94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(60,036)</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(28,596)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0"/>
        </w:trPr>
        <w:tc>
          <w:tcPr>
            <w:tcW w:w="1620" w:type="dxa"/>
            <w:vAlign w:val="bottom"/>
          </w:tcPr>
          <w:p>
            <w:pPr>
              <w:spacing w:after="0"/>
              <w:rPr>
                <w:sz w:val="22"/>
                <w:szCs w:val="22"/>
                <w:color w:val="auto"/>
              </w:rPr>
            </w:pPr>
          </w:p>
        </w:tc>
        <w:tc>
          <w:tcPr>
            <w:tcW w:w="3120" w:type="dxa"/>
            <w:vAlign w:val="bottom"/>
            <w:tcBorders>
              <w:bottom w:val="single" w:sz="8" w:color="E5E6E7"/>
            </w:tcBorders>
          </w:tcPr>
          <w:p>
            <w:pPr>
              <w:ind w:left="200"/>
              <w:spacing w:after="0" w:line="220" w:lineRule="exact"/>
              <w:rPr>
                <w:sz w:val="20"/>
                <w:szCs w:val="20"/>
                <w:color w:val="auto"/>
              </w:rPr>
            </w:pPr>
            <w:r>
              <w:rPr>
                <w:rFonts w:ascii="Times New Roman" w:cs="Times New Roman" w:eastAsia="Times New Roman" w:hAnsi="Times New Roman"/>
                <w:sz w:val="20"/>
                <w:szCs w:val="20"/>
                <w:b w:val="1"/>
                <w:bCs w:val="1"/>
                <w:color w:val="454546"/>
              </w:rPr>
              <w:t>Total deferred tax assets</w:t>
            </w:r>
          </w:p>
        </w:tc>
        <w:tc>
          <w:tcPr>
            <w:tcW w:w="220" w:type="dxa"/>
            <w:vAlign w:val="bottom"/>
            <w:tcBorders>
              <w:bottom w:val="single" w:sz="8" w:color="E5E6E7"/>
            </w:tcBorders>
          </w:tcPr>
          <w:p>
            <w:pPr>
              <w:spacing w:after="0"/>
              <w:rPr>
                <w:sz w:val="22"/>
                <w:szCs w:val="22"/>
                <w:color w:val="auto"/>
              </w:rPr>
            </w:pPr>
          </w:p>
        </w:tc>
        <w:tc>
          <w:tcPr>
            <w:tcW w:w="100" w:type="dxa"/>
            <w:vAlign w:val="bottom"/>
            <w:tcBorders>
              <w:bottom w:val="single" w:sz="8" w:color="E5E6E7"/>
            </w:tcBorders>
          </w:tcPr>
          <w:p>
            <w:pPr>
              <w:spacing w:after="0"/>
              <w:rPr>
                <w:sz w:val="22"/>
                <w:szCs w:val="22"/>
                <w:color w:val="auto"/>
              </w:rPr>
            </w:pPr>
          </w:p>
        </w:tc>
        <w:tc>
          <w:tcPr>
            <w:tcW w:w="820" w:type="dxa"/>
            <w:vAlign w:val="bottom"/>
            <w:tcBorders>
              <w:bottom w:val="single" w:sz="8" w:color="E5E6E7"/>
            </w:tcBorders>
          </w:tcPr>
          <w:p>
            <w:pPr>
              <w:spacing w:after="0"/>
              <w:rPr>
                <w:sz w:val="22"/>
                <w:szCs w:val="22"/>
                <w:color w:val="auto"/>
              </w:rPr>
            </w:pPr>
          </w:p>
        </w:tc>
        <w:tc>
          <w:tcPr>
            <w:tcW w:w="220" w:type="dxa"/>
            <w:vAlign w:val="bottom"/>
            <w:tcBorders>
              <w:bottom w:val="single" w:sz="8" w:color="E5E6E7"/>
            </w:tcBorders>
          </w:tcPr>
          <w:p>
            <w:pPr>
              <w:spacing w:after="0"/>
              <w:rPr>
                <w:sz w:val="22"/>
                <w:szCs w:val="22"/>
                <w:color w:val="auto"/>
              </w:rPr>
            </w:pPr>
          </w:p>
        </w:tc>
        <w:tc>
          <w:tcPr>
            <w:tcW w:w="700" w:type="dxa"/>
            <w:vAlign w:val="bottom"/>
            <w:tcBorders>
              <w:bottom w:val="single" w:sz="8" w:color="E5E6E7"/>
            </w:tcBorders>
          </w:tcPr>
          <w:p>
            <w:pPr>
              <w:spacing w:after="0"/>
              <w:rPr>
                <w:sz w:val="22"/>
                <w:szCs w:val="22"/>
                <w:color w:val="auto"/>
              </w:rPr>
            </w:pPr>
          </w:p>
        </w:tc>
        <w:tc>
          <w:tcPr>
            <w:tcW w:w="280" w:type="dxa"/>
            <w:vAlign w:val="bottom"/>
            <w:tcBorders>
              <w:top w:val="single" w:sz="8" w:color="454546"/>
              <w:bottom w:val="single" w:sz="8" w:color="454546"/>
            </w:tcBorders>
          </w:tcPr>
          <w:p>
            <w:pPr>
              <w:jc w:val="center"/>
              <w:ind w:right="80"/>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780" w:type="dxa"/>
            <w:vAlign w:val="bottom"/>
            <w:tcBorders>
              <w:top w:val="single" w:sz="8" w:color="454546"/>
              <w:bottom w:val="single" w:sz="8" w:color="454546"/>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6,444</w:t>
            </w:r>
          </w:p>
        </w:tc>
        <w:tc>
          <w:tcPr>
            <w:tcW w:w="160" w:type="dxa"/>
            <w:vAlign w:val="bottom"/>
            <w:tcBorders>
              <w:bottom w:val="single" w:sz="8" w:color="E5E6E7"/>
            </w:tcBorders>
          </w:tcPr>
          <w:p>
            <w:pPr>
              <w:spacing w:after="0"/>
              <w:rPr>
                <w:sz w:val="22"/>
                <w:szCs w:val="22"/>
                <w:color w:val="auto"/>
              </w:rPr>
            </w:pPr>
          </w:p>
        </w:tc>
        <w:tc>
          <w:tcPr>
            <w:tcW w:w="20" w:type="dxa"/>
            <w:vAlign w:val="bottom"/>
            <w:tcBorders>
              <w:bottom w:val="single" w:sz="8" w:color="E5E6E7"/>
            </w:tcBorders>
          </w:tcPr>
          <w:p>
            <w:pPr>
              <w:spacing w:after="0"/>
              <w:rPr>
                <w:sz w:val="22"/>
                <w:szCs w:val="22"/>
                <w:color w:val="auto"/>
              </w:rPr>
            </w:pPr>
          </w:p>
        </w:tc>
        <w:tc>
          <w:tcPr>
            <w:tcW w:w="220" w:type="dxa"/>
            <w:vAlign w:val="bottom"/>
            <w:tcBorders>
              <w:top w:val="single" w:sz="8" w:color="454546"/>
              <w:bottom w:val="single" w:sz="8" w:color="454546"/>
            </w:tcBorders>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tcBorders>
              <w:top w:val="single" w:sz="8" w:color="454546"/>
              <w:bottom w:val="single" w:sz="8" w:color="454546"/>
            </w:tcBorders>
          </w:tcPr>
          <w:p>
            <w:pPr>
              <w:spacing w:after="0"/>
              <w:rPr>
                <w:sz w:val="22"/>
                <w:szCs w:val="22"/>
                <w:color w:val="auto"/>
              </w:rPr>
            </w:pPr>
          </w:p>
        </w:tc>
        <w:tc>
          <w:tcPr>
            <w:tcW w:w="740" w:type="dxa"/>
            <w:vAlign w:val="bottom"/>
            <w:tcBorders>
              <w:top w:val="single" w:sz="8" w:color="454546"/>
              <w:bottom w:val="single" w:sz="8" w:color="454546"/>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454546"/>
              </w:rPr>
              <w:t>26,883</w:t>
            </w:r>
          </w:p>
        </w:tc>
        <w:tc>
          <w:tcPr>
            <w:tcW w:w="80" w:type="dxa"/>
            <w:vAlign w:val="bottom"/>
            <w:tcBorders>
              <w:bottom w:val="single" w:sz="8" w:color="E5E6E7"/>
            </w:tcBorders>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5"/>
        </w:trPr>
        <w:tc>
          <w:tcPr>
            <w:tcW w:w="1620" w:type="dxa"/>
            <w:vAlign w:val="bottom"/>
          </w:tcPr>
          <w:p>
            <w:pPr>
              <w:spacing w:after="0"/>
              <w:rPr>
                <w:sz w:val="18"/>
                <w:szCs w:val="18"/>
                <w:color w:val="auto"/>
              </w:rPr>
            </w:pPr>
          </w:p>
        </w:tc>
        <w:tc>
          <w:tcPr>
            <w:tcW w:w="3120" w:type="dxa"/>
            <w:vAlign w:val="bottom"/>
            <w:shd w:val="clear" w:color="auto" w:fill="E5E6E7"/>
          </w:tcPr>
          <w:p>
            <w:pPr>
              <w:spacing w:after="0" w:line="215" w:lineRule="exact"/>
              <w:rPr>
                <w:sz w:val="20"/>
                <w:szCs w:val="20"/>
                <w:color w:val="auto"/>
              </w:rPr>
            </w:pPr>
            <w:r>
              <w:rPr>
                <w:rFonts w:ascii="Times New Roman" w:cs="Times New Roman" w:eastAsia="Times New Roman" w:hAnsi="Times New Roman"/>
                <w:sz w:val="20"/>
                <w:szCs w:val="20"/>
                <w:b w:val="1"/>
                <w:bCs w:val="1"/>
                <w:color w:val="454546"/>
              </w:rPr>
              <w:t>Deferred tax liabilities</w:t>
            </w:r>
          </w:p>
        </w:tc>
        <w:tc>
          <w:tcPr>
            <w:tcW w:w="22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700" w:type="dxa"/>
            <w:vAlign w:val="bottom"/>
            <w:shd w:val="clear" w:color="auto" w:fill="E5E6E7"/>
          </w:tcPr>
          <w:p>
            <w:pPr>
              <w:spacing w:after="0"/>
              <w:rPr>
                <w:sz w:val="18"/>
                <w:szCs w:val="18"/>
                <w:color w:val="auto"/>
              </w:rPr>
            </w:pPr>
          </w:p>
        </w:tc>
        <w:tc>
          <w:tcPr>
            <w:tcW w:w="28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560" w:type="dxa"/>
            <w:vAlign w:val="bottom"/>
            <w:shd w:val="clear" w:color="auto" w:fill="E5E6E7"/>
          </w:tcPr>
          <w:p>
            <w:pPr>
              <w:spacing w:after="0"/>
              <w:rPr>
                <w:sz w:val="18"/>
                <w:szCs w:val="18"/>
                <w:color w:val="auto"/>
              </w:rPr>
            </w:pPr>
          </w:p>
        </w:tc>
        <w:tc>
          <w:tcPr>
            <w:tcW w:w="160" w:type="dxa"/>
            <w:vAlign w:val="bottom"/>
            <w:shd w:val="clear" w:color="auto" w:fill="E5E6E7"/>
          </w:tcPr>
          <w:p>
            <w:pPr>
              <w:spacing w:after="0"/>
              <w:rPr>
                <w:sz w:val="18"/>
                <w:szCs w:val="18"/>
                <w:color w:val="auto"/>
              </w:rPr>
            </w:pPr>
          </w:p>
        </w:tc>
        <w:tc>
          <w:tcPr>
            <w:tcW w:w="2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c>
          <w:tcPr>
            <w:tcW w:w="120" w:type="dxa"/>
            <w:vAlign w:val="bottom"/>
            <w:shd w:val="clear" w:color="auto" w:fill="E5E6E7"/>
          </w:tcPr>
          <w:p>
            <w:pPr>
              <w:spacing w:after="0"/>
              <w:rPr>
                <w:sz w:val="18"/>
                <w:szCs w:val="18"/>
                <w:color w:val="auto"/>
              </w:rPr>
            </w:pPr>
          </w:p>
        </w:tc>
        <w:tc>
          <w:tcPr>
            <w:tcW w:w="62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620" w:type="dxa"/>
            <w:vAlign w:val="bottom"/>
          </w:tcPr>
          <w:p>
            <w:pPr>
              <w:spacing w:after="0"/>
              <w:rPr>
                <w:sz w:val="19"/>
                <w:szCs w:val="19"/>
                <w:color w:val="auto"/>
              </w:rPr>
            </w:pPr>
          </w:p>
        </w:tc>
        <w:tc>
          <w:tcPr>
            <w:tcW w:w="31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Intangible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(5,722)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(6,782)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54546"/>
              </w:rPr>
              <w:t>Property and equipment</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94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(460)</w:t>
            </w: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(617)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120" w:type="dxa"/>
            <w:vAlign w:val="bottom"/>
          </w:tcPr>
          <w:p>
            <w:pPr>
              <w:ind w:left="400"/>
              <w:spacing w:after="0"/>
              <w:rPr>
                <w:sz w:val="20"/>
                <w:szCs w:val="20"/>
                <w:color w:val="auto"/>
              </w:rPr>
            </w:pPr>
            <w:r>
              <w:rPr>
                <w:rFonts w:ascii="Times New Roman" w:cs="Times New Roman" w:eastAsia="Times New Roman" w:hAnsi="Times New Roman"/>
                <w:sz w:val="20"/>
                <w:szCs w:val="20"/>
                <w:color w:val="454546"/>
              </w:rPr>
              <w:t>Operating lease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454546"/>
              </w:rPr>
              <w:t>(918)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(1,452)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620" w:type="dxa"/>
            <w:vAlign w:val="bottom"/>
          </w:tcPr>
          <w:p>
            <w:pPr>
              <w:spacing w:after="0"/>
              <w:rPr>
                <w:sz w:val="19"/>
                <w:szCs w:val="19"/>
                <w:color w:val="auto"/>
              </w:rPr>
            </w:pPr>
          </w:p>
        </w:tc>
        <w:tc>
          <w:tcPr>
            <w:tcW w:w="312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Net deferred tax assets (liabilities)</w:t>
            </w:r>
          </w:p>
        </w:tc>
        <w:tc>
          <w:tcPr>
            <w:tcW w:w="220" w:type="dxa"/>
            <w:vAlign w:val="bottom"/>
            <w:tcBorders>
              <w:top w:val="single" w:sz="8" w:color="E5E6E7"/>
            </w:tcBorders>
            <w:shd w:val="clear" w:color="auto" w:fill="E5E6E7"/>
          </w:tcPr>
          <w:p>
            <w:pPr>
              <w:spacing w:after="0"/>
              <w:rPr>
                <w:sz w:val="19"/>
                <w:szCs w:val="19"/>
                <w:color w:val="auto"/>
              </w:rPr>
            </w:pPr>
          </w:p>
        </w:tc>
        <w:tc>
          <w:tcPr>
            <w:tcW w:w="100" w:type="dxa"/>
            <w:vAlign w:val="bottom"/>
            <w:tcBorders>
              <w:top w:val="single" w:sz="8" w:color="E5E6E7"/>
            </w:tcBorders>
            <w:shd w:val="clear" w:color="auto" w:fill="E5E6E7"/>
          </w:tcPr>
          <w:p>
            <w:pPr>
              <w:spacing w:after="0"/>
              <w:rPr>
                <w:sz w:val="19"/>
                <w:szCs w:val="19"/>
                <w:color w:val="auto"/>
              </w:rPr>
            </w:pPr>
          </w:p>
        </w:tc>
        <w:tc>
          <w:tcPr>
            <w:tcW w:w="82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E5E6E7"/>
            </w:tcBorders>
            <w:shd w:val="clear" w:color="auto" w:fill="E5E6E7"/>
          </w:tcPr>
          <w:p>
            <w:pPr>
              <w:spacing w:after="0"/>
              <w:rPr>
                <w:sz w:val="19"/>
                <w:szCs w:val="19"/>
                <w:color w:val="auto"/>
              </w:rPr>
            </w:pPr>
          </w:p>
        </w:tc>
        <w:tc>
          <w:tcPr>
            <w:tcW w:w="700" w:type="dxa"/>
            <w:vAlign w:val="bottom"/>
            <w:tcBorders>
              <w:top w:val="single" w:sz="8" w:color="E5E6E7"/>
            </w:tcBorders>
            <w:shd w:val="clear" w:color="auto" w:fill="E5E6E7"/>
          </w:tcPr>
          <w:p>
            <w:pPr>
              <w:spacing w:after="0"/>
              <w:rPr>
                <w:sz w:val="19"/>
                <w:szCs w:val="19"/>
                <w:color w:val="auto"/>
              </w:rPr>
            </w:pPr>
          </w:p>
        </w:tc>
        <w:tc>
          <w:tcPr>
            <w:tcW w:w="280" w:type="dxa"/>
            <w:vAlign w:val="bottom"/>
            <w:tcBorders>
              <w:top w:val="single" w:sz="8" w:color="454546"/>
              <w:bottom w:val="single" w:sz="8" w:color="454546"/>
            </w:tcBorders>
            <w:shd w:val="clear" w:color="auto" w:fill="E5E6E7"/>
          </w:tcPr>
          <w:p>
            <w:pPr>
              <w:jc w:val="center"/>
              <w:ind w:right="80"/>
              <w:spacing w:after="0" w:line="220" w:lineRule="exact"/>
              <w:rPr>
                <w:sz w:val="20"/>
                <w:szCs w:val="20"/>
                <w:color w:val="auto"/>
              </w:rPr>
            </w:pPr>
            <w:r>
              <w:rPr>
                <w:rFonts w:ascii="Times New Roman" w:cs="Times New Roman" w:eastAsia="Times New Roman" w:hAnsi="Times New Roman"/>
                <w:sz w:val="20"/>
                <w:szCs w:val="20"/>
                <w:color w:val="454546"/>
                <w:w w:val="99"/>
              </w:rPr>
              <w:t>$</w:t>
            </w:r>
          </w:p>
        </w:tc>
        <w:tc>
          <w:tcPr>
            <w:tcW w:w="780" w:type="dxa"/>
            <w:vAlign w:val="bottom"/>
            <w:tcBorders>
              <w:top w:val="single" w:sz="8" w:color="454546"/>
              <w:bottom w:val="single" w:sz="8" w:color="454546"/>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(656)</w:t>
            </w:r>
          </w:p>
        </w:tc>
        <w:tc>
          <w:tcPr>
            <w:tcW w:w="160" w:type="dxa"/>
            <w:vAlign w:val="bottom"/>
            <w:tcBorders>
              <w:top w:val="single" w:sz="8" w:color="E5E6E7"/>
            </w:tcBorders>
            <w:shd w:val="clear" w:color="auto" w:fill="E5E6E7"/>
          </w:tcPr>
          <w:p>
            <w:pPr>
              <w:spacing w:after="0"/>
              <w:rPr>
                <w:sz w:val="19"/>
                <w:szCs w:val="19"/>
                <w:color w:val="auto"/>
              </w:rPr>
            </w:pPr>
          </w:p>
        </w:tc>
        <w:tc>
          <w:tcPr>
            <w:tcW w:w="2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454546"/>
              <w:bottom w:val="single" w:sz="8" w:color="454546"/>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color w:val="454546"/>
              </w:rPr>
              <w:t>$</w:t>
            </w:r>
          </w:p>
        </w:tc>
        <w:tc>
          <w:tcPr>
            <w:tcW w:w="100" w:type="dxa"/>
            <w:vAlign w:val="bottom"/>
            <w:tcBorders>
              <w:top w:val="single" w:sz="8" w:color="454546"/>
              <w:bottom w:val="single" w:sz="8" w:color="454546"/>
            </w:tcBorders>
            <w:shd w:val="clear" w:color="auto" w:fill="E5E6E7"/>
          </w:tcPr>
          <w:p>
            <w:pPr>
              <w:spacing w:after="0"/>
              <w:rPr>
                <w:sz w:val="19"/>
                <w:szCs w:val="19"/>
                <w:color w:val="auto"/>
              </w:rPr>
            </w:pPr>
          </w:p>
        </w:tc>
        <w:tc>
          <w:tcPr>
            <w:tcW w:w="740" w:type="dxa"/>
            <w:vAlign w:val="bottom"/>
            <w:tcBorders>
              <w:top w:val="single" w:sz="8" w:color="454546"/>
              <w:bottom w:val="single" w:sz="8" w:color="454546"/>
            </w:tcBorders>
            <w:gridSpan w:val="2"/>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18,032</w:t>
            </w:r>
          </w:p>
        </w:tc>
        <w:tc>
          <w:tcPr>
            <w:tcW w:w="80" w:type="dxa"/>
            <w:vAlign w:val="bottom"/>
            <w:tcBorders>
              <w:top w:val="single" w:sz="8" w:color="E5E6E7"/>
            </w:tcBorders>
            <w:shd w:val="clear" w:color="auto" w:fill="E5E6E7"/>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454546"/>
            </w:tcBorders>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560" w:type="dxa"/>
            <w:vAlign w:val="bottom"/>
            <w:tcBorders>
              <w:bottom w:val="single" w:sz="8" w:color="45454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100" w:type="dxa"/>
            <w:vAlign w:val="bottom"/>
            <w:tcBorders>
              <w:bottom w:val="single" w:sz="8" w:color="454546"/>
            </w:tcBorders>
          </w:tcPr>
          <w:p>
            <w:pPr>
              <w:spacing w:after="0" w:line="20" w:lineRule="exact"/>
              <w:rPr>
                <w:sz w:val="1"/>
                <w:szCs w:val="1"/>
                <w:color w:val="auto"/>
              </w:rPr>
            </w:pPr>
          </w:p>
        </w:tc>
        <w:tc>
          <w:tcPr>
            <w:tcW w:w="120" w:type="dxa"/>
            <w:vAlign w:val="bottom"/>
            <w:tcBorders>
              <w:bottom w:val="single" w:sz="8" w:color="454546"/>
            </w:tcBorders>
          </w:tcPr>
          <w:p>
            <w:pPr>
              <w:spacing w:after="0" w:line="20" w:lineRule="exact"/>
              <w:rPr>
                <w:sz w:val="1"/>
                <w:szCs w:val="1"/>
                <w:color w:val="auto"/>
              </w:rPr>
            </w:pPr>
          </w:p>
        </w:tc>
        <w:tc>
          <w:tcPr>
            <w:tcW w:w="62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708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454546"/>
              </w:rPr>
              <w:t>Tax valuation allowance for the periods indicated below were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rPr>
              <w:t>Deductions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454546"/>
              </w:rPr>
              <w:t>Additions</w:t>
            </w: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rPr>
              <w:t>Charged to</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454546"/>
              </w:rPr>
              <w:t>Balance at</w:t>
            </w:r>
          </w:p>
        </w:tc>
        <w:tc>
          <w:tcPr>
            <w:tcW w:w="2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Additions</w:t>
            </w:r>
          </w:p>
        </w:tc>
        <w:tc>
          <w:tcPr>
            <w:tcW w:w="220" w:type="dxa"/>
            <w:vAlign w:val="bottom"/>
          </w:tcPr>
          <w:p>
            <w:pPr>
              <w:spacing w:after="0"/>
              <w:rPr>
                <w:sz w:val="15"/>
                <w:szCs w:val="15"/>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454546"/>
                <w:w w:val="98"/>
              </w:rPr>
              <w:t>Charged to</w:t>
            </w: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Expenses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w w:val="97"/>
              </w:rPr>
              <w:t>Balance at</w:t>
            </w:r>
          </w:p>
        </w:tc>
      </w:tr>
      <w:tr>
        <w:trPr>
          <w:trHeight w:val="18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Beginning of</w:t>
            </w:r>
          </w:p>
        </w:tc>
        <w:tc>
          <w:tcPr>
            <w:tcW w:w="2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Charged to</w:t>
            </w:r>
          </w:p>
        </w:tc>
        <w:tc>
          <w:tcPr>
            <w:tcW w:w="220" w:type="dxa"/>
            <w:vAlign w:val="bottom"/>
          </w:tcPr>
          <w:p>
            <w:pPr>
              <w:spacing w:after="0"/>
              <w:rPr>
                <w:sz w:val="15"/>
                <w:szCs w:val="15"/>
                <w:color w:val="auto"/>
              </w:rPr>
            </w:pP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454546"/>
                <w:w w:val="97"/>
              </w:rPr>
              <w:t>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or Other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rPr>
              <w:t>End of</w:t>
            </w:r>
          </w:p>
        </w:tc>
      </w:tr>
      <w:tr>
        <w:trPr>
          <w:trHeight w:val="203"/>
        </w:trPr>
        <w:tc>
          <w:tcPr>
            <w:tcW w:w="16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454546"/>
                <w:w w:val="96"/>
              </w:rPr>
              <w:t>Period</w:t>
            </w:r>
          </w:p>
        </w:tc>
        <w:tc>
          <w:tcPr>
            <w:tcW w:w="2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Expenses</w:t>
            </w:r>
          </w:p>
        </w:tc>
        <w:tc>
          <w:tcPr>
            <w:tcW w:w="220" w:type="dxa"/>
            <w:vAlign w:val="bottom"/>
          </w:tcPr>
          <w:p>
            <w:pPr>
              <w:spacing w:after="0"/>
              <w:rPr>
                <w:sz w:val="17"/>
                <w:szCs w:val="17"/>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454546"/>
                <w:w w:val="98"/>
              </w:rPr>
              <w:t>Account</w:t>
            </w:r>
          </w:p>
        </w:tc>
        <w:tc>
          <w:tcPr>
            <w:tcW w:w="1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Accounts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454546"/>
              </w:rPr>
              <w:t>Period</w:t>
            </w:r>
          </w:p>
        </w:tc>
      </w:tr>
      <w:tr>
        <w:trPr>
          <w:trHeight w:val="174"/>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454546"/>
            </w:tcBorders>
          </w:tcPr>
          <w:p>
            <w:pPr>
              <w:spacing w:after="0"/>
              <w:rPr>
                <w:sz w:val="15"/>
                <w:szCs w:val="15"/>
                <w:color w:val="auto"/>
              </w:rPr>
            </w:pPr>
          </w:p>
        </w:tc>
        <w:tc>
          <w:tcPr>
            <w:tcW w:w="820" w:type="dxa"/>
            <w:vAlign w:val="bottom"/>
            <w:tcBorders>
              <w:top w:val="single" w:sz="8" w:color="454546"/>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454546"/>
            </w:tcBorders>
          </w:tcPr>
          <w:p>
            <w:pPr>
              <w:spacing w:after="0"/>
              <w:rPr>
                <w:sz w:val="15"/>
                <w:szCs w:val="15"/>
                <w:color w:val="auto"/>
              </w:rPr>
            </w:pPr>
          </w:p>
        </w:tc>
        <w:tc>
          <w:tcPr>
            <w:tcW w:w="280" w:type="dxa"/>
            <w:vAlign w:val="bottom"/>
            <w:tcBorders>
              <w:top w:val="single" w:sz="8" w:color="454546"/>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454546"/>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4"/>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454546"/>
            </w:tcBorders>
          </w:tcPr>
          <w:p>
            <w:pPr>
              <w:spacing w:after="0"/>
              <w:rPr>
                <w:sz w:val="15"/>
                <w:szCs w:val="15"/>
                <w:color w:val="auto"/>
              </w:rPr>
            </w:pPr>
          </w:p>
        </w:tc>
        <w:tc>
          <w:tcPr>
            <w:tcW w:w="80" w:type="dxa"/>
            <w:vAlign w:val="bottom"/>
            <w:tcBorders>
              <w:top w:val="single" w:sz="8" w:color="454546"/>
            </w:tcBorders>
          </w:tcPr>
          <w:p>
            <w:pPr>
              <w:spacing w:after="0"/>
              <w:rPr>
                <w:sz w:val="15"/>
                <w:szCs w:val="15"/>
                <w:color w:val="auto"/>
              </w:rPr>
            </w:pPr>
          </w:p>
        </w:tc>
        <w:tc>
          <w:tcPr>
            <w:tcW w:w="320" w:type="dxa"/>
            <w:vAlign w:val="bottom"/>
            <w:tcBorders>
              <w:top w:val="single" w:sz="8" w:color="454546"/>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454546"/>
            </w:tcBorders>
          </w:tcPr>
          <w:p>
            <w:pPr>
              <w:spacing w:after="0"/>
              <w:rPr>
                <w:sz w:val="15"/>
                <w:szCs w:val="15"/>
                <w:color w:val="auto"/>
              </w:rPr>
            </w:pPr>
          </w:p>
        </w:tc>
        <w:tc>
          <w:tcPr>
            <w:tcW w:w="860" w:type="dxa"/>
            <w:vAlign w:val="bottom"/>
            <w:tcBorders>
              <w:top w:val="single" w:sz="8" w:color="454546"/>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7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Tax Valuation Allowance</w:t>
            </w: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2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5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6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20" w:type="dxa"/>
            <w:vAlign w:val="bottom"/>
            <w:shd w:val="clear" w:color="auto" w:fill="E5E6E7"/>
          </w:tcPr>
          <w:p>
            <w:pPr>
              <w:spacing w:after="0"/>
              <w:rPr>
                <w:sz w:val="19"/>
                <w:szCs w:val="19"/>
                <w:color w:val="auto"/>
              </w:rPr>
            </w:pPr>
          </w:p>
        </w:tc>
        <w:tc>
          <w:tcPr>
            <w:tcW w:w="86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Year ended January 31, 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28,596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31,440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454546"/>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20"/>
                <w:szCs w:val="20"/>
                <w:color w:val="454546"/>
                <w:w w:val="8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60,036</w:t>
            </w:r>
          </w:p>
        </w:tc>
        <w:tc>
          <w:tcPr>
            <w:tcW w:w="100" w:type="dxa"/>
            <w:vAlign w:val="bottom"/>
          </w:tcPr>
          <w:p>
            <w:pPr>
              <w:spacing w:after="0"/>
              <w:rPr>
                <w:sz w:val="19"/>
                <w:szCs w:val="19"/>
                <w:color w:val="auto"/>
              </w:rPr>
            </w:pPr>
          </w:p>
        </w:tc>
      </w:tr>
      <w:tr>
        <w:trPr>
          <w:trHeight w:val="230"/>
        </w:trPr>
        <w:tc>
          <w:tcPr>
            <w:tcW w:w="47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54546"/>
              </w:rPr>
              <w:t>Year ended January 31, 2023</w:t>
            </w:r>
          </w:p>
        </w:tc>
        <w:tc>
          <w:tcPr>
            <w:tcW w:w="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24,083</w:t>
            </w:r>
          </w:p>
        </w:tc>
        <w:tc>
          <w:tcPr>
            <w:tcW w:w="1200" w:type="dxa"/>
            <w:vAlign w:val="bottom"/>
            <w:gridSpan w:val="3"/>
            <w:shd w:val="clear" w:color="auto" w:fill="E5E6E7"/>
          </w:tcPr>
          <w:p>
            <w:pPr>
              <w:jc w:val="center"/>
              <w:ind w:left="640"/>
              <w:spacing w:after="0"/>
              <w:rPr>
                <w:sz w:val="20"/>
                <w:szCs w:val="20"/>
                <w:color w:val="auto"/>
              </w:rPr>
            </w:pPr>
            <w:r>
              <w:rPr>
                <w:rFonts w:ascii="Times New Roman" w:cs="Times New Roman" w:eastAsia="Times New Roman" w:hAnsi="Times New Roman"/>
                <w:sz w:val="20"/>
                <w:szCs w:val="20"/>
                <w:color w:val="454546"/>
              </w:rPr>
              <w:t>4,513</w:t>
            </w:r>
          </w:p>
        </w:tc>
        <w:tc>
          <w:tcPr>
            <w:tcW w:w="220" w:type="dxa"/>
            <w:vAlign w:val="bottom"/>
            <w:shd w:val="clear" w:color="auto" w:fill="E5E6E7"/>
          </w:tcPr>
          <w:p>
            <w:pPr>
              <w:spacing w:after="0"/>
              <w:rPr>
                <w:sz w:val="19"/>
                <w:szCs w:val="19"/>
                <w:color w:val="auto"/>
              </w:rPr>
            </w:pPr>
          </w:p>
        </w:tc>
        <w:tc>
          <w:tcPr>
            <w:tcW w:w="56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320" w:type="dxa"/>
            <w:vAlign w:val="bottom"/>
            <w:gridSpan w:val="2"/>
            <w:shd w:val="clear" w:color="auto" w:fill="E5E6E7"/>
          </w:tcPr>
          <w:p>
            <w:pPr>
              <w:ind w:left="20"/>
              <w:spacing w:after="0"/>
              <w:rPr>
                <w:sz w:val="20"/>
                <w:szCs w:val="20"/>
                <w:color w:val="auto"/>
              </w:rPr>
            </w:pPr>
            <w:r>
              <w:rPr>
                <w:rFonts w:ascii="Times New Roman" w:cs="Times New Roman" w:eastAsia="Times New Roman" w:hAnsi="Times New Roman"/>
                <w:sz w:val="20"/>
                <w:szCs w:val="20"/>
                <w:color w:val="454546"/>
              </w:rPr>
              <w:t>—</w:t>
            </w:r>
          </w:p>
        </w:tc>
        <w:tc>
          <w:tcPr>
            <w:tcW w:w="120" w:type="dxa"/>
            <w:vAlign w:val="bottom"/>
            <w:shd w:val="clear" w:color="auto" w:fill="E5E6E7"/>
          </w:tcPr>
          <w:p>
            <w:pPr>
              <w:spacing w:after="0"/>
              <w:rPr>
                <w:sz w:val="19"/>
                <w:szCs w:val="19"/>
                <w:color w:val="auto"/>
              </w:rPr>
            </w:pPr>
          </w:p>
        </w:tc>
        <w:tc>
          <w:tcPr>
            <w:tcW w:w="6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320" w:type="dxa"/>
            <w:vAlign w:val="bottom"/>
            <w:shd w:val="clear" w:color="auto" w:fill="E5E6E7"/>
          </w:tcPr>
          <w:p>
            <w:pPr>
              <w:ind w:left="120"/>
              <w:spacing w:after="0"/>
              <w:rPr>
                <w:sz w:val="20"/>
                <w:szCs w:val="20"/>
                <w:color w:val="auto"/>
              </w:rPr>
            </w:pPr>
            <w:r>
              <w:rPr>
                <w:rFonts w:ascii="Times New Roman" w:cs="Times New Roman" w:eastAsia="Times New Roman" w:hAnsi="Times New Roman"/>
                <w:sz w:val="20"/>
                <w:szCs w:val="20"/>
                <w:color w:val="454546"/>
                <w:w w:val="89"/>
              </w:rPr>
              <w:t>—</w:t>
            </w:r>
          </w:p>
        </w:tc>
        <w:tc>
          <w:tcPr>
            <w:tcW w:w="3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28,596</w:t>
            </w:r>
          </w:p>
        </w:tc>
        <w:tc>
          <w:tcPr>
            <w:tcW w:w="100" w:type="dxa"/>
            <w:vAlign w:val="bottom"/>
            <w:shd w:val="clear" w:color="auto" w:fill="E5E6E7"/>
          </w:tcPr>
          <w:p>
            <w:pPr>
              <w:spacing w:after="0"/>
              <w:rPr>
                <w:sz w:val="19"/>
                <w:szCs w:val="19"/>
                <w:color w:val="auto"/>
              </w:rPr>
            </w:pPr>
          </w:p>
        </w:tc>
      </w:tr>
      <w:tr>
        <w:trPr>
          <w:trHeight w:val="266"/>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Year ended January 31, 2022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17,962</w:t>
            </w:r>
          </w:p>
        </w:tc>
        <w:tc>
          <w:tcPr>
            <w:tcW w:w="1200" w:type="dxa"/>
            <w:vAlign w:val="bottom"/>
            <w:gridSpan w:val="3"/>
          </w:tcPr>
          <w:p>
            <w:pPr>
              <w:jc w:val="center"/>
              <w:ind w:left="640"/>
              <w:spacing w:after="0"/>
              <w:rPr>
                <w:sz w:val="20"/>
                <w:szCs w:val="20"/>
                <w:color w:val="auto"/>
              </w:rPr>
            </w:pPr>
            <w:r>
              <w:rPr>
                <w:rFonts w:ascii="Times New Roman" w:cs="Times New Roman" w:eastAsia="Times New Roman" w:hAnsi="Times New Roman"/>
                <w:sz w:val="20"/>
                <w:szCs w:val="20"/>
                <w:color w:val="454546"/>
              </w:rPr>
              <w:t>4,874</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54546"/>
              </w:rPr>
              <w:t>1,247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20"/>
                <w:szCs w:val="20"/>
                <w:color w:val="454546"/>
                <w:w w:val="8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24,083</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800"/>
          </w:cols>
          <w:pgMar w:left="720" w:top="1206" w:right="720" w:bottom="17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98</w:t>
      </w:r>
    </w:p>
    <w:p>
      <w:pPr>
        <w:sectPr>
          <w:pgSz w:w="12240" w:h="15840" w:orient="portrait"/>
          <w:cols w:equalWidth="0" w:num="1">
            <w:col w:w="10800"/>
          </w:cols>
          <w:pgMar w:left="720" w:top="1206" w:right="720" w:bottom="175" w:gutter="0" w:footer="0" w:header="0"/>
          <w:type w:val="continuous"/>
        </w:sectPr>
      </w:pPr>
    </w:p>
    <w:bookmarkStart w:id="103" w:name="page104"/>
    <w:bookmarkEnd w:id="103"/>
    <w:p>
      <w:pPr>
        <w:ind w:firstLine="490"/>
        <w:spacing w:after="0" w:line="242" w:lineRule="auto"/>
        <w:rPr>
          <w:sz w:val="20"/>
          <w:szCs w:val="20"/>
          <w:color w:val="auto"/>
        </w:rPr>
      </w:pPr>
      <w:r>
        <w:rPr>
          <w:rFonts w:ascii="Times New Roman" w:cs="Times New Roman" w:eastAsia="Times New Roman" w:hAnsi="Times New Roman"/>
          <w:sz w:val="20"/>
          <w:szCs w:val="20"/>
          <w:color w:val="454546"/>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2024 would be approximately $7.8 million. Cumulative undistributed earnings of foreign subsidiaries for which no deferred taxes have been provided were approximated $86.4 million at January 31, 2024.</w:t>
      </w:r>
    </w:p>
    <w:p>
      <w:pPr>
        <w:spacing w:after="0" w:line="21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454546"/>
        </w:rPr>
        <w:t>As of January 31, 2024, and 2023, the Company had net deferred tax liabilities after valuation allowance of $0.7 million and net deferred tax assets after valuation allowance of $18.0 million, respectively. The decrease in net deferred tax assets is primarily due to an increase in valuation allowance established against certain U.S. net deferred tax assets as of January 31, 2024. The Company evaluated the need for a valuation allowance by considering among other things, the nature, frequency and severity of current losses, reversal of taxable temporary differences, tax planning strategies, future projections in the U.S. and the duration of statutory carryforward periods. The Company determined in the fourth quarter of fiscal year 2024, that the negative evidence outweighed the positive evidence and determined that it is no longer more likely than not that the net deferred tax assets in the federal and state jurisdiction will be realized as of January 31, 2024. Among this negative evidence is the current year losses of the Company's federal tax consolidated group for tax purposes, the projected U.S. cumulative loss position of the Company's federal tax consolidated group and the inability to generate sources of income to utilize its federal and state attributes.</w:t>
      </w:r>
    </w:p>
    <w:p>
      <w:pPr>
        <w:spacing w:after="0" w:line="202"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454546"/>
        </w:rPr>
        <w:t>The Company has Federal and California net operating losses of $28.7 million and $1.0 million, respectively, as of January 31, 2024. The Federal net operating loss can be carried forward indefinitely, if not utilized. The California net operating loss begin to expire in fiscal year 2040, if not utilized. For financial statement purposes these carry forwards are offset by uncertain tax positions.</w:t>
      </w:r>
    </w:p>
    <w:p>
      <w:pPr>
        <w:spacing w:after="0" w:line="188"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454546"/>
        </w:rPr>
        <w:t>The Company also has Federal and California state research and development credit carryforwards of approximately $24.0 million and $34.6 million, respectively, as of January 31, 2024. The Federal credits begin to expire in the fiscal year 2036. The California credits can be carried forward indefinitely.</w:t>
      </w:r>
    </w:p>
    <w:p>
      <w:pPr>
        <w:spacing w:after="0" w:line="188"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454546"/>
        </w:rPr>
        <w:t>Utilization of the net operating loss and research credit carryforwards may be subject to an annual limitation due to the ownership percentage change limitations as defined by the U.S. Internal Revenue Code Section 382, as amended, and similar state provisions as well as separate return year limitation which limits the utilization of loss generated before a company joins the consolidated filing group. The annual limitations may result in the expiration of the U.S. Federal and state net operating loss (NOL) and research credit carryforwards before utilization. The Company has a full valuation allowance against all U.S. deferred tax assets due to lack of more likely than not future utilization of these deferred tax assets.</w:t>
      </w:r>
    </w:p>
    <w:p>
      <w:pPr>
        <w:spacing w:after="0" w:line="20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454546"/>
        </w:rPr>
        <w:t>The Company applies the provisions of FASB’s guidance on accounting for uncertainty in income taxes. As of January 31, 2024, the Company had approximately $22.6 million in unrecognized tax benefits, $3.1 million of which would affect the Company’s effective tax rate if recognized. The remainder of the unrecognized tax benefits would not affect the effective tax rate due to the full valuation recorded for U.S. deferred tax assets. The following table sets forth a reconciliation of the beginning and ending amount of unrecognized tax benefits:</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8"/>
          </w:tcPr>
          <w:p>
            <w:pPr>
              <w:jc w:val="center"/>
              <w:ind w:left="464"/>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4"/>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3"/>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54546"/>
              </w:rPr>
              <w:t>Beginning balance:</w:t>
            </w:r>
          </w:p>
        </w:tc>
        <w:tc>
          <w:tcPr>
            <w:tcW w:w="3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21,656</w:t>
            </w:r>
          </w:p>
        </w:tc>
        <w:tc>
          <w:tcPr>
            <w:tcW w:w="140" w:type="dxa"/>
            <w:vAlign w:val="bottom"/>
            <w:shd w:val="clear" w:color="auto" w:fill="E5E6E7"/>
          </w:tcPr>
          <w:p>
            <w:pPr>
              <w:spacing w:after="0"/>
              <w:rPr>
                <w:sz w:val="19"/>
                <w:szCs w:val="19"/>
                <w:color w:val="auto"/>
              </w:rPr>
            </w:pPr>
          </w:p>
        </w:tc>
        <w:tc>
          <w:tcPr>
            <w:tcW w:w="300" w:type="dxa"/>
            <w:vAlign w:val="bottom"/>
            <w:gridSpan w:val="2"/>
            <w:shd w:val="clear" w:color="auto" w:fill="E5E6E7"/>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30,884</w:t>
            </w:r>
          </w:p>
        </w:tc>
        <w:tc>
          <w:tcPr>
            <w:tcW w:w="120" w:type="dxa"/>
            <w:vAlign w:val="bottom"/>
            <w:shd w:val="clear" w:color="auto" w:fill="E5E6E7"/>
          </w:tcPr>
          <w:p>
            <w:pPr>
              <w:spacing w:after="0"/>
              <w:rPr>
                <w:sz w:val="19"/>
                <w:szCs w:val="19"/>
                <w:color w:val="auto"/>
              </w:rPr>
            </w:pPr>
          </w:p>
        </w:tc>
        <w:tc>
          <w:tcPr>
            <w:tcW w:w="3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29,527</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454546"/>
              </w:rPr>
              <w:t>Additions based on tax positions related to the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997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Pr>
          <w:p>
            <w:pPr>
              <w:ind w:left="360"/>
              <w:spacing w:after="0"/>
              <w:rPr>
                <w:sz w:val="20"/>
                <w:szCs w:val="20"/>
                <w:color w:val="auto"/>
              </w:rPr>
            </w:pPr>
            <w:r>
              <w:rPr>
                <w:rFonts w:ascii="Times New Roman" w:cs="Times New Roman" w:eastAsia="Times New Roman" w:hAnsi="Times New Roman"/>
                <w:sz w:val="20"/>
                <w:szCs w:val="20"/>
                <w:color w:val="454546"/>
              </w:rPr>
              <w:t>current year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Additions for tax positions of prior years</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168</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195</w:t>
            </w:r>
          </w:p>
        </w:tc>
        <w:tc>
          <w:tcPr>
            <w:tcW w:w="1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55</w:t>
            </w: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Reductions for tax positions in prior years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30"/>
        </w:trPr>
        <w:tc>
          <w:tcPr>
            <w:tcW w:w="49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54546"/>
              </w:rPr>
              <w:t>Settlements for prior periods</w:t>
            </w:r>
          </w:p>
        </w:tc>
        <w:tc>
          <w:tcPr>
            <w:tcW w:w="12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94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9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454546"/>
              </w:rPr>
              <w:t>Lapse of applicable statute of limitations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(10,411)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(110)</w:t>
            </w:r>
          </w:p>
        </w:tc>
        <w:tc>
          <w:tcPr>
            <w:tcW w:w="0" w:type="dxa"/>
            <w:vAlign w:val="bottom"/>
          </w:tcPr>
          <w:p>
            <w:pPr>
              <w:spacing w:after="0"/>
              <w:rPr>
                <w:sz w:val="1"/>
                <w:szCs w:val="1"/>
                <w:color w:val="auto"/>
              </w:rPr>
            </w:pPr>
          </w:p>
        </w:tc>
      </w:tr>
      <w:tr>
        <w:trPr>
          <w:trHeight w:val="220"/>
        </w:trPr>
        <w:tc>
          <w:tcPr>
            <w:tcW w:w="4960" w:type="dxa"/>
            <w:vAlign w:val="bottom"/>
            <w:tcBorders>
              <w:top w:val="single" w:sz="8" w:color="E5E6E7"/>
            </w:tcBorders>
            <w:shd w:val="clear" w:color="auto" w:fill="E5E6E7"/>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Ending balance:</w:t>
            </w:r>
          </w:p>
        </w:tc>
        <w:tc>
          <w:tcPr>
            <w:tcW w:w="12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454546"/>
              <w:bottom w:val="single" w:sz="8" w:color="454546"/>
            </w:tcBorders>
            <w:shd w:val="clear" w:color="auto" w:fill="E5E6E7"/>
          </w:tcPr>
          <w:p>
            <w:pPr>
              <w:jc w:val="right"/>
              <w:ind w:right="2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22,628</w:t>
            </w:r>
          </w:p>
        </w:tc>
        <w:tc>
          <w:tcPr>
            <w:tcW w:w="140" w:type="dxa"/>
            <w:vAlign w:val="bottom"/>
            <w:tcBorders>
              <w:top w:val="single" w:sz="8" w:color="E5E6E7"/>
            </w:tcBorders>
            <w:shd w:val="clear" w:color="auto" w:fill="E5E6E7"/>
          </w:tcPr>
          <w:p>
            <w:pPr>
              <w:spacing w:after="0"/>
              <w:rPr>
                <w:sz w:val="19"/>
                <w:szCs w:val="19"/>
                <w:color w:val="auto"/>
              </w:rPr>
            </w:pPr>
          </w:p>
        </w:tc>
        <w:tc>
          <w:tcPr>
            <w:tcW w:w="6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454546"/>
              <w:bottom w:val="single" w:sz="8" w:color="454546"/>
            </w:tcBorders>
            <w:shd w:val="clear" w:color="auto" w:fill="E5E6E7"/>
          </w:tcPr>
          <w:p>
            <w:pPr>
              <w:jc w:val="right"/>
              <w:ind w:right="5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21,656</w:t>
            </w:r>
          </w:p>
        </w:tc>
        <w:tc>
          <w:tcPr>
            <w:tcW w:w="120" w:type="dxa"/>
            <w:vAlign w:val="bottom"/>
            <w:tcBorders>
              <w:top w:val="single" w:sz="8" w:color="E5E6E7"/>
            </w:tcBorders>
            <w:shd w:val="clear" w:color="auto" w:fill="E5E6E7"/>
          </w:tcPr>
          <w:p>
            <w:pPr>
              <w:spacing w:after="0"/>
              <w:rPr>
                <w:sz w:val="19"/>
                <w:szCs w:val="19"/>
                <w:color w:val="auto"/>
              </w:rPr>
            </w:pPr>
          </w:p>
        </w:tc>
        <w:tc>
          <w:tcPr>
            <w:tcW w:w="8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454546"/>
              <w:bottom w:val="single" w:sz="8" w:color="454546"/>
            </w:tcBorders>
            <w:shd w:val="clear" w:color="auto" w:fill="E5E6E7"/>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top w:val="single" w:sz="8" w:color="454546"/>
              <w:bottom w:val="single" w:sz="8" w:color="454546"/>
            </w:tcBorders>
            <w:shd w:val="clear" w:color="auto" w:fill="E5E6E7"/>
          </w:tcPr>
          <w:p>
            <w:pPr>
              <w:jc w:val="right"/>
              <w:spacing w:after="0" w:line="220" w:lineRule="exact"/>
              <w:rPr>
                <w:sz w:val="20"/>
                <w:szCs w:val="20"/>
                <w:color w:val="auto"/>
              </w:rPr>
            </w:pPr>
            <w:r>
              <w:rPr>
                <w:rFonts w:ascii="Times New Roman" w:cs="Times New Roman" w:eastAsia="Times New Roman" w:hAnsi="Times New Roman"/>
                <w:sz w:val="20"/>
                <w:szCs w:val="20"/>
                <w:color w:val="454546"/>
              </w:rPr>
              <w:t>30,884</w:t>
            </w:r>
          </w:p>
        </w:tc>
        <w:tc>
          <w:tcPr>
            <w:tcW w:w="80" w:type="dxa"/>
            <w:vAlign w:val="bottom"/>
            <w:tcBorders>
              <w:top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720" w:top="976" w:right="740" w:bottom="175"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99</w:t>
      </w:r>
    </w:p>
    <w:p>
      <w:pPr>
        <w:sectPr>
          <w:pgSz w:w="12240" w:h="15840" w:orient="portrait"/>
          <w:cols w:equalWidth="0" w:num="1">
            <w:col w:w="10780"/>
          </w:cols>
          <w:pgMar w:left="720" w:top="976" w:right="740" w:bottom="175" w:gutter="0" w:footer="0" w:header="0"/>
          <w:type w:val="continuous"/>
        </w:sectPr>
      </w:pPr>
    </w:p>
    <w:bookmarkStart w:id="104" w:name="page105"/>
    <w:bookmarkEnd w:id="104"/>
    <w:p>
      <w:pPr>
        <w:jc w:val="both"/>
        <w:ind w:right="260" w:firstLine="490"/>
        <w:spacing w:after="0" w:line="277" w:lineRule="auto"/>
        <w:rPr>
          <w:sz w:val="20"/>
          <w:szCs w:val="20"/>
          <w:color w:val="auto"/>
        </w:rPr>
      </w:pPr>
      <w:r>
        <w:rPr>
          <w:rFonts w:ascii="Times New Roman" w:cs="Times New Roman" w:eastAsia="Times New Roman" w:hAnsi="Times New Roman"/>
          <w:sz w:val="20"/>
          <w:szCs w:val="20"/>
          <w:color w:val="454546"/>
        </w:rPr>
        <w:t>The Company classified $3.1 million and $3.2 million of income tax liabilities as other long-term liabilities as of January 31, 2024, and 2023, respectively, because payment of cash or settlement is not anticipated within one year from the balance sheet date.</w:t>
      </w:r>
    </w:p>
    <w:p>
      <w:pPr>
        <w:spacing w:after="0" w:line="16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454546"/>
        </w:rPr>
        <w:t>The Company recognizes interest and penalties related to uncertain tax positions as a component of income tax expense. The Company recorded an expense of $0.05 million, benefit of $0.7 million and expense of $0.3 million for interest and penalties related to uncertain tax positions for the fiscal years ended January 31, 2024, 2023 and 2022, respectively. The Company recorded noncurrent liabilities of $0.7 million and $0.6 million related to interest and penalties for uncertain tax positions at January 31, 2024 and 2023, respectively.</w:t>
      </w:r>
    </w:p>
    <w:p>
      <w:pPr>
        <w:spacing w:after="0" w:line="19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454546"/>
        </w:rPr>
        <w:t>The primary jurisdiction where our foreign earnings are derived is the Cayman Islands, where the Company is domiciled. The Company files income tax returns in the U.S. federal jurisdiction as well as many U.S. state and foreign jurisdictions. As of January 31, 2024, the Company’s fiscal year 2021 through 2024 tax years are generally open and subject to potential examination by U.S. federal tax authorities. The Company’s fiscal year 2020 through 2024 tax years are generally open and subject to potential examination by state tax authorities. The Company’s fiscal years 2017 to 2024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454546"/>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2024, the gross amount of unrecognized tax benefits increased by approximately $1.0 million to $22.6 million. The increase was primarily due to changes to our uncertain tax positions related to research credits.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It is reasonably possible that within the next 12 months the Company's unrecognized tax benefits could potentially be reduced by up to $9.0 million.</w:t>
      </w:r>
    </w:p>
    <w:p>
      <w:pPr>
        <w:spacing w:after="0" w:line="192"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454546"/>
        </w:rPr>
        <w:t>As of January 31, 2024, the Company’s long-term income taxes payable, including estimated interest and penalties, was approximately $3.8 million. The Company was unable to make a reasonably reliable estimate of the timing of payments in individual years due to uncertainties in the timing of tax audits, if any, or their outcomes.</w:t>
      </w:r>
    </w:p>
    <w:p>
      <w:pPr>
        <w:spacing w:after="0" w:line="17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454546"/>
        </w:rPr>
        <w:t>On July 27, 2015, the United States Tax Court issued a decision (“Tax Court Decision”) in Altera Corp. v. Commissioner,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provision for income taxes.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15. Commitments and Contingencies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Contract Manufacturer Commitments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454546"/>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January 31, 2024 and 2023, total manufacturing purchase commitments were approximately $30.7 million and $43.6 million, respectively. The Company also reviews and assesses the need for any expected loss liabilities on quarterly basis for all products that it does not expect to sell for which it has committed purchases from suppliers. There were no material loss liabilities recorded in the consolidated balance sheets from adverse purchase commitments as of January 31, 2024. There was approximately $2.9 million loss liabilities recognized in the consolidated balance sheets from adverse purchase commitments as of January 31, 2023.</w:t>
      </w:r>
    </w:p>
    <w:p>
      <w:pPr>
        <w:sectPr>
          <w:pgSz w:w="12240" w:h="15840" w:orient="portrait"/>
          <w:cols w:equalWidth="0" w:num="1">
            <w:col w:w="10760"/>
          </w:cols>
          <w:pgMar w:left="720" w:top="97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100</w:t>
      </w:r>
    </w:p>
    <w:p>
      <w:pPr>
        <w:sectPr>
          <w:pgSz w:w="12240" w:h="15840" w:orient="portrait"/>
          <w:cols w:equalWidth="0" w:num="1">
            <w:col w:w="10760"/>
          </w:cols>
          <w:pgMar w:left="720" w:top="976" w:right="760" w:bottom="175" w:gutter="0" w:footer="0" w:header="0"/>
          <w:type w:val="continuous"/>
        </w:sectPr>
      </w:pPr>
    </w:p>
    <w:bookmarkStart w:id="105" w:name="page106"/>
    <w:bookmarkEnd w:id="105"/>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Indemnification</w:t>
      </w:r>
    </w:p>
    <w:p>
      <w:pPr>
        <w:spacing w:after="0" w:line="12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454546"/>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January 31, 2024, and no liabilities have been recorded for these obligations in the consolidated balance sheets as of January 31, 2024 and 2023, respectively.</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Other Matters</w:t>
      </w:r>
    </w:p>
    <w:p>
      <w:pPr>
        <w:spacing w:after="0" w:line="120" w:lineRule="exact"/>
        <w:rPr>
          <w:sz w:val="20"/>
          <w:szCs w:val="20"/>
          <w:color w:val="auto"/>
        </w:rPr>
      </w:pPr>
    </w:p>
    <w:p>
      <w:pPr>
        <w:ind w:right="20" w:firstLine="540"/>
        <w:spacing w:after="0" w:line="246" w:lineRule="auto"/>
        <w:rPr>
          <w:sz w:val="20"/>
          <w:szCs w:val="20"/>
          <w:color w:val="auto"/>
        </w:rPr>
      </w:pPr>
      <w:r>
        <w:rPr>
          <w:rFonts w:ascii="Times New Roman" w:cs="Times New Roman" w:eastAsia="Times New Roman" w:hAnsi="Times New Roman"/>
          <w:sz w:val="20"/>
          <w:szCs w:val="20"/>
          <w:color w:val="454546"/>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January 31, 2024 and 2023, there were no accruals for contingent liabilities related to such matters recorded in the consolidated balance sheets.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16. Segment Reporting</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454546"/>
        </w:rPr>
        <w:t>The Company operates in one operating and reporting segment related to the development and sales of low-power,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Geographic Revenue</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454546"/>
        </w:rPr>
        <w:t>The following table sets forth the Company’s revenue by geographic region based on bill-to location for the periods indicated. Certain prior year amounts of revenue by geographic region have been adjusted to reflect the appropriate bill-to location for the related revenue. These adjustments did not impact the total revenues in any of the periods presented.</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454546"/>
            </w:tcBorders>
          </w:tcPr>
          <w:p>
            <w:pPr>
              <w:spacing w:after="0"/>
              <w:rPr>
                <w:sz w:val="17"/>
                <w:szCs w:val="17"/>
                <w:color w:val="auto"/>
              </w:rPr>
            </w:pPr>
          </w:p>
        </w:tc>
        <w:tc>
          <w:tcPr>
            <w:tcW w:w="2480" w:type="dxa"/>
            <w:vAlign w:val="bottom"/>
            <w:tcBorders>
              <w:bottom w:val="single" w:sz="8" w:color="454546"/>
            </w:tcBorders>
            <w:gridSpan w:val="6"/>
          </w:tcPr>
          <w:p>
            <w:pPr>
              <w:jc w:val="center"/>
              <w:ind w:left="465"/>
              <w:spacing w:after="0"/>
              <w:rPr>
                <w:sz w:val="20"/>
                <w:szCs w:val="20"/>
                <w:color w:val="auto"/>
              </w:rPr>
            </w:pPr>
            <w:r>
              <w:rPr>
                <w:rFonts w:ascii="Times New Roman" w:cs="Times New Roman" w:eastAsia="Times New Roman" w:hAnsi="Times New Roman"/>
                <w:sz w:val="16"/>
                <w:szCs w:val="16"/>
                <w:b w:val="1"/>
                <w:bCs w:val="1"/>
                <w:color w:val="454546"/>
              </w:rPr>
              <w:t>Year Ended January 31,</w:t>
            </w:r>
          </w:p>
        </w:tc>
        <w:tc>
          <w:tcPr>
            <w:tcW w:w="780" w:type="dxa"/>
            <w:vAlign w:val="bottom"/>
            <w:tcBorders>
              <w:bottom w:val="single" w:sz="8" w:color="454546"/>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right"/>
              <w:ind w:right="245"/>
              <w:spacing w:after="0" w:line="174" w:lineRule="exact"/>
              <w:rPr>
                <w:sz w:val="20"/>
                <w:szCs w:val="20"/>
                <w:color w:val="auto"/>
              </w:rPr>
            </w:pPr>
            <w:r>
              <w:rPr>
                <w:rFonts w:ascii="Times New Roman" w:cs="Times New Roman" w:eastAsia="Times New Roman" w:hAnsi="Times New Roman"/>
                <w:sz w:val="16"/>
                <w:szCs w:val="16"/>
                <w:b w:val="1"/>
                <w:bCs w:val="1"/>
                <w:color w:val="454546"/>
              </w:rPr>
              <w:t>2024</w:t>
            </w:r>
          </w:p>
        </w:tc>
        <w:tc>
          <w:tcPr>
            <w:tcW w:w="20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800" w:type="dxa"/>
            <w:vAlign w:val="bottom"/>
            <w:tcBorders>
              <w:bottom w:val="single" w:sz="8" w:color="454546"/>
            </w:tcBorders>
          </w:tcPr>
          <w:p>
            <w:pPr>
              <w:jc w:val="center"/>
              <w:ind w:right="143"/>
              <w:spacing w:after="0" w:line="174" w:lineRule="exact"/>
              <w:rPr>
                <w:sz w:val="20"/>
                <w:szCs w:val="20"/>
                <w:color w:val="auto"/>
              </w:rPr>
            </w:pPr>
            <w:r>
              <w:rPr>
                <w:rFonts w:ascii="Times New Roman" w:cs="Times New Roman" w:eastAsia="Times New Roman" w:hAnsi="Times New Roman"/>
                <w:sz w:val="16"/>
                <w:szCs w:val="16"/>
                <w:b w:val="1"/>
                <w:bCs w:val="1"/>
                <w:color w:val="454546"/>
                <w:w w:val="99"/>
              </w:rPr>
              <w:t>2023</w:t>
            </w:r>
          </w:p>
        </w:tc>
        <w:tc>
          <w:tcPr>
            <w:tcW w:w="200" w:type="dxa"/>
            <w:vAlign w:val="bottom"/>
          </w:tcPr>
          <w:p>
            <w:pPr>
              <w:spacing w:after="0"/>
              <w:rPr>
                <w:sz w:val="15"/>
                <w:szCs w:val="15"/>
                <w:color w:val="auto"/>
              </w:rPr>
            </w:pPr>
          </w:p>
        </w:tc>
        <w:tc>
          <w:tcPr>
            <w:tcW w:w="240" w:type="dxa"/>
            <w:vAlign w:val="bottom"/>
            <w:tcBorders>
              <w:bottom w:val="single" w:sz="8" w:color="454546"/>
            </w:tcBorders>
          </w:tcPr>
          <w:p>
            <w:pPr>
              <w:spacing w:after="0"/>
              <w:rPr>
                <w:sz w:val="15"/>
                <w:szCs w:val="15"/>
                <w:color w:val="auto"/>
              </w:rPr>
            </w:pPr>
          </w:p>
        </w:tc>
        <w:tc>
          <w:tcPr>
            <w:tcW w:w="780" w:type="dxa"/>
            <w:vAlign w:val="bottom"/>
            <w:tcBorders>
              <w:bottom w:val="single" w:sz="8" w:color="454546"/>
            </w:tcBorders>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454546"/>
              </w:rPr>
              <w:t>2022</w:t>
            </w:r>
          </w:p>
        </w:tc>
        <w:tc>
          <w:tcPr>
            <w:tcW w:w="8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Taiwan</w:t>
            </w:r>
          </w:p>
        </w:tc>
        <w:tc>
          <w:tcPr>
            <w:tcW w:w="340" w:type="dxa"/>
            <w:vAlign w:val="bottom"/>
            <w:gridSpan w:val="3"/>
            <w:shd w:val="clear" w:color="auto" w:fill="E5E6E7"/>
          </w:tcPr>
          <w:p>
            <w:pPr>
              <w:jc w:val="right"/>
              <w:ind w:right="35"/>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119,601</w:t>
            </w:r>
          </w:p>
        </w:tc>
        <w:tc>
          <w:tcPr>
            <w:tcW w:w="440" w:type="dxa"/>
            <w:vAlign w:val="bottom"/>
            <w:gridSpan w:val="2"/>
            <w:shd w:val="clear" w:color="auto" w:fill="E5E6E7"/>
          </w:tcPr>
          <w:p>
            <w:pPr>
              <w:jc w:val="right"/>
              <w:ind w:right="50"/>
              <w:spacing w:after="0"/>
              <w:rPr>
                <w:sz w:val="20"/>
                <w:szCs w:val="20"/>
                <w:color w:val="auto"/>
              </w:rPr>
            </w:pPr>
            <w:r>
              <w:rPr>
                <w:rFonts w:ascii="Times New Roman" w:cs="Times New Roman" w:eastAsia="Times New Roman" w:hAnsi="Times New Roman"/>
                <w:sz w:val="20"/>
                <w:szCs w:val="20"/>
                <w:color w:val="454546"/>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191,692</w:t>
            </w:r>
          </w:p>
        </w:tc>
        <w:tc>
          <w:tcPr>
            <w:tcW w:w="44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205,079</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Asia Pacific</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58,506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73,476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81,623</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Europe</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11,949</w:t>
            </w: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26,921</w:t>
            </w:r>
          </w:p>
        </w:tc>
        <w:tc>
          <w:tcPr>
            <w:tcW w:w="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18,459</w:t>
            </w:r>
          </w:p>
        </w:tc>
        <w:tc>
          <w:tcPr>
            <w:tcW w:w="80" w:type="dxa"/>
            <w:vAlign w:val="bottom"/>
            <w:shd w:val="clear" w:color="auto" w:fill="E5E6E7"/>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454546"/>
              </w:rPr>
              <w:t>North America other than United States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25,754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32,901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21,572</w:t>
            </w:r>
          </w:p>
        </w:tc>
        <w:tc>
          <w:tcPr>
            <w:tcW w:w="80" w:type="dxa"/>
            <w:vAlign w:val="bottom"/>
          </w:tcPr>
          <w:p>
            <w:pPr>
              <w:spacing w:after="0"/>
              <w:rPr>
                <w:sz w:val="19"/>
                <w:szCs w:val="19"/>
                <w:color w:val="auto"/>
              </w:rPr>
            </w:pPr>
          </w:p>
        </w:tc>
      </w:tr>
      <w:tr>
        <w:trPr>
          <w:trHeight w:val="230"/>
        </w:trPr>
        <w:tc>
          <w:tcPr>
            <w:tcW w:w="49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54546"/>
              </w:rPr>
              <w:t>United States</w:t>
            </w:r>
          </w:p>
        </w:tc>
        <w:tc>
          <w:tcPr>
            <w:tcW w:w="120" w:type="dxa"/>
            <w:vAlign w:val="bottom"/>
            <w:shd w:val="clear" w:color="auto" w:fill="E5E6E7"/>
          </w:tcPr>
          <w:p>
            <w:pPr>
              <w:spacing w:after="0"/>
              <w:rPr>
                <w:sz w:val="19"/>
                <w:szCs w:val="19"/>
                <w:color w:val="auto"/>
              </w:rPr>
            </w:pPr>
          </w:p>
        </w:tc>
        <w:tc>
          <w:tcPr>
            <w:tcW w:w="20" w:type="dxa"/>
            <w:vAlign w:val="bottom"/>
            <w:shd w:val="clear" w:color="auto" w:fill="E5E6E7"/>
          </w:tcPr>
          <w:p>
            <w:pPr>
              <w:spacing w:after="0"/>
              <w:rPr>
                <w:sz w:val="19"/>
                <w:szCs w:val="19"/>
                <w:color w:val="auto"/>
              </w:rPr>
            </w:pPr>
          </w:p>
        </w:tc>
        <w:tc>
          <w:tcPr>
            <w:tcW w:w="20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10,664</w:t>
            </w:r>
          </w:p>
        </w:tc>
        <w:tc>
          <w:tcPr>
            <w:tcW w:w="20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80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12,616</w:t>
            </w:r>
          </w:p>
        </w:tc>
        <w:tc>
          <w:tcPr>
            <w:tcW w:w="200" w:type="dxa"/>
            <w:vAlign w:val="bottom"/>
            <w:shd w:val="clear" w:color="auto" w:fill="E5E6E7"/>
          </w:tcPr>
          <w:p>
            <w:pPr>
              <w:spacing w:after="0"/>
              <w:rPr>
                <w:sz w:val="19"/>
                <w:szCs w:val="19"/>
                <w:color w:val="auto"/>
              </w:rPr>
            </w:pPr>
          </w:p>
        </w:tc>
        <w:tc>
          <w:tcPr>
            <w:tcW w:w="240" w:type="dxa"/>
            <w:vAlign w:val="bottom"/>
            <w:tcBorders>
              <w:bottom w:val="single" w:sz="8" w:color="454546"/>
            </w:tcBorders>
            <w:shd w:val="clear" w:color="auto" w:fill="E5E6E7"/>
          </w:tcPr>
          <w:p>
            <w:pPr>
              <w:spacing w:after="0"/>
              <w:rPr>
                <w:sz w:val="19"/>
                <w:szCs w:val="19"/>
                <w:color w:val="auto"/>
              </w:rPr>
            </w:pPr>
          </w:p>
        </w:tc>
        <w:tc>
          <w:tcPr>
            <w:tcW w:w="780" w:type="dxa"/>
            <w:vAlign w:val="bottom"/>
            <w:tcBorders>
              <w:bottom w:val="single" w:sz="8" w:color="454546"/>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54546"/>
              </w:rPr>
              <w:t>5,123</w:t>
            </w:r>
          </w:p>
        </w:tc>
        <w:tc>
          <w:tcPr>
            <w:tcW w:w="80" w:type="dxa"/>
            <w:vAlign w:val="bottom"/>
            <w:shd w:val="clear" w:color="auto" w:fill="E5E6E7"/>
          </w:tcPr>
          <w:p>
            <w:pPr>
              <w:spacing w:after="0"/>
              <w:rPr>
                <w:sz w:val="19"/>
                <w:szCs w:val="19"/>
                <w:color w:val="auto"/>
              </w:rPr>
            </w:pPr>
          </w:p>
        </w:tc>
      </w:tr>
      <w:tr>
        <w:trPr>
          <w:trHeight w:val="220"/>
        </w:trPr>
        <w:tc>
          <w:tcPr>
            <w:tcW w:w="49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454546"/>
              </w:rPr>
              <w:t>Total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454546"/>
            </w:tcBorders>
          </w:tcPr>
          <w:p>
            <w:pPr>
              <w:jc w:val="right"/>
              <w:ind w:right="35"/>
              <w:spacing w:after="0"/>
              <w:rPr>
                <w:sz w:val="20"/>
                <w:szCs w:val="20"/>
                <w:color w:val="auto"/>
              </w:rPr>
            </w:pPr>
            <w:r>
              <w:rPr>
                <w:rFonts w:ascii="Times New Roman" w:cs="Times New Roman" w:eastAsia="Times New Roman" w:hAnsi="Times New Roman"/>
                <w:sz w:val="17"/>
                <w:szCs w:val="17"/>
                <w:color w:val="454546"/>
                <w:w w:val="70"/>
              </w:rPr>
              <w:t>$</w:t>
            </w:r>
          </w:p>
        </w:tc>
        <w:tc>
          <w:tcPr>
            <w:tcW w:w="80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226,474</w:t>
            </w:r>
          </w:p>
        </w:tc>
        <w:tc>
          <w:tcPr>
            <w:tcW w:w="200" w:type="dxa"/>
            <w:vAlign w:val="bottom"/>
          </w:tcPr>
          <w:p>
            <w:pPr>
              <w:spacing w:after="0"/>
              <w:rPr>
                <w:sz w:val="19"/>
                <w:szCs w:val="19"/>
                <w:color w:val="auto"/>
              </w:rPr>
            </w:pPr>
          </w:p>
        </w:tc>
        <w:tc>
          <w:tcPr>
            <w:tcW w:w="240" w:type="dxa"/>
            <w:vAlign w:val="bottom"/>
            <w:tcBorders>
              <w:bottom w:val="single" w:sz="8" w:color="454546"/>
            </w:tcBorders>
          </w:tcPr>
          <w:p>
            <w:pPr>
              <w:jc w:val="right"/>
              <w:ind w:right="5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80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337,606</w:t>
            </w:r>
          </w:p>
        </w:tc>
        <w:tc>
          <w:tcPr>
            <w:tcW w:w="200" w:type="dxa"/>
            <w:vAlign w:val="bottom"/>
          </w:tcPr>
          <w:p>
            <w:pPr>
              <w:spacing w:after="0"/>
              <w:rPr>
                <w:sz w:val="19"/>
                <w:szCs w:val="19"/>
                <w:color w:val="auto"/>
              </w:rPr>
            </w:pPr>
          </w:p>
        </w:tc>
        <w:tc>
          <w:tcPr>
            <w:tcW w:w="240" w:type="dxa"/>
            <w:vAlign w:val="bottom"/>
            <w:tcBorders>
              <w:bottom w:val="single" w:sz="8" w:color="454546"/>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454546"/>
                <w:w w:val="79"/>
              </w:rPr>
              <w:t>$</w:t>
            </w:r>
          </w:p>
        </w:tc>
        <w:tc>
          <w:tcPr>
            <w:tcW w:w="780" w:type="dxa"/>
            <w:vAlign w:val="bottom"/>
            <w:tcBorders>
              <w:bottom w:val="single" w:sz="8" w:color="454546"/>
            </w:tcBorders>
          </w:tcPr>
          <w:p>
            <w:pPr>
              <w:jc w:val="right"/>
              <w:spacing w:after="0" w:line="220" w:lineRule="exact"/>
              <w:rPr>
                <w:sz w:val="20"/>
                <w:szCs w:val="20"/>
                <w:color w:val="auto"/>
              </w:rPr>
            </w:pPr>
            <w:r>
              <w:rPr>
                <w:rFonts w:ascii="Times New Roman" w:cs="Times New Roman" w:eastAsia="Times New Roman" w:hAnsi="Times New Roman"/>
                <w:sz w:val="20"/>
                <w:szCs w:val="20"/>
                <w:color w:val="454546"/>
              </w:rPr>
              <w:t>331,856</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454546"/>
            </w:tcBorders>
          </w:tcPr>
          <w:p>
            <w:pPr>
              <w:spacing w:after="0" w:line="20" w:lineRule="exact"/>
              <w:rPr>
                <w:sz w:val="1"/>
                <w:szCs w:val="1"/>
                <w:color w:val="auto"/>
              </w:rPr>
            </w:pPr>
          </w:p>
        </w:tc>
        <w:tc>
          <w:tcPr>
            <w:tcW w:w="20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800" w:type="dxa"/>
            <w:vAlign w:val="bottom"/>
            <w:tcBorders>
              <w:bottom w:val="single" w:sz="8" w:color="45454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454546"/>
            </w:tcBorders>
          </w:tcPr>
          <w:p>
            <w:pPr>
              <w:spacing w:after="0" w:line="20" w:lineRule="exact"/>
              <w:rPr>
                <w:sz w:val="1"/>
                <w:szCs w:val="1"/>
                <w:color w:val="auto"/>
              </w:rPr>
            </w:pPr>
          </w:p>
        </w:tc>
        <w:tc>
          <w:tcPr>
            <w:tcW w:w="780" w:type="dxa"/>
            <w:vAlign w:val="bottom"/>
            <w:tcBorders>
              <w:bottom w:val="single" w:sz="8" w:color="45454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454546"/>
        </w:rPr>
        <w:t>Substantially all of the Company’s property and equipment were located in the Asia Pacific region, United States and Europe. As of January 31, 2024, the net amount of these fixed assets located in these regions was approximately $5.3 million, $3.9 million and $1.2 million, respectively. As of January 31, 2023, the net amount of these fixed assets located in these regions was approximately $6.3 million, $4.0 million and $1.5 million, respectively.</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454546"/>
        </w:rPr>
        <w:t>Major Customers</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454546"/>
        </w:rPr>
        <w:t>The customers representing 10% or more of revenue for the fiscal years ended January 31, 2024, 2023 and 2022 were Wintech and Chicony. For the fiscal years ended January 31, 2024, 2023 and 2022, Wintech accounted for approximately 53%, 57% and 62% of total revenue, respectively. For the fiscal years ended January 31, 2024, 2023 and 2022, Chicony accounted for approximately 14%, 12% and 13% of total revenue, respectively. Accounts receivable with Wintech and Chicony were approximately $10.3 million and $7.0 million as of January 31, 2024, respectively. Accounts receivable with Wintech and Chicony were approximately $21.0 million and $9.4 million as of January 31, 2023, respectively.</w:t>
      </w:r>
    </w:p>
    <w:p>
      <w:pPr>
        <w:sectPr>
          <w:pgSz w:w="12240" w:h="15840" w:orient="portrait"/>
          <w:cols w:equalWidth="0" w:num="1">
            <w:col w:w="10800"/>
          </w:cols>
          <w:pgMar w:left="720" w:top="976" w:right="720" w:bottom="175"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101</w:t>
      </w:r>
    </w:p>
    <w:p>
      <w:pPr>
        <w:sectPr>
          <w:pgSz w:w="12240" w:h="15840" w:orient="portrait"/>
          <w:cols w:equalWidth="0" w:num="1">
            <w:col w:w="10800"/>
          </w:cols>
          <w:pgMar w:left="720" w:top="976" w:right="720" w:bottom="175"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454546"/>
        </w:rPr>
        <w:t>ITEM 16. FORM 10-K SUMMARY</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454546"/>
        </w:rPr>
        <w:t>None.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560" w:type="dxa"/>
            <w:vAlign w:val="bottom"/>
            <w:gridSpan w:val="24"/>
          </w:tcPr>
          <w:p>
            <w:pPr>
              <w:ind w:left="320"/>
              <w:spacing w:after="0"/>
              <w:rPr>
                <w:sz w:val="20"/>
                <w:szCs w:val="20"/>
                <w:color w:val="auto"/>
              </w:rPr>
            </w:pPr>
            <w:r>
              <w:rPr>
                <w:rFonts w:ascii="Times New Roman" w:cs="Times New Roman" w:eastAsia="Times New Roman" w:hAnsi="Times New Roman"/>
                <w:sz w:val="20"/>
                <w:szCs w:val="20"/>
                <w:b w:val="1"/>
                <w:bCs w:val="1"/>
                <w:color w:val="454546"/>
              </w:rPr>
              <w:t>EXHIBITS INDEX</w:t>
            </w:r>
          </w:p>
        </w:tc>
        <w:tc>
          <w:tcPr>
            <w:tcW w:w="0" w:type="dxa"/>
            <w:vAlign w:val="bottom"/>
          </w:tcPr>
          <w:p>
            <w:pPr>
              <w:spacing w:after="0"/>
              <w:rPr>
                <w:sz w:val="1"/>
                <w:szCs w:val="1"/>
                <w:color w:val="auto"/>
              </w:rPr>
            </w:pPr>
          </w:p>
        </w:tc>
      </w:tr>
      <w:tr>
        <w:trPr>
          <w:trHeight w:val="374"/>
        </w:trPr>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20"/>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454546"/>
              </w:rPr>
              <w:t>Description</w:t>
            </w:r>
          </w:p>
        </w:tc>
        <w:tc>
          <w:tcPr>
            <w:tcW w:w="0" w:type="dxa"/>
            <w:vAlign w:val="bottom"/>
          </w:tcPr>
          <w:p>
            <w:pPr>
              <w:spacing w:after="0"/>
              <w:rPr>
                <w:sz w:val="1"/>
                <w:szCs w:val="1"/>
                <w:color w:val="auto"/>
              </w:rPr>
            </w:pPr>
          </w:p>
        </w:tc>
      </w:tr>
      <w:tr>
        <w:trPr>
          <w:trHeight w:val="203"/>
        </w:trPr>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454546"/>
              </w:rPr>
              <w:t>Number</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gridSpan w:val="2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1080" w:type="dxa"/>
            <w:vAlign w:val="bottom"/>
            <w:tcBorders>
              <w:top w:val="single" w:sz="8" w:color="454546"/>
            </w:tcBorders>
          </w:tcPr>
          <w:p>
            <w:pPr>
              <w:ind w:left="100"/>
              <w:spacing w:after="0"/>
              <w:rPr>
                <w:sz w:val="20"/>
                <w:szCs w:val="20"/>
                <w:color w:val="auto"/>
              </w:rPr>
            </w:pPr>
            <w:r>
              <w:rPr>
                <w:rFonts w:ascii="Times New Roman" w:cs="Times New Roman" w:eastAsia="Times New Roman" w:hAnsi="Times New Roman"/>
                <w:sz w:val="20"/>
                <w:szCs w:val="20"/>
                <w:color w:val="454546"/>
              </w:rPr>
              <w:t>2.1(2)</w:t>
            </w:r>
          </w:p>
        </w:tc>
        <w:tc>
          <w:tcPr>
            <w:tcW w:w="180" w:type="dxa"/>
            <w:vAlign w:val="bottom"/>
          </w:tcPr>
          <w:p>
            <w:pPr>
              <w:spacing w:after="0"/>
              <w:rPr>
                <w:sz w:val="24"/>
                <w:szCs w:val="24"/>
                <w:color w:val="auto"/>
              </w:rPr>
            </w:pPr>
          </w:p>
        </w:tc>
        <w:tc>
          <w:tcPr>
            <w:tcW w:w="9540" w:type="dxa"/>
            <w:vAlign w:val="bottom"/>
            <w:tcBorders>
              <w:top w:val="single" w:sz="8" w:color="454546"/>
            </w:tcBorders>
            <w:gridSpan w:val="30"/>
          </w:tcPr>
          <w:p>
            <w:pPr>
              <w:spacing w:after="0"/>
              <w:rPr>
                <w:sz w:val="20"/>
                <w:szCs w:val="20"/>
                <w:color w:val="auto"/>
              </w:rPr>
            </w:pPr>
            <w:r>
              <w:rPr>
                <w:rFonts w:ascii="Times New Roman" w:cs="Times New Roman" w:eastAsia="Times New Roman" w:hAnsi="Times New Roman"/>
                <w:sz w:val="20"/>
                <w:szCs w:val="20"/>
                <w:color w:val="656769"/>
              </w:rPr>
              <w:t>Agreement and Plan of Merger, dated October 26, 2021, by and among Ambarella, Inc., Ohio Merger Sub, Inc., Oculii</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500" w:type="dxa"/>
            <w:vAlign w:val="bottom"/>
            <w:tcBorders>
              <w:top w:val="single" w:sz="8" w:color="656769"/>
            </w:tcBorders>
            <w:gridSpan w:val="29"/>
          </w:tcPr>
          <w:p>
            <w:pPr>
              <w:spacing w:after="0" w:line="210" w:lineRule="exact"/>
              <w:rPr>
                <w:sz w:val="20"/>
                <w:szCs w:val="20"/>
                <w:color w:val="auto"/>
              </w:rPr>
            </w:pPr>
            <w:r>
              <w:rPr>
                <w:rFonts w:ascii="Times New Roman" w:cs="Times New Roman" w:eastAsia="Times New Roman" w:hAnsi="Times New Roman"/>
                <w:sz w:val="20"/>
                <w:szCs w:val="20"/>
                <w:color w:val="656769"/>
              </w:rPr>
              <w:t>Corp. and Shareholder Representative Services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860" w:type="dxa"/>
            <w:vAlign w:val="bottom"/>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320" w:type="dxa"/>
            <w:vAlign w:val="bottom"/>
            <w:shd w:val="clear" w:color="auto" w:fill="656769"/>
          </w:tcPr>
          <w:p>
            <w:pPr>
              <w:spacing w:after="0" w:line="20" w:lineRule="exact"/>
              <w:rPr>
                <w:sz w:val="1"/>
                <w:szCs w:val="1"/>
                <w:color w:val="auto"/>
              </w:rPr>
            </w:pPr>
          </w:p>
        </w:tc>
        <w:tc>
          <w:tcPr>
            <w:tcW w:w="30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3.2(3)</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Amended and Restated Memorandum of Association and Second Amended and Restated Articles of Association of</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9"/>
              </w:rPr>
              <w:t>Ambarella, Inc.</w:t>
            </w:r>
          </w:p>
        </w:tc>
        <w:tc>
          <w:tcPr>
            <w:tcW w:w="8020" w:type="dxa"/>
            <w:vAlign w:val="bottom"/>
            <w:tcBorders>
              <w:top w:val="single" w:sz="8" w:color="656769"/>
            </w:tcBorders>
            <w:gridSpan w:val="23"/>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454546"/>
              </w:rPr>
              <w:t>4.1(14)</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Description of Share Capital of Ambarella, Inc.</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320" w:type="dxa"/>
            <w:vAlign w:val="bottom"/>
            <w:shd w:val="clear" w:color="auto" w:fill="65676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10.2.1(5)*</w:t>
            </w:r>
          </w:p>
        </w:tc>
        <w:tc>
          <w:tcPr>
            <w:tcW w:w="180" w:type="dxa"/>
            <w:vAlign w:val="bottom"/>
          </w:tcPr>
          <w:p>
            <w:pPr>
              <w:spacing w:after="0"/>
              <w:rPr>
                <w:sz w:val="24"/>
                <w:szCs w:val="24"/>
                <w:color w:val="auto"/>
              </w:rPr>
            </w:pPr>
          </w:p>
        </w:tc>
        <w:tc>
          <w:tcPr>
            <w:tcW w:w="4100" w:type="dxa"/>
            <w:vAlign w:val="bottom"/>
            <w:tcBorders>
              <w:bottom w:val="single" w:sz="8" w:color="656769"/>
            </w:tcBorders>
            <w:gridSpan w:val="9"/>
          </w:tcPr>
          <w:p>
            <w:pPr>
              <w:spacing w:after="0"/>
              <w:rPr>
                <w:sz w:val="20"/>
                <w:szCs w:val="20"/>
                <w:color w:val="auto"/>
              </w:rPr>
            </w:pPr>
            <w:r>
              <w:rPr>
                <w:rFonts w:ascii="Times New Roman" w:cs="Times New Roman" w:eastAsia="Times New Roman" w:hAnsi="Times New Roman"/>
                <w:sz w:val="20"/>
                <w:szCs w:val="20"/>
                <w:color w:val="656769"/>
                <w:w w:val="99"/>
              </w:rPr>
              <w:t>Amended and Restated 2012 Equity Incentive Plan</w:t>
            </w:r>
          </w:p>
        </w:tc>
        <w:tc>
          <w:tcPr>
            <w:tcW w:w="54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10.2.2(3)*</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Stock Option Agreement under 2012 Equity Incentive Plan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1380" w:type="dxa"/>
            <w:vAlign w:val="bottom"/>
            <w:gridSpan w:val="4"/>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420" w:type="dxa"/>
            <w:vAlign w:val="bottom"/>
            <w:shd w:val="clear" w:color="auto" w:fill="65676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10.2.3(3)*</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Restricted Stock Agreement under 2012 Equity Incentive Plan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1380" w:type="dxa"/>
            <w:vAlign w:val="bottom"/>
            <w:gridSpan w:val="4"/>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680" w:type="dxa"/>
            <w:vAlign w:val="bottom"/>
            <w:gridSpan w:val="2"/>
            <w:shd w:val="clear" w:color="auto" w:fill="65676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10.2.4(3)*</w:t>
            </w:r>
          </w:p>
        </w:tc>
        <w:tc>
          <w:tcPr>
            <w:tcW w:w="180" w:type="dxa"/>
            <w:vAlign w:val="bottom"/>
          </w:tcPr>
          <w:p>
            <w:pPr>
              <w:spacing w:after="0"/>
              <w:rPr>
                <w:sz w:val="24"/>
                <w:szCs w:val="24"/>
                <w:color w:val="auto"/>
              </w:rPr>
            </w:pPr>
          </w:p>
        </w:tc>
        <w:tc>
          <w:tcPr>
            <w:tcW w:w="6120" w:type="dxa"/>
            <w:vAlign w:val="bottom"/>
            <w:tcBorders>
              <w:bottom w:val="single" w:sz="8" w:color="656769"/>
            </w:tcBorders>
            <w:gridSpan w:val="16"/>
          </w:tcPr>
          <w:p>
            <w:pPr>
              <w:spacing w:after="0"/>
              <w:rPr>
                <w:sz w:val="20"/>
                <w:szCs w:val="20"/>
                <w:color w:val="auto"/>
              </w:rPr>
            </w:pPr>
            <w:r>
              <w:rPr>
                <w:rFonts w:ascii="Times New Roman" w:cs="Times New Roman" w:eastAsia="Times New Roman" w:hAnsi="Times New Roman"/>
                <w:sz w:val="20"/>
                <w:szCs w:val="20"/>
                <w:color w:val="656769"/>
              </w:rPr>
              <w:t>Form of Restricted Stock Unit Agreement under 2012 Equity Incentive Plan</w:t>
            </w:r>
          </w:p>
        </w:tc>
        <w:tc>
          <w:tcPr>
            <w:tcW w:w="3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10.2.5(5)*</w:t>
            </w:r>
          </w:p>
        </w:tc>
        <w:tc>
          <w:tcPr>
            <w:tcW w:w="180" w:type="dxa"/>
            <w:vAlign w:val="bottom"/>
          </w:tcPr>
          <w:p>
            <w:pPr>
              <w:spacing w:after="0"/>
              <w:rPr>
                <w:sz w:val="24"/>
                <w:szCs w:val="24"/>
                <w:color w:val="auto"/>
              </w:rPr>
            </w:pPr>
          </w:p>
        </w:tc>
        <w:tc>
          <w:tcPr>
            <w:tcW w:w="7740" w:type="dxa"/>
            <w:vAlign w:val="bottom"/>
            <w:tcBorders>
              <w:bottom w:val="single" w:sz="8" w:color="656769"/>
            </w:tcBorders>
            <w:gridSpan w:val="18"/>
          </w:tcPr>
          <w:p>
            <w:pPr>
              <w:spacing w:after="0"/>
              <w:rPr>
                <w:sz w:val="20"/>
                <w:szCs w:val="20"/>
                <w:color w:val="auto"/>
              </w:rPr>
            </w:pPr>
            <w:r>
              <w:rPr>
                <w:rFonts w:ascii="Times New Roman" w:cs="Times New Roman" w:eastAsia="Times New Roman" w:hAnsi="Times New Roman"/>
                <w:sz w:val="20"/>
                <w:szCs w:val="20"/>
                <w:color w:val="656769"/>
                <w:w w:val="99"/>
              </w:rPr>
              <w:t>Form of Performance-Based Restricted Stock Unit Agreement under 2012 Equity Incentive Plan</w:t>
            </w:r>
          </w:p>
        </w:tc>
        <w:tc>
          <w:tcPr>
            <w:tcW w:w="1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10.1(1)*</w:t>
            </w:r>
          </w:p>
        </w:tc>
        <w:tc>
          <w:tcPr>
            <w:tcW w:w="180" w:type="dxa"/>
            <w:vAlign w:val="bottom"/>
          </w:tcPr>
          <w:p>
            <w:pPr>
              <w:spacing w:after="0"/>
              <w:rPr>
                <w:sz w:val="24"/>
                <w:szCs w:val="24"/>
                <w:color w:val="auto"/>
              </w:rPr>
            </w:pPr>
          </w:p>
        </w:tc>
        <w:tc>
          <w:tcPr>
            <w:tcW w:w="4860" w:type="dxa"/>
            <w:vAlign w:val="bottom"/>
            <w:tcBorders>
              <w:bottom w:val="single" w:sz="8" w:color="656769"/>
            </w:tcBorders>
            <w:gridSpan w:val="11"/>
          </w:tcPr>
          <w:p>
            <w:pPr>
              <w:spacing w:after="0"/>
              <w:rPr>
                <w:sz w:val="20"/>
                <w:szCs w:val="20"/>
                <w:color w:val="auto"/>
              </w:rPr>
            </w:pPr>
            <w:r>
              <w:rPr>
                <w:rFonts w:ascii="Times New Roman" w:cs="Times New Roman" w:eastAsia="Times New Roman" w:hAnsi="Times New Roman"/>
                <w:sz w:val="20"/>
                <w:szCs w:val="20"/>
                <w:color w:val="656769"/>
                <w:w w:val="99"/>
              </w:rPr>
              <w:t>Amended and Restated 2012 Employee Stock Purchase Plan</w:t>
            </w:r>
          </w:p>
        </w:tc>
        <w:tc>
          <w:tcPr>
            <w:tcW w:w="46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10.1(6)*</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Ambarella, Inc. 2021 Equity Incentive Plan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4.1.2(7)*</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Stock Option Agreement under 2021 Equity Incentive Plan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2040" w:type="dxa"/>
            <w:vAlign w:val="bottom"/>
            <w:gridSpan w:val="6"/>
            <w:shd w:val="clear" w:color="auto" w:fill="656769"/>
          </w:tcPr>
          <w:p>
            <w:pPr>
              <w:spacing w:after="0" w:line="20" w:lineRule="exact"/>
              <w:rPr>
                <w:sz w:val="1"/>
                <w:szCs w:val="1"/>
                <w:color w:val="auto"/>
              </w:rPr>
            </w:pPr>
          </w:p>
        </w:tc>
        <w:tc>
          <w:tcPr>
            <w:tcW w:w="420" w:type="dxa"/>
            <w:vAlign w:val="bottom"/>
            <w:shd w:val="clear" w:color="auto" w:fill="65676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4.1.3(7)*</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Restricted Stock Unit Agreement under 2021 Equity Incentive Plan</w:t>
            </w: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4.1.1(8)*</w:t>
            </w:r>
          </w:p>
        </w:tc>
        <w:tc>
          <w:tcPr>
            <w:tcW w:w="180" w:type="dxa"/>
            <w:vAlign w:val="bottom"/>
          </w:tcPr>
          <w:p>
            <w:pPr>
              <w:spacing w:after="0"/>
              <w:rPr>
                <w:sz w:val="24"/>
                <w:szCs w:val="24"/>
                <w:color w:val="auto"/>
              </w:rPr>
            </w:pPr>
          </w:p>
        </w:tc>
        <w:tc>
          <w:tcPr>
            <w:tcW w:w="2980" w:type="dxa"/>
            <w:vAlign w:val="bottom"/>
            <w:tcBorders>
              <w:top w:val="single" w:sz="8" w:color="656769"/>
              <w:bottom w:val="single" w:sz="8" w:color="656769"/>
            </w:tcBorders>
            <w:gridSpan w:val="6"/>
          </w:tcPr>
          <w:p>
            <w:pPr>
              <w:spacing w:after="0"/>
              <w:rPr>
                <w:sz w:val="20"/>
                <w:szCs w:val="20"/>
                <w:color w:val="auto"/>
              </w:rPr>
            </w:pPr>
            <w:r>
              <w:rPr>
                <w:rFonts w:ascii="Times New Roman" w:cs="Times New Roman" w:eastAsia="Times New Roman" w:hAnsi="Times New Roman"/>
                <w:sz w:val="20"/>
                <w:szCs w:val="20"/>
                <w:color w:val="656769"/>
                <w:w w:val="99"/>
              </w:rPr>
              <w:t>Oculii Corp. 2017 Stock Option Plan</w:t>
            </w:r>
          </w:p>
        </w:tc>
        <w:tc>
          <w:tcPr>
            <w:tcW w:w="3120" w:type="dxa"/>
            <w:vAlign w:val="bottom"/>
            <w:tcBorders>
              <w:top w:val="single" w:sz="8" w:color="656769"/>
            </w:tcBorders>
            <w:gridSpan w:val="9"/>
          </w:tcPr>
          <w:p>
            <w:pPr>
              <w:spacing w:after="0"/>
              <w:rPr>
                <w:sz w:val="24"/>
                <w:szCs w:val="24"/>
                <w:color w:val="auto"/>
              </w:rPr>
            </w:pPr>
          </w:p>
        </w:tc>
        <w:tc>
          <w:tcPr>
            <w:tcW w:w="3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4.1.2(8)*</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Stock Option Agreement under Oculii Corp. 2017 Stock Option Plan</w:t>
            </w: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10.4(3)*</w:t>
            </w:r>
          </w:p>
        </w:tc>
        <w:tc>
          <w:tcPr>
            <w:tcW w:w="180" w:type="dxa"/>
            <w:vAlign w:val="bottom"/>
          </w:tcPr>
          <w:p>
            <w:pPr>
              <w:spacing w:after="0"/>
              <w:rPr>
                <w:sz w:val="24"/>
                <w:szCs w:val="24"/>
                <w:color w:val="auto"/>
              </w:rPr>
            </w:pPr>
          </w:p>
        </w:tc>
        <w:tc>
          <w:tcPr>
            <w:tcW w:w="6220" w:type="dxa"/>
            <w:vAlign w:val="bottom"/>
            <w:tcBorders>
              <w:top w:val="single" w:sz="8" w:color="656769"/>
            </w:tcBorders>
            <w:gridSpan w:val="17"/>
          </w:tcPr>
          <w:p>
            <w:pPr>
              <w:spacing w:after="0"/>
              <w:rPr>
                <w:sz w:val="20"/>
                <w:szCs w:val="20"/>
                <w:color w:val="auto"/>
              </w:rPr>
            </w:pPr>
            <w:r>
              <w:rPr>
                <w:rFonts w:ascii="Times New Roman" w:cs="Times New Roman" w:eastAsia="Times New Roman" w:hAnsi="Times New Roman"/>
                <w:sz w:val="20"/>
                <w:szCs w:val="20"/>
                <w:color w:val="656769"/>
              </w:rPr>
              <w:t>Form of Indemnification Agreement</w:t>
            </w:r>
          </w:p>
        </w:tc>
        <w:tc>
          <w:tcPr>
            <w:tcW w:w="3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1400" w:type="dxa"/>
            <w:vAlign w:val="bottom"/>
            <w:gridSpan w:val="2"/>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10.6.1(4)*</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Change of Control and Severance Agreement, entered into by Ambarella, Inc. with the Chief Executive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Borders>
              <w:top w:val="single" w:sz="8" w:color="656769"/>
              <w:bottom w:val="single" w:sz="8" w:color="656769"/>
            </w:tcBorders>
            <w:gridSpan w:val="12"/>
          </w:tcPr>
          <w:p>
            <w:pPr>
              <w:spacing w:after="0" w:line="210" w:lineRule="exact"/>
              <w:rPr>
                <w:sz w:val="20"/>
                <w:szCs w:val="20"/>
                <w:color w:val="auto"/>
              </w:rPr>
            </w:pPr>
            <w:r>
              <w:rPr>
                <w:rFonts w:ascii="Times New Roman" w:cs="Times New Roman" w:eastAsia="Times New Roman" w:hAnsi="Times New Roman"/>
                <w:sz w:val="20"/>
                <w:szCs w:val="20"/>
                <w:color w:val="656769"/>
                <w:w w:val="99"/>
              </w:rPr>
              <w:t>Officer, Chief Financial Officer and Chief Technology Officer</w:t>
            </w:r>
          </w:p>
        </w:tc>
        <w:tc>
          <w:tcPr>
            <w:tcW w:w="3960" w:type="dxa"/>
            <w:vAlign w:val="bottom"/>
            <w:tcBorders>
              <w:top w:val="single" w:sz="8" w:color="656769"/>
            </w:tcBorders>
            <w:gridSpan w:val="7"/>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10.3(11)*</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Form of Amended and Restated Change of Control and Severance Agreement, entered into by Ambarella, Inc. with</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Borders>
              <w:top w:val="single" w:sz="8" w:color="656769"/>
              <w:bottom w:val="single" w:sz="8" w:color="656769"/>
            </w:tcBorders>
            <w:gridSpan w:val="20"/>
          </w:tcPr>
          <w:p>
            <w:pPr>
              <w:spacing w:after="0" w:line="210" w:lineRule="exact"/>
              <w:rPr>
                <w:sz w:val="20"/>
                <w:szCs w:val="20"/>
                <w:color w:val="auto"/>
              </w:rPr>
            </w:pPr>
            <w:r>
              <w:rPr>
                <w:rFonts w:ascii="Times New Roman" w:cs="Times New Roman" w:eastAsia="Times New Roman" w:hAnsi="Times New Roman"/>
                <w:sz w:val="20"/>
                <w:szCs w:val="20"/>
                <w:color w:val="656769"/>
                <w:w w:val="99"/>
              </w:rPr>
              <w:t>executive officers other than the Chief Executive Officer, Chief Financial Officer and Chief Technology Officer</w:t>
            </w:r>
          </w:p>
        </w:tc>
        <w:tc>
          <w:tcPr>
            <w:tcW w:w="300" w:type="dxa"/>
            <w:vAlign w:val="bottom"/>
            <w:tcBorders>
              <w:top w:val="single" w:sz="8" w:color="656769"/>
            </w:tcBorders>
            <w:gridSpan w:val="6"/>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10.8.1(9)</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Sales Representative Agreement dated January 31, 2011 by and between Ambarella, Inc. and WT Microelectronics</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656769"/>
              <w:bottom w:val="single" w:sz="8" w:color="656769"/>
            </w:tcBorders>
          </w:tcPr>
          <w:p>
            <w:pPr>
              <w:spacing w:after="0" w:line="210" w:lineRule="exact"/>
              <w:rPr>
                <w:sz w:val="20"/>
                <w:szCs w:val="20"/>
                <w:color w:val="auto"/>
              </w:rPr>
            </w:pPr>
            <w:r>
              <w:rPr>
                <w:rFonts w:ascii="Times New Roman" w:cs="Times New Roman" w:eastAsia="Times New Roman" w:hAnsi="Times New Roman"/>
                <w:sz w:val="20"/>
                <w:szCs w:val="20"/>
                <w:color w:val="656769"/>
                <w:w w:val="98"/>
              </w:rPr>
              <w:t>Co., Ltd.</w:t>
            </w:r>
          </w:p>
        </w:tc>
        <w:tc>
          <w:tcPr>
            <w:tcW w:w="8540" w:type="dxa"/>
            <w:vAlign w:val="bottom"/>
            <w:tcBorders>
              <w:top w:val="single" w:sz="8" w:color="656769"/>
            </w:tcBorders>
            <w:gridSpan w:val="23"/>
          </w:tcPr>
          <w:p>
            <w:pPr>
              <w:spacing w:after="0"/>
              <w:rPr>
                <w:sz w:val="18"/>
                <w:szCs w:val="18"/>
                <w:color w:val="auto"/>
              </w:rPr>
            </w:pPr>
          </w:p>
        </w:tc>
        <w:tc>
          <w:tcPr>
            <w:tcW w:w="2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10.8.2(9)</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No. 1 to Sales Representative Agreement dated February 1, 2012 by and between Ambarella, Inc. and</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0" w:type="dxa"/>
            <w:vAlign w:val="bottom"/>
            <w:tcBorders>
              <w:top w:val="single" w:sz="8" w:color="656769"/>
            </w:tcBorders>
            <w:gridSpan w:val="21"/>
          </w:tcPr>
          <w:p>
            <w:pPr>
              <w:spacing w:after="0" w:line="210" w:lineRule="exact"/>
              <w:rPr>
                <w:sz w:val="20"/>
                <w:szCs w:val="20"/>
                <w:color w:val="auto"/>
              </w:rPr>
            </w:pPr>
            <w:r>
              <w:rPr>
                <w:rFonts w:ascii="Times New Roman" w:cs="Times New Roman" w:eastAsia="Times New Roman" w:hAnsi="Times New Roman"/>
                <w:sz w:val="20"/>
                <w:szCs w:val="20"/>
                <w:color w:val="656769"/>
              </w:rPr>
              <w:t>WT Microelectronics Co., Ltd.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656769"/>
          </w:tcPr>
          <w:p>
            <w:pPr>
              <w:spacing w:after="0" w:line="20" w:lineRule="exact"/>
              <w:rPr>
                <w:sz w:val="1"/>
                <w:szCs w:val="1"/>
                <w:color w:val="auto"/>
              </w:rPr>
            </w:pPr>
          </w:p>
        </w:tc>
        <w:tc>
          <w:tcPr>
            <w:tcW w:w="360" w:type="dxa"/>
            <w:vAlign w:val="bottom"/>
            <w:shd w:val="clear" w:color="auto" w:fill="656769"/>
          </w:tcPr>
          <w:p>
            <w:pPr>
              <w:spacing w:after="0" w:line="20" w:lineRule="exact"/>
              <w:rPr>
                <w:sz w:val="1"/>
                <w:szCs w:val="1"/>
                <w:color w:val="auto"/>
              </w:rPr>
            </w:pPr>
          </w:p>
        </w:tc>
        <w:tc>
          <w:tcPr>
            <w:tcW w:w="652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10.8.3(10)</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No. 2 to Sales Representative Agreement dated October 1, 2012 by and between Ambarella, Inc. and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Borders>
              <w:top w:val="single" w:sz="8" w:color="656769"/>
            </w:tcBorders>
            <w:gridSpan w:val="28"/>
          </w:tcPr>
          <w:p>
            <w:pPr>
              <w:spacing w:after="0" w:line="210" w:lineRule="exact"/>
              <w:rPr>
                <w:sz w:val="20"/>
                <w:szCs w:val="20"/>
                <w:color w:val="auto"/>
              </w:rPr>
            </w:pPr>
            <w:r>
              <w:rPr>
                <w:rFonts w:ascii="Times New Roman" w:cs="Times New Roman" w:eastAsia="Times New Roman" w:hAnsi="Times New Roman"/>
                <w:sz w:val="20"/>
                <w:szCs w:val="20"/>
                <w:color w:val="656769"/>
              </w:rPr>
              <w:t>Microelectronics Co., Ltd.</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656769"/>
          </w:tcPr>
          <w:p>
            <w:pPr>
              <w:spacing w:after="0" w:line="20" w:lineRule="exact"/>
              <w:rPr>
                <w:sz w:val="1"/>
                <w:szCs w:val="1"/>
                <w:color w:val="auto"/>
              </w:rPr>
            </w:pPr>
          </w:p>
        </w:tc>
        <w:tc>
          <w:tcPr>
            <w:tcW w:w="6880" w:type="dxa"/>
            <w:vAlign w:val="bottom"/>
            <w:gridSpan w:val="1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10.2(1)</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to the Sales Representative Agreement dated August 1, 2015 by and between Ambarella, Inc. and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40" w:type="dxa"/>
            <w:vAlign w:val="bottom"/>
            <w:tcBorders>
              <w:top w:val="single" w:sz="8" w:color="656769"/>
            </w:tcBorders>
            <w:gridSpan w:val="23"/>
          </w:tcPr>
          <w:p>
            <w:pPr>
              <w:spacing w:after="0" w:line="210" w:lineRule="exact"/>
              <w:rPr>
                <w:sz w:val="20"/>
                <w:szCs w:val="20"/>
                <w:color w:val="auto"/>
              </w:rPr>
            </w:pPr>
            <w:r>
              <w:rPr>
                <w:rFonts w:ascii="Times New Roman" w:cs="Times New Roman" w:eastAsia="Times New Roman" w:hAnsi="Times New Roman"/>
                <w:sz w:val="20"/>
                <w:szCs w:val="20"/>
                <w:color w:val="656769"/>
              </w:rPr>
              <w:t>Microelectronics Co., Ltd.</w:t>
            </w:r>
          </w:p>
        </w:tc>
        <w:tc>
          <w:tcPr>
            <w:tcW w:w="220" w:type="dxa"/>
            <w:vAlign w:val="bottom"/>
            <w:gridSpan w:val="4"/>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656769"/>
          </w:tcPr>
          <w:p>
            <w:pPr>
              <w:spacing w:after="0" w:line="20" w:lineRule="exact"/>
              <w:rPr>
                <w:sz w:val="1"/>
                <w:szCs w:val="1"/>
                <w:color w:val="auto"/>
              </w:rPr>
            </w:pPr>
          </w:p>
        </w:tc>
        <w:tc>
          <w:tcPr>
            <w:tcW w:w="6880" w:type="dxa"/>
            <w:vAlign w:val="bottom"/>
            <w:gridSpan w:val="1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10.1(12)</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to the Sales Representative Agreement dated June 1, 2019 by and between Ambarella, Inc. and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0" w:type="dxa"/>
            <w:vAlign w:val="bottom"/>
            <w:tcBorders>
              <w:top w:val="single" w:sz="8" w:color="656769"/>
            </w:tcBorders>
            <w:gridSpan w:val="20"/>
          </w:tcPr>
          <w:p>
            <w:pPr>
              <w:spacing w:after="0" w:line="210" w:lineRule="exact"/>
              <w:rPr>
                <w:sz w:val="20"/>
                <w:szCs w:val="20"/>
                <w:color w:val="auto"/>
              </w:rPr>
            </w:pPr>
            <w:r>
              <w:rPr>
                <w:rFonts w:ascii="Times New Roman" w:cs="Times New Roman" w:eastAsia="Times New Roman" w:hAnsi="Times New Roman"/>
                <w:sz w:val="20"/>
                <w:szCs w:val="20"/>
                <w:color w:val="656769"/>
              </w:rPr>
              <w:t>Microelectronics Co., Ltd.</w:t>
            </w:r>
          </w:p>
        </w:tc>
        <w:tc>
          <w:tcPr>
            <w:tcW w:w="220" w:type="dxa"/>
            <w:vAlign w:val="bottom"/>
            <w:gridSpan w:val="2"/>
          </w:tcPr>
          <w:p>
            <w:pPr>
              <w:spacing w:after="0"/>
              <w:rPr>
                <w:sz w:val="18"/>
                <w:szCs w:val="18"/>
                <w:color w:val="auto"/>
              </w:rPr>
            </w:pPr>
          </w:p>
        </w:tc>
        <w:tc>
          <w:tcPr>
            <w:tcW w:w="240" w:type="dxa"/>
            <w:vAlign w:val="bottom"/>
            <w:gridSpan w:val="5"/>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656769"/>
          </w:tcPr>
          <w:p>
            <w:pPr>
              <w:spacing w:after="0" w:line="20" w:lineRule="exact"/>
              <w:rPr>
                <w:sz w:val="1"/>
                <w:szCs w:val="1"/>
                <w:color w:val="auto"/>
              </w:rPr>
            </w:pPr>
          </w:p>
        </w:tc>
        <w:tc>
          <w:tcPr>
            <w:tcW w:w="7100" w:type="dxa"/>
            <w:vAlign w:val="bottom"/>
            <w:gridSpan w:val="1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10.2(15)</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No. 6 to Sales Representative Agreement dated May 1, 2021 by and between Ambarella, Inc. and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top w:val="single" w:sz="8" w:color="656769"/>
            </w:tcBorders>
            <w:gridSpan w:val="22"/>
          </w:tcPr>
          <w:p>
            <w:pPr>
              <w:spacing w:after="0" w:line="210" w:lineRule="exact"/>
              <w:rPr>
                <w:sz w:val="20"/>
                <w:szCs w:val="20"/>
                <w:color w:val="auto"/>
              </w:rPr>
            </w:pPr>
            <w:r>
              <w:rPr>
                <w:rFonts w:ascii="Times New Roman" w:cs="Times New Roman" w:eastAsia="Times New Roman" w:hAnsi="Times New Roman"/>
                <w:sz w:val="20"/>
                <w:szCs w:val="20"/>
                <w:color w:val="656769"/>
              </w:rPr>
              <w:t>Microelectronics Co., Ltd.</w:t>
            </w:r>
          </w:p>
        </w:tc>
        <w:tc>
          <w:tcPr>
            <w:tcW w:w="240" w:type="dxa"/>
            <w:vAlign w:val="bottom"/>
            <w:gridSpan w:val="5"/>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3"/>
            <w:shd w:val="clear" w:color="auto" w:fill="656769"/>
          </w:tcPr>
          <w:p>
            <w:pPr>
              <w:spacing w:after="0" w:line="20" w:lineRule="exact"/>
              <w:rPr>
                <w:sz w:val="1"/>
                <w:szCs w:val="1"/>
                <w:color w:val="auto"/>
              </w:rPr>
            </w:pPr>
          </w:p>
        </w:tc>
        <w:tc>
          <w:tcPr>
            <w:tcW w:w="7340" w:type="dxa"/>
            <w:vAlign w:val="bottom"/>
            <w:gridSpan w:val="2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454546"/>
              </w:rPr>
              <w:t>10.1(18)</w:t>
            </w:r>
          </w:p>
        </w:tc>
        <w:tc>
          <w:tcPr>
            <w:tcW w:w="180" w:type="dxa"/>
            <w:vAlign w:val="bottom"/>
          </w:tcPr>
          <w:p>
            <w:pPr>
              <w:spacing w:after="0"/>
              <w:rPr>
                <w:sz w:val="24"/>
                <w:szCs w:val="24"/>
                <w:color w:val="auto"/>
              </w:rPr>
            </w:pPr>
          </w:p>
        </w:tc>
        <w:tc>
          <w:tcPr>
            <w:tcW w:w="9540" w:type="dxa"/>
            <w:vAlign w:val="bottom"/>
            <w:gridSpan w:val="30"/>
          </w:tcPr>
          <w:p>
            <w:pPr>
              <w:spacing w:after="0"/>
              <w:rPr>
                <w:sz w:val="20"/>
                <w:szCs w:val="20"/>
                <w:color w:val="auto"/>
              </w:rPr>
            </w:pPr>
            <w:r>
              <w:rPr>
                <w:rFonts w:ascii="Times New Roman" w:cs="Times New Roman" w:eastAsia="Times New Roman" w:hAnsi="Times New Roman"/>
                <w:sz w:val="20"/>
                <w:szCs w:val="20"/>
                <w:color w:val="656769"/>
              </w:rPr>
              <w:t>Amendment No. 7 to Sales Representative Agreement dated March 15, 2023 by and between Ambarella, Inc. and WT</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60" w:type="dxa"/>
            <w:vAlign w:val="bottom"/>
            <w:tcBorders>
              <w:top w:val="single" w:sz="8" w:color="656769"/>
            </w:tcBorders>
            <w:gridSpan w:val="27"/>
          </w:tcPr>
          <w:p>
            <w:pPr>
              <w:spacing w:after="0" w:line="210" w:lineRule="exact"/>
              <w:rPr>
                <w:sz w:val="20"/>
                <w:szCs w:val="20"/>
                <w:color w:val="auto"/>
              </w:rPr>
            </w:pPr>
            <w:r>
              <w:rPr>
                <w:rFonts w:ascii="Times New Roman" w:cs="Times New Roman" w:eastAsia="Times New Roman" w:hAnsi="Times New Roman"/>
                <w:sz w:val="20"/>
                <w:szCs w:val="20"/>
                <w:color w:val="656769"/>
              </w:rPr>
              <w:t>Microelectronics Co., Ltd.</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860" w:type="dxa"/>
            <w:vAlign w:val="bottom"/>
            <w:shd w:val="clear" w:color="auto" w:fill="65676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72" w:right="720" w:bottom="17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102</w:t>
      </w:r>
    </w:p>
    <w:p>
      <w:pPr>
        <w:sectPr>
          <w:pgSz w:w="12240" w:h="15840" w:orient="portrait"/>
          <w:cols w:equalWidth="0" w:num="1">
            <w:col w:w="10800"/>
          </w:cols>
          <w:pgMar w:left="720" w:top="972" w:right="720" w:bottom="175"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10.1(13)</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Standard Lease between Ambarella Corporation and The Realty Associates Fund XI Portfolio, L.P., dated as of</w:t>
            </w:r>
          </w:p>
        </w:tc>
      </w:tr>
      <w:tr>
        <w:trPr>
          <w:trHeight w:val="210"/>
        </w:trPr>
        <w:tc>
          <w:tcPr>
            <w:tcW w:w="1260" w:type="dxa"/>
            <w:vAlign w:val="bottom"/>
          </w:tcPr>
          <w:p>
            <w:pPr>
              <w:spacing w:after="0"/>
              <w:rPr>
                <w:sz w:val="18"/>
                <w:szCs w:val="18"/>
                <w:color w:val="auto"/>
              </w:rPr>
            </w:pPr>
          </w:p>
        </w:tc>
        <w:tc>
          <w:tcPr>
            <w:tcW w:w="124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9"/>
              </w:rPr>
              <w:t>August 8, 2019</w:t>
            </w:r>
          </w:p>
        </w:tc>
        <w:tc>
          <w:tcPr>
            <w:tcW w:w="7680" w:type="dxa"/>
            <w:vAlign w:val="bottom"/>
            <w:tcBorders>
              <w:top w:val="single" w:sz="8" w:color="656769"/>
            </w:tcBorders>
            <w:gridSpan w:val="11"/>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10.1(16)*</w:t>
            </w:r>
          </w:p>
        </w:tc>
        <w:tc>
          <w:tcPr>
            <w:tcW w:w="7440" w:type="dxa"/>
            <w:vAlign w:val="bottom"/>
            <w:tcBorders>
              <w:bottom w:val="single" w:sz="8" w:color="656769"/>
            </w:tcBorders>
            <w:gridSpan w:val="10"/>
          </w:tcPr>
          <w:p>
            <w:pPr>
              <w:spacing w:after="0"/>
              <w:rPr>
                <w:sz w:val="20"/>
                <w:szCs w:val="20"/>
                <w:color w:val="auto"/>
              </w:rPr>
            </w:pPr>
            <w:r>
              <w:rPr>
                <w:rFonts w:ascii="Times New Roman" w:cs="Times New Roman" w:eastAsia="Times New Roman" w:hAnsi="Times New Roman"/>
                <w:sz w:val="20"/>
                <w:szCs w:val="20"/>
                <w:color w:val="656769"/>
                <w:w w:val="99"/>
              </w:rPr>
              <w:t>Employment letter entered into by Ambarella Corp. with Brian White, dated March 18, 2022</w:t>
            </w:r>
          </w:p>
        </w:tc>
        <w:tc>
          <w:tcPr>
            <w:tcW w:w="2020" w:type="dxa"/>
            <w:vAlign w:val="bottom"/>
            <w:gridSpan w:val="8"/>
          </w:tcPr>
          <w:p>
            <w:pPr>
              <w:spacing w:after="0"/>
              <w:rPr>
                <w:sz w:val="24"/>
                <w:szCs w:val="24"/>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10.2(16)*</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Change of Control and Severance Agreement entered into by Ambarella Corp. with Brian White, dated March 28,</w:t>
            </w:r>
          </w:p>
        </w:tc>
      </w:tr>
      <w:tr>
        <w:trPr>
          <w:trHeight w:val="210"/>
        </w:trPr>
        <w:tc>
          <w:tcPr>
            <w:tcW w:w="1260" w:type="dxa"/>
            <w:vAlign w:val="bottom"/>
          </w:tcPr>
          <w:p>
            <w:pPr>
              <w:spacing w:after="0"/>
              <w:rPr>
                <w:sz w:val="18"/>
                <w:szCs w:val="18"/>
                <w:color w:val="auto"/>
              </w:rPr>
            </w:pPr>
          </w:p>
        </w:tc>
        <w:tc>
          <w:tcPr>
            <w:tcW w:w="400" w:type="dxa"/>
            <w:vAlign w:val="bottom"/>
            <w:tcBorders>
              <w:top w:val="single" w:sz="8" w:color="656769"/>
              <w:bottom w:val="single" w:sz="8" w:color="656769"/>
            </w:tcBorders>
          </w:tcPr>
          <w:p>
            <w:pPr>
              <w:spacing w:after="0" w:line="210" w:lineRule="exact"/>
              <w:rPr>
                <w:sz w:val="20"/>
                <w:szCs w:val="20"/>
                <w:color w:val="auto"/>
              </w:rPr>
            </w:pPr>
            <w:r>
              <w:rPr>
                <w:rFonts w:ascii="Times New Roman" w:cs="Times New Roman" w:eastAsia="Times New Roman" w:hAnsi="Times New Roman"/>
                <w:sz w:val="20"/>
                <w:szCs w:val="20"/>
                <w:color w:val="656769"/>
                <w:w w:val="94"/>
              </w:rPr>
              <w:t>2022</w:t>
            </w:r>
          </w:p>
        </w:tc>
        <w:tc>
          <w:tcPr>
            <w:tcW w:w="840" w:type="dxa"/>
            <w:vAlign w:val="bottom"/>
            <w:tcBorders>
              <w:top w:val="single" w:sz="8" w:color="656769"/>
            </w:tcBorders>
          </w:tcPr>
          <w:p>
            <w:pPr>
              <w:spacing w:after="0"/>
              <w:rPr>
                <w:sz w:val="18"/>
                <w:szCs w:val="18"/>
                <w:color w:val="auto"/>
              </w:rPr>
            </w:pPr>
          </w:p>
        </w:tc>
        <w:tc>
          <w:tcPr>
            <w:tcW w:w="760" w:type="dxa"/>
            <w:vAlign w:val="bottom"/>
            <w:tcBorders>
              <w:top w:val="single" w:sz="8" w:color="656769"/>
            </w:tcBorders>
          </w:tcPr>
          <w:p>
            <w:pPr>
              <w:spacing w:after="0"/>
              <w:rPr>
                <w:sz w:val="18"/>
                <w:szCs w:val="18"/>
                <w:color w:val="auto"/>
              </w:rPr>
            </w:pPr>
          </w:p>
        </w:tc>
        <w:tc>
          <w:tcPr>
            <w:tcW w:w="540" w:type="dxa"/>
            <w:vAlign w:val="bottom"/>
            <w:tcBorders>
              <w:top w:val="single" w:sz="8" w:color="656769"/>
            </w:tcBorders>
          </w:tcPr>
          <w:p>
            <w:pPr>
              <w:spacing w:after="0"/>
              <w:rPr>
                <w:sz w:val="18"/>
                <w:szCs w:val="18"/>
                <w:color w:val="auto"/>
              </w:rPr>
            </w:pPr>
          </w:p>
        </w:tc>
        <w:tc>
          <w:tcPr>
            <w:tcW w:w="500" w:type="dxa"/>
            <w:vAlign w:val="bottom"/>
            <w:tcBorders>
              <w:top w:val="single" w:sz="8" w:color="656769"/>
            </w:tcBorders>
          </w:tcPr>
          <w:p>
            <w:pPr>
              <w:spacing w:after="0"/>
              <w:rPr>
                <w:sz w:val="18"/>
                <w:szCs w:val="18"/>
                <w:color w:val="auto"/>
              </w:rPr>
            </w:pPr>
          </w:p>
        </w:tc>
        <w:tc>
          <w:tcPr>
            <w:tcW w:w="740" w:type="dxa"/>
            <w:vAlign w:val="bottom"/>
            <w:tcBorders>
              <w:top w:val="single" w:sz="8" w:color="656769"/>
            </w:tcBorders>
          </w:tcPr>
          <w:p>
            <w:pPr>
              <w:spacing w:after="0"/>
              <w:rPr>
                <w:sz w:val="18"/>
                <w:szCs w:val="18"/>
                <w:color w:val="auto"/>
              </w:rPr>
            </w:pPr>
          </w:p>
        </w:tc>
        <w:tc>
          <w:tcPr>
            <w:tcW w:w="900" w:type="dxa"/>
            <w:vAlign w:val="bottom"/>
            <w:tcBorders>
              <w:top w:val="single" w:sz="8" w:color="656769"/>
            </w:tcBorders>
          </w:tcPr>
          <w:p>
            <w:pPr>
              <w:spacing w:after="0"/>
              <w:rPr>
                <w:sz w:val="18"/>
                <w:szCs w:val="18"/>
                <w:color w:val="auto"/>
              </w:rPr>
            </w:pPr>
          </w:p>
        </w:tc>
        <w:tc>
          <w:tcPr>
            <w:tcW w:w="780" w:type="dxa"/>
            <w:vAlign w:val="bottom"/>
            <w:tcBorders>
              <w:top w:val="single" w:sz="8" w:color="656769"/>
            </w:tcBorders>
          </w:tcPr>
          <w:p>
            <w:pPr>
              <w:spacing w:after="0"/>
              <w:rPr>
                <w:sz w:val="18"/>
                <w:szCs w:val="18"/>
                <w:color w:val="auto"/>
              </w:rPr>
            </w:pPr>
          </w:p>
        </w:tc>
        <w:tc>
          <w:tcPr>
            <w:tcW w:w="1640" w:type="dxa"/>
            <w:vAlign w:val="bottom"/>
            <w:tcBorders>
              <w:top w:val="single" w:sz="8" w:color="656769"/>
            </w:tcBorders>
          </w:tcPr>
          <w:p>
            <w:pPr>
              <w:spacing w:after="0"/>
              <w:rPr>
                <w:sz w:val="18"/>
                <w:szCs w:val="18"/>
                <w:color w:val="auto"/>
              </w:rPr>
            </w:pPr>
          </w:p>
        </w:tc>
        <w:tc>
          <w:tcPr>
            <w:tcW w:w="340" w:type="dxa"/>
            <w:vAlign w:val="bottom"/>
            <w:tcBorders>
              <w:top w:val="single" w:sz="8" w:color="656769"/>
            </w:tcBorders>
          </w:tcPr>
          <w:p>
            <w:pPr>
              <w:spacing w:after="0"/>
              <w:rPr>
                <w:sz w:val="18"/>
                <w:szCs w:val="18"/>
                <w:color w:val="auto"/>
              </w:rPr>
            </w:pPr>
          </w:p>
        </w:tc>
        <w:tc>
          <w:tcPr>
            <w:tcW w:w="60" w:type="dxa"/>
            <w:vAlign w:val="bottom"/>
            <w:tcBorders>
              <w:top w:val="single" w:sz="8" w:color="656769"/>
            </w:tcBorders>
          </w:tcPr>
          <w:p>
            <w:pPr>
              <w:spacing w:after="0"/>
              <w:rPr>
                <w:sz w:val="18"/>
                <w:szCs w:val="18"/>
                <w:color w:val="auto"/>
              </w:rPr>
            </w:pPr>
          </w:p>
        </w:tc>
        <w:tc>
          <w:tcPr>
            <w:tcW w:w="300" w:type="dxa"/>
            <w:vAlign w:val="bottom"/>
            <w:tcBorders>
              <w:top w:val="single" w:sz="8" w:color="656769"/>
            </w:tcBorders>
          </w:tcPr>
          <w:p>
            <w:pPr>
              <w:spacing w:after="0"/>
              <w:rPr>
                <w:sz w:val="18"/>
                <w:szCs w:val="18"/>
                <w:color w:val="auto"/>
              </w:rPr>
            </w:pPr>
          </w:p>
        </w:tc>
        <w:tc>
          <w:tcPr>
            <w:tcW w:w="1120" w:type="dxa"/>
            <w:vAlign w:val="bottom"/>
            <w:tcBorders>
              <w:top w:val="single" w:sz="8" w:color="656769"/>
            </w:tcBorders>
          </w:tcPr>
          <w:p>
            <w:pPr>
              <w:spacing w:after="0"/>
              <w:rPr>
                <w:sz w:val="18"/>
                <w:szCs w:val="18"/>
                <w:color w:val="auto"/>
              </w:rPr>
            </w:pPr>
          </w:p>
        </w:tc>
        <w:tc>
          <w:tcPr>
            <w:tcW w:w="20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10.1(19)*</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Separation Agreement entered into by Ambarella Corp. with Brian White dated October 17, 2023</w:t>
            </w: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10.2(19)*</w:t>
            </w:r>
          </w:p>
        </w:tc>
        <w:tc>
          <w:tcPr>
            <w:tcW w:w="7800" w:type="dxa"/>
            <w:vAlign w:val="bottom"/>
            <w:tcBorders>
              <w:top w:val="single" w:sz="8" w:color="656769"/>
            </w:tcBorders>
            <w:gridSpan w:val="12"/>
          </w:tcPr>
          <w:p>
            <w:pPr>
              <w:spacing w:after="0"/>
              <w:rPr>
                <w:sz w:val="20"/>
                <w:szCs w:val="20"/>
                <w:color w:val="auto"/>
              </w:rPr>
            </w:pPr>
            <w:r>
              <w:rPr>
                <w:rFonts w:ascii="Times New Roman" w:cs="Times New Roman" w:eastAsia="Times New Roman" w:hAnsi="Times New Roman"/>
                <w:sz w:val="20"/>
                <w:szCs w:val="20"/>
                <w:color w:val="656769"/>
              </w:rPr>
              <w:t>Employment letter entered into by Ambarella Corp. with John Young dated October 17, 2023</w:t>
            </w:r>
          </w:p>
        </w:tc>
        <w:tc>
          <w:tcPr>
            <w:tcW w:w="1660" w:type="dxa"/>
            <w:vAlign w:val="bottom"/>
            <w:gridSpan w:val="6"/>
          </w:tcPr>
          <w:p>
            <w:pPr>
              <w:spacing w:after="0"/>
              <w:rPr>
                <w:sz w:val="24"/>
                <w:szCs w:val="24"/>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10.11(17)*</w:t>
            </w:r>
          </w:p>
        </w:tc>
        <w:tc>
          <w:tcPr>
            <w:tcW w:w="4680" w:type="dxa"/>
            <w:vAlign w:val="bottom"/>
            <w:tcBorders>
              <w:top w:val="single" w:sz="8" w:color="656769"/>
              <w:bottom w:val="single" w:sz="8" w:color="656769"/>
            </w:tcBorders>
            <w:gridSpan w:val="7"/>
          </w:tcPr>
          <w:p>
            <w:pPr>
              <w:spacing w:after="0"/>
              <w:rPr>
                <w:sz w:val="20"/>
                <w:szCs w:val="20"/>
                <w:color w:val="auto"/>
              </w:rPr>
            </w:pPr>
            <w:r>
              <w:rPr>
                <w:rFonts w:ascii="Times New Roman" w:cs="Times New Roman" w:eastAsia="Times New Roman" w:hAnsi="Times New Roman"/>
                <w:sz w:val="20"/>
                <w:szCs w:val="20"/>
                <w:color w:val="656769"/>
                <w:w w:val="99"/>
              </w:rPr>
              <w:t>Description of Executive Bonus Plan for Fiscal Year 2024</w:t>
            </w:r>
          </w:p>
        </w:tc>
        <w:tc>
          <w:tcPr>
            <w:tcW w:w="2820" w:type="dxa"/>
            <w:vAlign w:val="bottom"/>
            <w:tcBorders>
              <w:top w:val="single" w:sz="8" w:color="656769"/>
            </w:tcBorders>
            <w:gridSpan w:val="4"/>
          </w:tcPr>
          <w:p>
            <w:pPr>
              <w:spacing w:after="0"/>
              <w:rPr>
                <w:sz w:val="24"/>
                <w:szCs w:val="24"/>
                <w:color w:val="auto"/>
              </w:rPr>
            </w:pPr>
          </w:p>
        </w:tc>
        <w:tc>
          <w:tcPr>
            <w:tcW w:w="1960" w:type="dxa"/>
            <w:vAlign w:val="bottom"/>
            <w:gridSpan w:val="7"/>
          </w:tcPr>
          <w:p>
            <w:pPr>
              <w:spacing w:after="0"/>
              <w:rPr>
                <w:sz w:val="24"/>
                <w:szCs w:val="24"/>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21.1</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List of subsidiaries of Ambarella, Inc.</w:t>
            </w:r>
          </w:p>
        </w:tc>
      </w:tr>
      <w:tr>
        <w:trPr>
          <w:trHeight w:val="20"/>
        </w:trPr>
        <w:tc>
          <w:tcPr>
            <w:tcW w:w="1260" w:type="dxa"/>
            <w:vAlign w:val="bottom"/>
          </w:tcPr>
          <w:p>
            <w:pPr>
              <w:spacing w:after="0" w:line="20" w:lineRule="exact"/>
              <w:rPr>
                <w:sz w:val="1"/>
                <w:szCs w:val="1"/>
                <w:color w:val="auto"/>
              </w:rPr>
            </w:pPr>
          </w:p>
        </w:tc>
        <w:tc>
          <w:tcPr>
            <w:tcW w:w="2000" w:type="dxa"/>
            <w:vAlign w:val="bottom"/>
            <w:gridSpan w:val="3"/>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500" w:type="dxa"/>
            <w:vAlign w:val="bottom"/>
            <w:shd w:val="clear" w:color="auto" w:fill="65676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23.1</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Consent of PricewaterhouseCoopers LLP, independent registered public accounting firm</w:t>
            </w: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24.1</w:t>
            </w:r>
          </w:p>
        </w:tc>
        <w:tc>
          <w:tcPr>
            <w:tcW w:w="7100" w:type="dxa"/>
            <w:vAlign w:val="bottom"/>
            <w:tcBorders>
              <w:top w:val="single" w:sz="8" w:color="656769"/>
            </w:tcBorders>
            <w:gridSpan w:val="9"/>
          </w:tcPr>
          <w:p>
            <w:pPr>
              <w:spacing w:after="0"/>
              <w:rPr>
                <w:sz w:val="20"/>
                <w:szCs w:val="20"/>
                <w:color w:val="auto"/>
              </w:rPr>
            </w:pPr>
            <w:r>
              <w:rPr>
                <w:rFonts w:ascii="Times New Roman" w:cs="Times New Roman" w:eastAsia="Times New Roman" w:hAnsi="Times New Roman"/>
                <w:sz w:val="20"/>
                <w:szCs w:val="20"/>
                <w:color w:val="656769"/>
              </w:rPr>
              <w:t>Power of Attorney (included in signature page)</w:t>
            </w:r>
          </w:p>
        </w:tc>
        <w:tc>
          <w:tcPr>
            <w:tcW w:w="2360" w:type="dxa"/>
            <w:vAlign w:val="bottom"/>
            <w:gridSpan w:val="9"/>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000" w:type="dxa"/>
            <w:vAlign w:val="bottom"/>
            <w:gridSpan w:val="3"/>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1240" w:type="dxa"/>
            <w:vAlign w:val="bottom"/>
            <w:gridSpan w:val="2"/>
            <w:shd w:val="clear" w:color="auto" w:fill="656769"/>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31.1</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Certification of Principal Executive Officer Required Under Rule 13a-14(a) and 15d-14(a) of the Securities Exchange</w:t>
            </w:r>
          </w:p>
        </w:tc>
      </w:tr>
      <w:tr>
        <w:trPr>
          <w:trHeight w:val="210"/>
        </w:trPr>
        <w:tc>
          <w:tcPr>
            <w:tcW w:w="1260" w:type="dxa"/>
            <w:vAlign w:val="bottom"/>
          </w:tcPr>
          <w:p>
            <w:pPr>
              <w:spacing w:after="0"/>
              <w:rPr>
                <w:sz w:val="18"/>
                <w:szCs w:val="18"/>
                <w:color w:val="auto"/>
              </w:rPr>
            </w:pPr>
          </w:p>
        </w:tc>
        <w:tc>
          <w:tcPr>
            <w:tcW w:w="9440" w:type="dxa"/>
            <w:vAlign w:val="bottom"/>
            <w:tcBorders>
              <w:top w:val="single" w:sz="8" w:color="656769"/>
            </w:tcBorders>
            <w:gridSpan w:val="17"/>
          </w:tcPr>
          <w:p>
            <w:pPr>
              <w:spacing w:after="0" w:line="210" w:lineRule="exact"/>
              <w:rPr>
                <w:sz w:val="20"/>
                <w:szCs w:val="20"/>
                <w:color w:val="auto"/>
              </w:rPr>
            </w:pPr>
            <w:r>
              <w:rPr>
                <w:rFonts w:ascii="Times New Roman" w:cs="Times New Roman" w:eastAsia="Times New Roman" w:hAnsi="Times New Roman"/>
                <w:sz w:val="20"/>
                <w:szCs w:val="20"/>
                <w:color w:val="656769"/>
              </w:rPr>
              <w:t>Act of 1934, as amended</w:t>
            </w:r>
          </w:p>
        </w:tc>
        <w:tc>
          <w:tcPr>
            <w:tcW w:w="2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000" w:type="dxa"/>
            <w:vAlign w:val="bottom"/>
            <w:gridSpan w:val="3"/>
            <w:shd w:val="clear" w:color="auto" w:fill="65676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31.2</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Certification of Principal Financial Officer Required Under Rule 13a-14(a) and 15d-14(a) of the Securities Exchange</w:t>
            </w:r>
          </w:p>
        </w:tc>
      </w:tr>
      <w:tr>
        <w:trPr>
          <w:trHeight w:val="210"/>
        </w:trPr>
        <w:tc>
          <w:tcPr>
            <w:tcW w:w="1260" w:type="dxa"/>
            <w:vAlign w:val="bottom"/>
          </w:tcPr>
          <w:p>
            <w:pPr>
              <w:spacing w:after="0"/>
              <w:rPr>
                <w:sz w:val="18"/>
                <w:szCs w:val="18"/>
                <w:color w:val="auto"/>
              </w:rPr>
            </w:pPr>
          </w:p>
        </w:tc>
        <w:tc>
          <w:tcPr>
            <w:tcW w:w="9380" w:type="dxa"/>
            <w:vAlign w:val="bottom"/>
            <w:tcBorders>
              <w:top w:val="single" w:sz="8" w:color="656769"/>
            </w:tcBorders>
            <w:gridSpan w:val="16"/>
          </w:tcPr>
          <w:p>
            <w:pPr>
              <w:spacing w:after="0" w:line="210" w:lineRule="exact"/>
              <w:rPr>
                <w:sz w:val="20"/>
                <w:szCs w:val="20"/>
                <w:color w:val="auto"/>
              </w:rPr>
            </w:pPr>
            <w:r>
              <w:rPr>
                <w:rFonts w:ascii="Times New Roman" w:cs="Times New Roman" w:eastAsia="Times New Roman" w:hAnsi="Times New Roman"/>
                <w:sz w:val="20"/>
                <w:szCs w:val="20"/>
                <w:color w:val="656769"/>
              </w:rPr>
              <w:t>Act of 1934, as amended</w:t>
            </w:r>
          </w:p>
        </w:tc>
        <w:tc>
          <w:tcPr>
            <w:tcW w:w="80" w:type="dxa"/>
            <w:vAlign w:val="bottom"/>
            <w:gridSpan w:val="2"/>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000" w:type="dxa"/>
            <w:vAlign w:val="bottom"/>
            <w:gridSpan w:val="3"/>
            <w:shd w:val="clear" w:color="auto" w:fill="65676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32.1±</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656769"/>
              </w:rPr>
              <w:t>Certification of Principal Executive Officer and Principal Financial Officer Required Under Rule 13a-14(b) of the</w:t>
            </w:r>
          </w:p>
        </w:tc>
      </w:tr>
      <w:tr>
        <w:trPr>
          <w:trHeight w:val="210"/>
        </w:trPr>
        <w:tc>
          <w:tcPr>
            <w:tcW w:w="1260" w:type="dxa"/>
            <w:vAlign w:val="bottom"/>
          </w:tcPr>
          <w:p>
            <w:pPr>
              <w:spacing w:after="0"/>
              <w:rPr>
                <w:sz w:val="18"/>
                <w:szCs w:val="18"/>
                <w:color w:val="auto"/>
              </w:rPr>
            </w:pPr>
          </w:p>
        </w:tc>
        <w:tc>
          <w:tcPr>
            <w:tcW w:w="5460" w:type="dxa"/>
            <w:vAlign w:val="bottom"/>
            <w:tcBorders>
              <w:top w:val="single" w:sz="8" w:color="656769"/>
              <w:bottom w:val="single" w:sz="8" w:color="656769"/>
            </w:tcBorders>
            <w:gridSpan w:val="8"/>
          </w:tcPr>
          <w:p>
            <w:pPr>
              <w:spacing w:after="0" w:line="210" w:lineRule="exact"/>
              <w:rPr>
                <w:sz w:val="20"/>
                <w:szCs w:val="20"/>
                <w:color w:val="auto"/>
              </w:rPr>
            </w:pPr>
            <w:r>
              <w:rPr>
                <w:rFonts w:ascii="Times New Roman" w:cs="Times New Roman" w:eastAsia="Times New Roman" w:hAnsi="Times New Roman"/>
                <w:sz w:val="20"/>
                <w:szCs w:val="20"/>
                <w:color w:val="656769"/>
                <w:w w:val="99"/>
              </w:rPr>
              <w:t>Securities Exchange Act of 1934, as amended, and 18 U.S.C. §1350</w:t>
            </w:r>
          </w:p>
        </w:tc>
        <w:tc>
          <w:tcPr>
            <w:tcW w:w="3660" w:type="dxa"/>
            <w:vAlign w:val="bottom"/>
            <w:tcBorders>
              <w:top w:val="single" w:sz="8" w:color="656769"/>
            </w:tcBorders>
            <w:gridSpan w:val="6"/>
          </w:tcPr>
          <w:p>
            <w:pPr>
              <w:spacing w:after="0"/>
              <w:rPr>
                <w:sz w:val="18"/>
                <w:szCs w:val="18"/>
                <w:color w:val="auto"/>
              </w:rPr>
            </w:pPr>
          </w:p>
        </w:tc>
        <w:tc>
          <w:tcPr>
            <w:tcW w:w="340" w:type="dxa"/>
            <w:vAlign w:val="bottom"/>
            <w:gridSpan w:val="4"/>
          </w:tcPr>
          <w:p>
            <w:pPr>
              <w:spacing w:after="0"/>
              <w:rPr>
                <w:sz w:val="18"/>
                <w:szCs w:val="18"/>
                <w:color w:val="auto"/>
              </w:rPr>
            </w:pPr>
          </w:p>
        </w:tc>
      </w:tr>
      <w:tr>
        <w:trPr>
          <w:trHeight w:val="34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97.1</w:t>
            </w:r>
          </w:p>
        </w:tc>
        <w:tc>
          <w:tcPr>
            <w:tcW w:w="2540" w:type="dxa"/>
            <w:vAlign w:val="bottom"/>
            <w:tcBorders>
              <w:bottom w:val="single" w:sz="8" w:color="656769"/>
            </w:tcBorders>
            <w:gridSpan w:val="4"/>
          </w:tcPr>
          <w:p>
            <w:pPr>
              <w:spacing w:after="0"/>
              <w:rPr>
                <w:sz w:val="20"/>
                <w:szCs w:val="20"/>
                <w:color w:val="auto"/>
              </w:rPr>
            </w:pPr>
            <w:r>
              <w:rPr>
                <w:rFonts w:ascii="Times New Roman" w:cs="Times New Roman" w:eastAsia="Times New Roman" w:hAnsi="Times New Roman"/>
                <w:sz w:val="20"/>
                <w:szCs w:val="20"/>
                <w:color w:val="656769"/>
                <w:w w:val="99"/>
              </w:rPr>
              <w:t>Compensation Recovery Policy</w:t>
            </w:r>
          </w:p>
        </w:tc>
        <w:tc>
          <w:tcPr>
            <w:tcW w:w="6920" w:type="dxa"/>
            <w:vAlign w:val="bottom"/>
            <w:gridSpan w:val="14"/>
          </w:tcPr>
          <w:p>
            <w:pPr>
              <w:spacing w:after="0"/>
              <w:rPr>
                <w:sz w:val="24"/>
                <w:szCs w:val="24"/>
                <w:color w:val="auto"/>
              </w:rPr>
            </w:pPr>
          </w:p>
        </w:tc>
      </w:tr>
      <w:tr>
        <w:trPr>
          <w:trHeight w:val="44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101.INS</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Instance Document – the instance document does not appear in the Interactive Data file because its</w:t>
            </w:r>
          </w:p>
        </w:tc>
      </w:tr>
      <w:tr>
        <w:trPr>
          <w:trHeight w:val="266"/>
        </w:trPr>
        <w:tc>
          <w:tcPr>
            <w:tcW w:w="1260" w:type="dxa"/>
            <w:vAlign w:val="bottom"/>
          </w:tcPr>
          <w:p>
            <w:pPr>
              <w:spacing w:after="0"/>
              <w:rPr>
                <w:sz w:val="23"/>
                <w:szCs w:val="23"/>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XBRL tags are embedded within the Inline XBRL document</w:t>
            </w: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101.SCH</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Taxonomy Schema Linkbase Document</w:t>
            </w: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101.CAL</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Taxonomy Calculation Linkbase Document</w:t>
            </w: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101.DEF</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Taxonomy Definition Linkbase Document</w:t>
            </w: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101.LAB</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Taxonomy Labels Linkbase Document</w:t>
            </w:r>
          </w:p>
        </w:tc>
      </w:tr>
      <w:tr>
        <w:trPr>
          <w:trHeight w:val="36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454546"/>
              </w:rPr>
              <w:t>101.PRE</w:t>
            </w:r>
          </w:p>
        </w:tc>
        <w:tc>
          <w:tcPr>
            <w:tcW w:w="9460" w:type="dxa"/>
            <w:vAlign w:val="bottom"/>
            <w:gridSpan w:val="18"/>
          </w:tcPr>
          <w:p>
            <w:pPr>
              <w:spacing w:after="0"/>
              <w:rPr>
                <w:sz w:val="20"/>
                <w:szCs w:val="20"/>
                <w:color w:val="auto"/>
              </w:rPr>
            </w:pPr>
            <w:r>
              <w:rPr>
                <w:rFonts w:ascii="Times New Roman" w:cs="Times New Roman" w:eastAsia="Times New Roman" w:hAnsi="Times New Roman"/>
                <w:sz w:val="20"/>
                <w:szCs w:val="20"/>
                <w:color w:val="454546"/>
              </w:rPr>
              <w:t>Inline XBRL Taxonomy Presentation Linkbase Document</w:t>
            </w:r>
          </w:p>
        </w:tc>
      </w:tr>
    </w:tbl>
    <w:p>
      <w:pPr>
        <w:spacing w:after="0" w:line="102" w:lineRule="exact"/>
        <w:rPr>
          <w:sz w:val="20"/>
          <w:szCs w:val="20"/>
          <w:color w:val="auto"/>
        </w:rPr>
      </w:pPr>
    </w:p>
    <w:p>
      <w:pPr>
        <w:ind w:left="1260" w:right="300" w:hanging="1260"/>
        <w:spacing w:after="0" w:line="277" w:lineRule="auto"/>
        <w:tabs>
          <w:tab w:leader="none" w:pos="1260" w:val="left"/>
        </w:tabs>
        <w:numPr>
          <w:ilvl w:val="0"/>
          <w:numId w:val="3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cover page from the Company’s Annual Report on Form 10-K for the fiscal year ended January 31, 2022, has been formatted in Inline XBRL and included in Exhibit 101</w:t>
      </w:r>
    </w:p>
    <w:p>
      <w:pPr>
        <w:spacing w:after="0" w:line="261" w:lineRule="exact"/>
        <w:rPr>
          <w:sz w:val="20"/>
          <w:szCs w:val="20"/>
          <w:color w:val="auto"/>
        </w:rPr>
      </w:pP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September 8, 2015.</w:t>
      </w:r>
    </w:p>
    <w:p>
      <w:pPr>
        <w:spacing w:after="0" w:line="28" w:lineRule="exact"/>
        <w:rPr>
          <w:rFonts w:ascii="Times New Roman" w:cs="Times New Roman" w:eastAsia="Times New Roman" w:hAnsi="Times New Roman"/>
          <w:sz w:val="20"/>
          <w:szCs w:val="20"/>
          <w:color w:val="454546"/>
        </w:rPr>
      </w:pP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8-K filed on October 26, 2021.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S-1/A (No. 333-174838) filed on September 13, 2012.</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S-1 (No. 333-174838) filed on June 10, 2011.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10-K filed on March 30, 2017.</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8-K filed on June 23, 2021.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S-8 (No. 333-261244) filed on November 19, 2021.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S-8 (No. 333-261243) filed on November 19, 2021.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S-1/A (No. 333-174838) filed on September 26, 2012.</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S-1/A (No. 333-174838) filed on October 5, 2012.</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September 7, 2018.</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September 6, 2019.</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December 6, 2019.</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10-K filed on March 27, 2020.</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September 8, 2021.</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June 8, 2022.</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8-K filed on March 2, 2023.</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June 6, 2023.</w:t>
      </w:r>
    </w:p>
    <w:p>
      <w:pPr>
        <w:ind w:left="500" w:hanging="500"/>
        <w:spacing w:after="0"/>
        <w:tabs>
          <w:tab w:leader="none" w:pos="50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Incorporated by reference to the Form 10-Q filed on December 8,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-2783205</wp:posOffset>
                </wp:positionV>
                <wp:extent cx="89154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350">
                          <a:solidFill>
                            <a:srgbClr val="454546"/>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9.1499pt" to="70.2pt,-219.1499pt" o:allowincell="f" strokecolor="#454546" strokeweight="0.5pt"/>
            </w:pict>
          </mc:Fallback>
        </mc:AlternateContent>
      </w:r>
    </w:p>
    <w:p>
      <w:pPr>
        <w:sectPr>
          <w:pgSz w:w="12240" w:h="15840" w:orient="portrait"/>
          <w:cols w:equalWidth="0" w:num="1">
            <w:col w:w="10700"/>
          </w:cols>
          <w:pgMar w:left="720" w:top="974" w:right="820" w:bottom="175" w:gutter="0" w:footer="0" w:header="0"/>
        </w:sect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103</w:t>
      </w:r>
    </w:p>
    <w:p>
      <w:pPr>
        <w:sectPr>
          <w:pgSz w:w="12240" w:h="15840" w:orient="portrait"/>
          <w:cols w:equalWidth="0" w:num="1">
            <w:col w:w="10700"/>
          </w:cols>
          <w:pgMar w:left="720" w:top="974" w:right="820" w:bottom="175" w:gutter="0" w:footer="0" w:header="0"/>
          <w:type w:val="continuous"/>
        </w:sectPr>
      </w:pPr>
    </w:p>
    <w:bookmarkStart w:id="108" w:name="page109"/>
    <w:bookmarkEnd w:id="108"/>
    <w:p>
      <w:pPr>
        <w:ind w:left="160" w:hanging="160"/>
        <w:spacing w:after="0"/>
        <w:tabs>
          <w:tab w:leader="none" w:pos="160"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Management contracts or compensation plans or arrangements in which directors or executive officers are eligible to participate.</w:t>
      </w:r>
    </w:p>
    <w:p>
      <w:pPr>
        <w:spacing w:after="0" w:line="28" w:lineRule="exact"/>
        <w:rPr>
          <w:rFonts w:ascii="Times New Roman" w:cs="Times New Roman" w:eastAsia="Times New Roman" w:hAnsi="Times New Roman"/>
          <w:sz w:val="20"/>
          <w:szCs w:val="20"/>
          <w:color w:val="454546"/>
        </w:rPr>
      </w:pPr>
    </w:p>
    <w:p>
      <w:pPr>
        <w:spacing w:after="0" w:line="242" w:lineRule="auto"/>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 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ectPr>
          <w:pgSz w:w="12240" w:h="15840" w:orient="portrait"/>
          <w:cols w:equalWidth="0" w:num="1">
            <w:col w:w="10700"/>
          </w:cols>
          <w:pgMar w:left="720" w:top="1206"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104</w:t>
      </w:r>
    </w:p>
    <w:p>
      <w:pPr>
        <w:sectPr>
          <w:pgSz w:w="12240" w:h="15840" w:orient="portrait"/>
          <w:cols w:equalWidth="0" w:num="1">
            <w:col w:w="10700"/>
          </w:cols>
          <w:pgMar w:left="720" w:top="1206" w:right="820" w:bottom="175"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454546"/>
        </w:rPr>
        <w:t>SIGNATURES</w:t>
      </w:r>
    </w:p>
    <w:p>
      <w:pPr>
        <w:spacing w:after="0" w:line="24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454546"/>
        </w:rPr>
        <w:t>Pursuant to the requirements of Section 13 or 15(d) of the Securities Exchange Act of 1934, the registrant has duly caused this report to be signed on its behalf by the undersigned, thereunto duly authorized, on March 29, 2024.</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454546"/>
        </w:rPr>
        <w:t>AMBARELLA, INC.</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454546"/>
        </w:rPr>
        <w:t>By: /s/ John A. Young</w:t>
      </w:r>
    </w:p>
    <w:p>
      <w:pPr>
        <w:spacing w:after="0" w:line="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454546"/>
        </w:rPr>
        <w:t>John A. Young,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-114300</wp:posOffset>
            </wp:positionV>
            <wp:extent cx="316293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extLst>
                    </a:blip>
                    <a:srcRect/>
                    <a:stretch>
                      <a:fillRect/>
                    </a:stretch>
                  </pic:blipFill>
                  <pic:spPr bwMode="auto">
                    <a:xfrm>
                      <a:off x="0" y="0"/>
                      <a:ext cx="3162935" cy="63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POWER OF ATTORNEY</w:t>
      </w:r>
    </w:p>
    <w:p>
      <w:pPr>
        <w:spacing w:after="0" w:line="24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454546"/>
        </w:rPr>
        <w:t>KNOW ALL PERSONS BY THESE PRESENTS, that each person whose signature appears below hereby constitutes and appoints Feng-Ming Wang and John A. Young as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202"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454546"/>
        </w:rPr>
        <w:t>Pursuant to the requirements of the Securities Exchange Act of 1934, this report has been signed below by the following persons on behalf of the registrant and in the capacities and on March 29,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Signature</w:t>
            </w:r>
          </w:p>
        </w:tc>
        <w:tc>
          <w:tcPr>
            <w:tcW w:w="100" w:type="dxa"/>
            <w:vAlign w:val="bottom"/>
          </w:tcPr>
          <w:p>
            <w:pPr>
              <w:spacing w:after="0"/>
              <w:rPr>
                <w:sz w:val="21"/>
                <w:szCs w:val="21"/>
                <w:color w:val="auto"/>
              </w:rPr>
            </w:pPr>
          </w:p>
        </w:tc>
        <w:tc>
          <w:tcPr>
            <w:tcW w:w="5860" w:type="dxa"/>
            <w:vAlign w:val="bottom"/>
            <w:tcBorders>
              <w:bottom w:val="single" w:sz="8" w:color="454546"/>
            </w:tcBorders>
          </w:tcPr>
          <w:p>
            <w:pPr>
              <w:ind w:left="2780"/>
              <w:spacing w:after="0"/>
              <w:rPr>
                <w:sz w:val="20"/>
                <w:szCs w:val="20"/>
                <w:color w:val="auto"/>
              </w:rPr>
            </w:pPr>
            <w:r>
              <w:rPr>
                <w:rFonts w:ascii="Times New Roman" w:cs="Times New Roman" w:eastAsia="Times New Roman" w:hAnsi="Times New Roman"/>
                <w:sz w:val="16"/>
                <w:szCs w:val="16"/>
                <w:b w:val="1"/>
                <w:bCs w:val="1"/>
                <w:color w:val="454546"/>
              </w:rPr>
              <w:t>Title</w:t>
            </w:r>
          </w:p>
        </w:tc>
      </w:tr>
      <w:tr>
        <w:trPr>
          <w:trHeight w:val="427"/>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Feng-Ming Wang</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President, Chief Executive Officer, Executive Chairman and Director (Principal</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Feng-Ming Wang</w:t>
            </w:r>
          </w:p>
        </w:tc>
        <w:tc>
          <w:tcPr>
            <w:tcW w:w="100" w:type="dxa"/>
            <w:vAlign w:val="bottom"/>
          </w:tcPr>
          <w:p>
            <w:pPr>
              <w:spacing w:after="0"/>
              <w:rPr>
                <w:sz w:val="20"/>
                <w:szCs w:val="20"/>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Executive Officer)</w:t>
            </w:r>
          </w:p>
        </w:tc>
      </w:tr>
      <w:tr>
        <w:trPr>
          <w:trHeight w:val="38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rPr>
              <w:t>/s/ John A. Young</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Chief Financial Officer (Principal Financial and Accounting Officer)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rPr>
              <w:t>John A. Young</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8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Leslie D. Kohn</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Chief Technical Officer and 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Leslie D. Kohn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0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Chenming C. Hu</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Chenming C. Hu</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8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Christopher B. Paisley</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Christopher B. Paisley</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0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D. Jeffrey Richardson</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D. Jeffrey Richardson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0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Hsiao-Wuen Hon</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Hsiao-Wuen Hon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8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Andrew W. Verhalen</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Andrew W. Verhalen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4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Elizabeth M. Schwarting</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rPr>
              <w:t>Elizabeth M. Schwarting</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21"/>
        </w:trPr>
        <w:tc>
          <w:tcPr>
            <w:tcW w:w="4840" w:type="dxa"/>
            <w:vAlign w:val="bottom"/>
            <w:tcBorders>
              <w:bottom w:val="single" w:sz="8" w:color="454546"/>
            </w:tcBorders>
          </w:tcPr>
          <w:p>
            <w:pPr>
              <w:jc w:val="center"/>
              <w:spacing w:after="0"/>
              <w:rPr>
                <w:sz w:val="20"/>
                <w:szCs w:val="20"/>
                <w:color w:val="auto"/>
              </w:rPr>
            </w:pPr>
            <w:r>
              <w:rPr>
                <w:rFonts w:ascii="Times New Roman" w:cs="Times New Roman" w:eastAsia="Times New Roman" w:hAnsi="Times New Roman"/>
                <w:sz w:val="18"/>
                <w:szCs w:val="18"/>
                <w:color w:val="454546"/>
                <w:w w:val="99"/>
              </w:rPr>
              <w:t>/s/ Anne De Greef-Safft</w:t>
            </w:r>
          </w:p>
        </w:tc>
        <w:tc>
          <w:tcPr>
            <w:tcW w:w="10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454546"/>
              </w:rPr>
              <w:t>Director</w:t>
            </w:r>
          </w:p>
        </w:tc>
      </w:tr>
      <w:tr>
        <w:trPr>
          <w:trHeight w:val="230"/>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454546"/>
                <w:w w:val="99"/>
              </w:rPr>
              <w:t>Anne De Greef-Safft</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800"/>
          </w:cols>
          <w:pgMar w:left="720" w:top="97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105</w:t>
      </w:r>
    </w:p>
    <w:p>
      <w:pPr>
        <w:sectPr>
          <w:pgSz w:w="12240" w:h="15840" w:orient="portrait"/>
          <w:cols w:equalWidth="0" w:num="1">
            <w:col w:w="10800"/>
          </w:cols>
          <w:pgMar w:left="720" w:top="972" w:right="720" w:bottom="175" w:gutter="0" w:footer="0" w:header="0"/>
          <w:type w:val="continuous"/>
        </w:sectPr>
      </w:pPr>
    </w:p>
    <w:bookmarkStart w:id="110" w:name="page111"/>
    <w:bookmarkEnd w:id="110"/>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005CAB"/>
        </w:rPr>
        <w:t>AMBARELLA CORPORATE INFORMATION</w:t>
      </w:r>
    </w:p>
    <w:p>
      <w:pPr>
        <w:sectPr>
          <w:pgSz w:w="12240" w:h="15840" w:orient="portrait"/>
          <w:cols w:equalWidth="0" w:num="1">
            <w:col w:w="9360"/>
          </w:cols>
          <w:pgMar w:left="1440" w:top="1440" w:right="1440" w:bottom="835" w:gutter="0" w:footer="0" w:header="0"/>
        </w:sect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005CAB"/>
        </w:rPr>
        <w:t>EXECUTIVE OFFICERS</w:t>
      </w:r>
    </w:p>
    <w:p>
      <w:pPr>
        <w:spacing w:after="0" w:line="15" w:lineRule="exact"/>
        <w:rPr>
          <w:sz w:val="20"/>
          <w:szCs w:val="20"/>
          <w:color w:val="auto"/>
        </w:rPr>
      </w:pPr>
    </w:p>
    <w:p>
      <w:pPr>
        <w:ind w:left="120" w:right="1300"/>
        <w:spacing w:after="0" w:line="242" w:lineRule="auto"/>
        <w:rPr>
          <w:sz w:val="20"/>
          <w:szCs w:val="20"/>
          <w:color w:val="auto"/>
        </w:rPr>
      </w:pPr>
      <w:r>
        <w:rPr>
          <w:rFonts w:ascii="Times New Roman" w:cs="Times New Roman" w:eastAsia="Times New Roman" w:hAnsi="Times New Roman"/>
          <w:sz w:val="19"/>
          <w:szCs w:val="19"/>
          <w:color w:val="231F20"/>
        </w:rPr>
        <w:t>Feng-Ming (Fermi) Wang President &amp; Chief Executive Officer</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Leslie Kohn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Chief Technical Officer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John Young</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Chief Financial Officer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Chan Lee</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Chief Operating Officer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John Ju</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Senior Vice President, Systems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Yun-Lung (Michael) Chen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Vice President, Business Development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Christopher Day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Vice President, Marketing</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005CAB"/>
        </w:rPr>
        <w:t>DIRECTORS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Anne De Greef-Safft</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Former Operating Company President,</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Standex International and Danaher Corp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Hsiao-Wuen Hon</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Corporate VP, Asia-Pacific R&amp;D Group Chairman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Microsoft Corporation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Chenming C. Hu</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TSMC Distinguished Chair Professor Emeritus,</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UC Berkeley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Leslie Kohn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Chief Technical Officer</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Christopher B. Paisley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Dean’s Executive Professor of Accounting,</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Leavey School of Business, Santa Clara University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D. Jeffrey Richardson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Former Executive Vice President &amp; COO,</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LSI Corporation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Elizabeth Schwarting</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Former Vice President,</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Delphi Corporation (now Aptiv)</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Andrew W. Verhalen</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General Partner,</w:t>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Matrix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5CAB"/>
        </w:rPr>
        <w:t>COMMITTEES OF THE BOARD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Audit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Christopher B. Paisley, Chairman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Chenming C. Hu</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 Jeffrey Richardson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Elizabeth Schwarting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Compensation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 Jeffrey Richardson, Chairman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Anne De Greef-Safft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Hsiao-Wuen Hon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Chenming C. Hu</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Nominating and Corporate Governance Committee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Andrew W. Verhalen, Chairman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Anne De Greef-Safft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Christopher B. Paisley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 Jeffrey Richardson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Elizabeth Schwarting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5CAB"/>
        </w:rPr>
        <w:t>STOCK INFORMATION</w:t>
      </w:r>
    </w:p>
    <w:p>
      <w:pPr>
        <w:spacing w:after="0" w:line="15" w:lineRule="exact"/>
        <w:rPr>
          <w:sz w:val="20"/>
          <w:szCs w:val="20"/>
          <w:color w:val="auto"/>
        </w:rPr>
      </w:pPr>
    </w:p>
    <w:p>
      <w:pPr>
        <w:ind w:right="660"/>
        <w:spacing w:after="0" w:line="242" w:lineRule="auto"/>
        <w:rPr>
          <w:sz w:val="20"/>
          <w:szCs w:val="20"/>
          <w:color w:val="auto"/>
        </w:rPr>
      </w:pPr>
      <w:r>
        <w:rPr>
          <w:rFonts w:ascii="Times New Roman" w:cs="Times New Roman" w:eastAsia="Times New Roman" w:hAnsi="Times New Roman"/>
          <w:sz w:val="19"/>
          <w:szCs w:val="19"/>
          <w:color w:val="231F20"/>
        </w:rPr>
        <w:t>Ambarella’s ordinary shares are quoted on the NASDAQ Global Select Market under “AMBA.”</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5CAB"/>
        </w:rPr>
        <w:t>TRANSFER AGENT</w:t>
      </w:r>
    </w:p>
    <w:p>
      <w:pPr>
        <w:spacing w:after="0" w:line="15" w:lineRule="exact"/>
        <w:rPr>
          <w:sz w:val="20"/>
          <w:szCs w:val="20"/>
          <w:color w:val="auto"/>
        </w:rPr>
      </w:pPr>
    </w:p>
    <w:p>
      <w:pPr>
        <w:jc w:val="both"/>
        <w:ind w:right="580"/>
        <w:spacing w:after="0" w:line="247" w:lineRule="auto"/>
        <w:rPr>
          <w:sz w:val="20"/>
          <w:szCs w:val="20"/>
          <w:color w:val="auto"/>
        </w:rPr>
      </w:pPr>
      <w:r>
        <w:rPr>
          <w:rFonts w:ascii="Times New Roman" w:cs="Times New Roman" w:eastAsia="Times New Roman" w:hAnsi="Times New Roman"/>
          <w:sz w:val="19"/>
          <w:szCs w:val="19"/>
          <w:color w:val="231F20"/>
        </w:rPr>
        <w:t>Ambarella’s transfer agent is Computershare Trust Company, N.A. Computershare can be reached by phone at (877) 373-6374 and by mail at</w:t>
      </w:r>
    </w:p>
    <w:p>
      <w:pPr>
        <w:spacing w:after="0" w:line="15" w:lineRule="exact"/>
        <w:rPr>
          <w:sz w:val="20"/>
          <w:szCs w:val="20"/>
          <w:color w:val="auto"/>
        </w:rPr>
      </w:pPr>
    </w:p>
    <w:p>
      <w:pPr>
        <w:ind w:right="1460"/>
        <w:spacing w:after="0" w:line="242" w:lineRule="auto"/>
        <w:rPr>
          <w:sz w:val="20"/>
          <w:szCs w:val="20"/>
          <w:color w:val="auto"/>
        </w:rPr>
      </w:pPr>
      <w:r>
        <w:rPr>
          <w:rFonts w:ascii="Times New Roman" w:cs="Times New Roman" w:eastAsia="Times New Roman" w:hAnsi="Times New Roman"/>
          <w:sz w:val="19"/>
          <w:szCs w:val="19"/>
          <w:color w:val="231F20"/>
        </w:rPr>
        <w:t>P.O. Box 43006, Providence, RI 02940 www.computershare.com</w:t>
      </w:r>
    </w:p>
    <w:p>
      <w:pPr>
        <w:spacing w:after="0" w:line="259"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9"/>
          <w:szCs w:val="19"/>
          <w:color w:val="231F20"/>
        </w:rPr>
        <w:t>Registered shareholders should contact Computershare in the event of a name change or a change of address.</w:t>
      </w:r>
    </w:p>
    <w:p>
      <w:pPr>
        <w:spacing w:after="0" w:line="382" w:lineRule="exact"/>
        <w:rPr>
          <w:sz w:val="20"/>
          <w:szCs w:val="20"/>
          <w:color w:val="auto"/>
        </w:rPr>
      </w:pPr>
    </w:p>
    <w:p>
      <w:pPr>
        <w:ind w:right="680"/>
        <w:spacing w:after="0" w:line="238" w:lineRule="auto"/>
        <w:rPr>
          <w:sz w:val="20"/>
          <w:szCs w:val="20"/>
          <w:color w:val="auto"/>
        </w:rPr>
      </w:pPr>
      <w:r>
        <w:rPr>
          <w:rFonts w:ascii="Times New Roman" w:cs="Times New Roman" w:eastAsia="Times New Roman" w:hAnsi="Times New Roman"/>
          <w:sz w:val="22"/>
          <w:szCs w:val="22"/>
          <w:color w:val="005CAB"/>
        </w:rPr>
        <w:t>INDEPENDENT REGISTERED PUBLIC ACCOUNTING FIRM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PricewaterhouseCoopers LLP, San Jose, CA</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5CAB"/>
        </w:rPr>
        <w:t>ANNUAL MEETING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2024 Annual Meeting of Shareholders will be held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at 9:00 a.m. Pacific Time on June 12, 2024 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Ambarella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3101 Jay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Santa Clara, California</w:t>
      </w:r>
    </w:p>
    <w:p>
      <w:pPr>
        <w:spacing w:after="0" w:line="359" w:lineRule="exact"/>
        <w:rPr>
          <w:sz w:val="20"/>
          <w:szCs w:val="20"/>
          <w:color w:val="auto"/>
        </w:rPr>
      </w:pPr>
    </w:p>
    <w:p>
      <w:pPr>
        <w:sectPr>
          <w:pgSz w:w="12240" w:h="15840" w:orient="portrait"/>
          <w:cols w:equalWidth="0" w:num="2">
            <w:col w:w="4200" w:space="720"/>
            <w:col w:w="4440"/>
          </w:cols>
          <w:pgMar w:left="1440" w:top="1440" w:right="1440" w:bottom="835"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Feng-Ming (Fermi) Wang</w:t>
      </w:r>
    </w:p>
    <w:p>
      <w:pPr>
        <w:sectPr>
          <w:pgSz w:w="12240" w:h="15840" w:orient="portrait"/>
          <w:cols w:equalWidth="0" w:num="1">
            <w:col w:w="9360"/>
          </w:cols>
          <w:pgMar w:left="1440" w:top="1440" w:right="1440" w:bottom="835"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231F20"/>
        </w:rPr>
        <w:t>President &amp; Chief Executive Officer</w:t>
      </w:r>
    </w:p>
    <w:p>
      <w:pPr>
        <w:sectPr>
          <w:pgSz w:w="12240" w:h="15840" w:orient="portrait"/>
          <w:cols w:equalWidth="0" w:num="1">
            <w:col w:w="9360"/>
          </w:cols>
          <w:pgMar w:left="1440" w:top="1440" w:right="1440" w:bottom="835" w:gutter="0" w:footer="0" w:header="0"/>
          <w:type w:val="continuous"/>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3152775</wp:posOffset>
            </wp:positionH>
            <wp:positionV relativeFrom="page">
              <wp:posOffset>6410960</wp:posOffset>
            </wp:positionV>
            <wp:extent cx="1409700" cy="610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extLst>
                    </a:blip>
                    <a:srcRect/>
                    <a:stretch>
                      <a:fillRect/>
                    </a:stretch>
                  </pic:blipFill>
                  <pic:spPr bwMode="auto">
                    <a:xfrm>
                      <a:off x="0" y="0"/>
                      <a:ext cx="1409700" cy="610235"/>
                    </a:xfrm>
                    <a:prstGeom prst="rect">
                      <a:avLst/>
                    </a:prstGeom>
                    <a:noFill/>
                  </pic:spPr>
                </pic:pic>
              </a:graphicData>
            </a:graphic>
          </wp:anchor>
        </w:drawing>
        <w:drawing>
          <wp:anchor simplePos="0" relativeHeight="251657728" behindDoc="1" locked="0" layoutInCell="0" allowOverlap="1">
            <wp:simplePos x="0" y="0"/>
            <wp:positionH relativeFrom="page">
              <wp:posOffset>2833370</wp:posOffset>
            </wp:positionH>
            <wp:positionV relativeFrom="page">
              <wp:posOffset>7130415</wp:posOffset>
            </wp:positionV>
            <wp:extent cx="2105660" cy="332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extLst>
                    </a:blip>
                    <a:srcRect/>
                    <a:stretch>
                      <a:fillRect/>
                    </a:stretch>
                  </pic:blipFill>
                  <pic:spPr bwMode="auto">
                    <a:xfrm>
                      <a:off x="0" y="0"/>
                      <a:ext cx="2105660"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sz w:val="1"/>
          <w:szCs w:val="1"/>
          <w:color w:val="auto"/>
        </w:rPr>
        <w:drawing>
          <wp:inline distT="0" distB="0" distL="0" distR="0">
            <wp:extent cx="127000" cy="1676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extLst>
                    </a:blip>
                    <a:srcRect/>
                    <a:stretch>
                      <a:fillRect/>
                    </a:stretch>
                  </pic:blipFill>
                  <pic:spPr bwMode="auto">
                    <a:xfrm>
                      <a:off x="0" y="0"/>
                      <a:ext cx="127000" cy="167640"/>
                    </a:xfrm>
                    <a:prstGeom prst="rect">
                      <a:avLst/>
                    </a:prstGeom>
                    <a:noFill/>
                    <a:ln>
                      <a:noFill/>
                    </a:ln>
                  </pic:spPr>
                </pic:pic>
              </a:graphicData>
            </a:graphic>
          </wp:inline>
        </w:drawing>
      </w:r>
      <w:r>
        <w:rPr>
          <w:rFonts w:ascii="Arial" w:cs="Arial" w:eastAsia="Arial" w:hAnsi="Arial"/>
          <w:sz w:val="15"/>
          <w:szCs w:val="15"/>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-152400</wp:posOffset>
            </wp:positionV>
            <wp:extent cx="1165225" cy="16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extLst>
                    </a:blip>
                    <a:srcRect/>
                    <a:stretch>
                      <a:fillRect/>
                    </a:stretch>
                  </pic:blipFill>
                  <pic:spPr bwMode="auto">
                    <a:xfrm>
                      <a:off x="0" y="0"/>
                      <a:ext cx="1165225" cy="160020"/>
                    </a:xfrm>
                    <a:prstGeom prst="rect">
                      <a:avLst/>
                    </a:prstGeom>
                    <a:noFill/>
                  </pic:spPr>
                </pic:pic>
              </a:graphicData>
            </a:graphic>
          </wp:anchor>
        </w:drawing>
      </w:r>
    </w:p>
    <w:p>
      <w:pPr>
        <w:sectPr>
          <w:pgSz w:w="12240" w:h="15840" w:orient="portrait"/>
          <w:cols w:equalWidth="0" w:num="1">
            <w:col w:w="9360"/>
          </w:cols>
          <w:pgMar w:left="1440" w:top="1440" w:right="1440" w:bottom="8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3101 Jay Street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231F20"/>
        </w:rPr>
        <w:t>Santa Clara, CA 95054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Tel: (408) 734-8888</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www.ambarella.com</w:t>
      </w:r>
    </w:p>
    <w:sectPr>
      <w:pgSz w:w="12240" w:h="15840" w:orient="portrait"/>
      <w:cols w:equalWidth="0" w:num="1">
        <w:col w:w="9360"/>
      </w:cols>
      <w:pgMar w:left="1440" w:top="1440" w:right="1440" w:bottom="8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4"/>
      <w:numFmt w:val="bullet"/>
      <w:start w:val="1"/>
    </w:lvl>
  </w:abstractNum>
  <w:abstractNum w:abstractNumId="1">
    <w:nsid w:val="62BBD95A"/>
    <w:multiLevelType w:val="hybridMultilevel"/>
    <w:lvl w:ilvl="0">
      <w:lvlJc w:val="left"/>
      <w:lvlText w:val="%5"/>
      <w:numFmt w:val="bullet"/>
      <w:start w:val="1"/>
    </w:lvl>
  </w:abstractNum>
  <w:abstractNum w:abstractNumId="2">
    <w:nsid w:val="436C6125"/>
    <w:multiLevelType w:val="hybridMultilevel"/>
    <w:lvl w:ilvl="0">
      <w:lvlJc w:val="left"/>
      <w:lvlText w:val="•"/>
      <w:numFmt w:val="bullet"/>
      <w:start w:val="1"/>
    </w:lvl>
    <w:lvl w:ilvl="1">
      <w:lvlJc w:val="left"/>
      <w:lvlText w:val="%4"/>
      <w:numFmt w:val="bullet"/>
      <w:start w:val="1"/>
    </w:lvl>
  </w:abstractNum>
  <w:abstractNum w:abstractNumId="3">
    <w:nsid w:val="628C895D"/>
    <w:multiLevelType w:val="hybridMultilevel"/>
    <w:lvl w:ilvl="0">
      <w:lvlJc w:val="left"/>
      <w:lvlText w:val="•"/>
      <w:numFmt w:val="bullet"/>
      <w:start w:val="1"/>
    </w:lvl>
    <w:lvl w:ilvl="1">
      <w:lvlJc w:val="left"/>
      <w:lvlText w:val="•"/>
      <w:numFmt w:val="bullet"/>
      <w:start w:val="1"/>
    </w:lvl>
    <w:lvl w:ilvl="2">
      <w:lvlJc w:val="left"/>
      <w:lvlText w:val="%4"/>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1"/>
    </w:lvl>
  </w:abstractNum>
  <w:abstractNum w:abstractNumId="34">
    <w:nsid w:val="3804823E"/>
    <w:multiLevelType w:val="hybridMultilevel"/>
    <w:lvl w:ilvl="0">
      <w:lvlJc w:val="left"/>
      <w:lvlText w:val="%1."/>
      <w:numFmt w:val="decimal"/>
      <w:start w:val="12"/>
    </w:lvl>
  </w:abstractNum>
  <w:abstractNum w:abstractNumId="35">
    <w:nsid w:val="77465F01"/>
    <w:multiLevelType w:val="hybridMultilevel"/>
    <w:lvl w:ilvl="0">
      <w:lvlJc w:val="left"/>
      <w:lvlText w:val="%1"/>
      <w:numFmt w:val="decimal"/>
      <w:start w:val="10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2024-05-03T16:02:58Z</dcterms:created>
  <dcterms:modified xsi:type="dcterms:W3CDTF">2024-05-03T16:02:58Z</dcterms:modified>
</cp:coreProperties>
</file>