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right="160" w:hanging="559"/>
        <w:spacing w:after="0" w:line="245"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right="140" w:hanging="559"/>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to ______</w:t>
            </w:r>
          </w:p>
        </w:tc>
      </w:tr>
      <w:tr>
        <w:trPr>
          <w:trHeight w:val="345"/>
        </w:trPr>
        <w:tc>
          <w:tcPr>
            <w:tcW w:w="36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Times New Roman" w:cs="Times New Roman" w:eastAsia="Times New Roman" w:hAnsi="Times New Roman"/>
                <w:sz w:val="18"/>
                <w:szCs w:val="18"/>
                <w:b w:val="1"/>
                <w:bCs w:val="1"/>
                <w:color w:val="auto"/>
              </w:rPr>
              <w:t>98-0459628</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9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3101 Jay Street</w:t>
            </w: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Santa Clara, California</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3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36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8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2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5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$0.00045 Par Value Per Share</w:t>
            </w:r>
          </w:p>
        </w:tc>
        <w:tc>
          <w:tcPr>
            <w:tcW w:w="620" w:type="dxa"/>
            <w:vAlign w:val="bottom"/>
            <w:tcBorders>
              <w:bottom w:val="single" w:sz="8" w:color="auto"/>
            </w:tcBorders>
          </w:tcPr>
          <w:p>
            <w:pPr>
              <w:spacing w:after="0"/>
              <w:rPr>
                <w:sz w:val="22"/>
                <w:szCs w:val="22"/>
                <w:color w:val="auto"/>
              </w:rPr>
            </w:pPr>
          </w:p>
        </w:tc>
        <w:tc>
          <w:tcPr>
            <w:tcW w:w="3040" w:type="dxa"/>
            <w:vAlign w:val="bottom"/>
            <w:tcBorders>
              <w:bottom w:val="single" w:sz="8" w:color="auto"/>
              <w:right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9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58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ordinary shares of the Registrant outstanding as of November 30, 2024 was 41,701,953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412"/>
        </w:trPr>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6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at October 31, 2024 and January 31, 2024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0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and nine months ended October 31, 2024 and 2023</w:t>
            </w:r>
          </w:p>
        </w:tc>
        <w:tc>
          <w:tcPr>
            <w:tcW w:w="2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760" w:type="dxa"/>
            <w:vAlign w:val="bottom"/>
          </w:tcPr>
          <w:p>
            <w:pPr>
              <w:spacing w:after="0"/>
              <w:rPr>
                <w:sz w:val="24"/>
                <w:szCs w:val="24"/>
                <w:color w:val="auto"/>
              </w:rPr>
            </w:pPr>
          </w:p>
        </w:tc>
        <w:tc>
          <w:tcPr>
            <w:tcW w:w="91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Loss for the three and nine months ended October 31, 2024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and 2023</w:t>
            </w:r>
          </w:p>
        </w:tc>
        <w:tc>
          <w:tcPr>
            <w:tcW w:w="13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1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Shareholders’ Equity for the three and nine months ended October 31, 2024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91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and 2023</w:t>
            </w:r>
          </w:p>
        </w:tc>
        <w:tc>
          <w:tcPr>
            <w:tcW w:w="13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October 31, 2024 and 2023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760" w:type="dxa"/>
            <w:vAlign w:val="bottom"/>
          </w:tcPr>
          <w:p>
            <w:pPr>
              <w:spacing w:after="0"/>
              <w:rPr>
                <w:sz w:val="24"/>
                <w:szCs w:val="24"/>
                <w:color w:val="auto"/>
              </w:rPr>
            </w:pPr>
          </w:p>
        </w:tc>
        <w:tc>
          <w:tcPr>
            <w:tcW w:w="47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3620" w:type="dxa"/>
            <w:vAlign w:val="bottom"/>
            <w:tcBorders>
              <w:top w:val="single" w:sz="8" w:color="0000FF"/>
            </w:tcBorders>
            <w:gridSpan w:val="3"/>
          </w:tcPr>
          <w:p>
            <w:pPr>
              <w:spacing w:after="0"/>
              <w:rPr>
                <w:sz w:val="24"/>
                <w:szCs w:val="24"/>
                <w:color w:val="auto"/>
              </w:rPr>
            </w:pPr>
          </w:p>
        </w:tc>
        <w:tc>
          <w:tcPr>
            <w:tcW w:w="720" w:type="dxa"/>
            <w:vAlign w:val="bottom"/>
            <w:gridSpan w:val="3"/>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00" w:type="dxa"/>
            <w:vAlign w:val="bottom"/>
            <w:gridSpan w:val="5"/>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0" w:type="dxa"/>
            <w:vAlign w:val="bottom"/>
            <w:tcBorders>
              <w:top w:val="single" w:sz="8" w:color="0000FF"/>
              <w:bottom w:val="single" w:sz="8" w:color="0000EE"/>
            </w:tcBorders>
          </w:tcPr>
          <w:p>
            <w:pPr>
              <w:spacing w:after="0"/>
              <w:rPr>
                <w:sz w:val="24"/>
                <w:szCs w:val="24"/>
                <w:color w:val="auto"/>
              </w:rPr>
            </w:pPr>
          </w:p>
        </w:tc>
        <w:tc>
          <w:tcPr>
            <w:tcW w:w="2560" w:type="dxa"/>
            <w:vAlign w:val="bottom"/>
            <w:tcBorders>
              <w:top w:val="single" w:sz="8" w:color="0000FF"/>
            </w:tcBorders>
            <w:gridSpan w:val="3"/>
          </w:tcPr>
          <w:p>
            <w:pPr>
              <w:spacing w:after="0"/>
              <w:rPr>
                <w:sz w:val="24"/>
                <w:szCs w:val="24"/>
                <w:color w:val="auto"/>
              </w:rPr>
            </w:pPr>
          </w:p>
        </w:tc>
        <w:tc>
          <w:tcPr>
            <w:tcW w:w="4800" w:type="dxa"/>
            <w:vAlign w:val="bottom"/>
            <w:gridSpan w:val="8"/>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9"/>
        </w:trPr>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140" w:type="dxa"/>
            <w:vAlign w:val="bottom"/>
            <w:gridSpan w:val="10"/>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820" w:type="dxa"/>
            <w:vAlign w:val="bottom"/>
            <w:gridSpan w:val="14"/>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7840" w:type="dxa"/>
            <w:vAlign w:val="bottom"/>
            <w:gridSpan w:val="15"/>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840" w:type="dxa"/>
            <w:vAlign w:val="bottom"/>
            <w:gridSpan w:val="15"/>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560" w:type="dxa"/>
            <w:vAlign w:val="bottom"/>
            <w:gridSpan w:val="18"/>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318"/>
        </w:trPr>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7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4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85"/>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99,402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670,789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106,870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116,494</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Preference shares, $0.00045 par value per share, 20,000,000 shares authorized and no shares issued</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outstanding at October 31, 2024 and January 31, 2024, respectively</w:t>
            </w:r>
          </w:p>
        </w:tc>
        <w:tc>
          <w:tcPr>
            <w:tcW w:w="280" w:type="dxa"/>
            <w:vAlign w:val="bottom"/>
          </w:tcPr>
          <w:p>
            <w:pPr>
              <w:spacing w:after="0"/>
              <w:rPr>
                <w:sz w:val="20"/>
                <w:szCs w:val="20"/>
                <w:color w:val="auto"/>
              </w:rPr>
            </w:pPr>
          </w:p>
        </w:tc>
        <w:tc>
          <w:tcPr>
            <w:tcW w:w="16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Ordinary shares, $0.00045 par value per share, 200,000,000 shares authorized; 41,670,716 and</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40,520,558 shares issued and outstanding at October 31, 2024 and January 31, 2024, respectively</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(297 )</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(231,823 )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(134,931 )</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554,295</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559,871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670,789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-4088130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-3256915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56"/>
        </w:trPr>
        <w:tc>
          <w:tcPr>
            <w:tcW w:w="60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09"/>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82,653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50,595</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200,850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174,858</w:t>
            </w:r>
          </w:p>
        </w:tc>
        <w:tc>
          <w:tcPr>
            <w:tcW w:w="100" w:type="dxa"/>
            <w:vAlign w:val="bottom"/>
            <w:shd w:val="clear" w:color="auto" w:fill="CFF0FC"/>
          </w:tcPr>
          <w:p>
            <w:pPr>
              <w:spacing w:after="0"/>
              <w:rPr>
                <w:sz w:val="18"/>
                <w:szCs w:val="18"/>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78,901</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68,894</w:t>
            </w:r>
          </w:p>
        </w:tc>
        <w:tc>
          <w:tcPr>
            <w:tcW w:w="100" w:type="dxa"/>
            <w:vAlign w:val="bottom"/>
          </w:tcPr>
          <w:p>
            <w:pPr>
              <w:spacing w:after="0"/>
              <w:rPr>
                <w:sz w:val="19"/>
                <w:szCs w:val="19"/>
                <w:color w:val="auto"/>
              </w:rPr>
            </w:pPr>
          </w:p>
        </w:tc>
      </w:tr>
      <w:tr>
        <w:trPr>
          <w:trHeight w:val="209"/>
        </w:trPr>
        <w:tc>
          <w:tcPr>
            <w:tcW w:w="6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121,949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105,964</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-7620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169,286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163,060</w:t>
            </w:r>
          </w:p>
        </w:tc>
        <w:tc>
          <w:tcPr>
            <w:tcW w:w="60" w:type="dxa"/>
            <w:vAlign w:val="bottom"/>
          </w:tcPr>
          <w:p>
            <w:pPr>
              <w:spacing w:after="0"/>
              <w:rPr>
                <w:sz w:val="19"/>
                <w:szCs w:val="19"/>
                <w:color w:val="auto"/>
              </w:rPr>
            </w:pPr>
          </w:p>
        </w:tc>
      </w:tr>
      <w:tr>
        <w:trPr>
          <w:trHeight w:val="234"/>
        </w:trPr>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60" w:type="dxa"/>
            <w:vAlign w:val="bottom"/>
          </w:tcPr>
          <w:p>
            <w:pPr>
              <w:spacing w:after="0"/>
              <w:rPr>
                <w:sz w:val="20"/>
                <w:szCs w:val="20"/>
                <w:color w:val="auto"/>
              </w:rPr>
            </w:pPr>
          </w:p>
        </w:tc>
      </w:tr>
      <w:tr>
        <w:trPr>
          <w:trHeight w:val="210"/>
        </w:trPr>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223,191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218,810</w:t>
            </w:r>
          </w:p>
        </w:tc>
        <w:tc>
          <w:tcPr>
            <w:tcW w:w="60" w:type="dxa"/>
            <w:vAlign w:val="bottom"/>
          </w:tcPr>
          <w:p>
            <w:pPr>
              <w:spacing w:after="0"/>
              <w:rPr>
                <w:sz w:val="18"/>
                <w:szCs w:val="18"/>
                <w:color w:val="auto"/>
              </w:rPr>
            </w:pPr>
          </w:p>
        </w:tc>
      </w:tr>
      <w:tr>
        <w:trPr>
          <w:trHeight w:val="218"/>
        </w:trPr>
        <w:tc>
          <w:tcPr>
            <w:tcW w:w="320" w:type="dxa"/>
            <w:vAlign w:val="bottom"/>
          </w:tcPr>
          <w:p>
            <w:pPr>
              <w:spacing w:after="0"/>
              <w:rPr>
                <w:sz w:val="18"/>
                <w:szCs w:val="18"/>
                <w:color w:val="auto"/>
              </w:rPr>
            </w:pP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(25,510 )</w:t>
            </w:r>
          </w:p>
        </w:tc>
        <w:tc>
          <w:tcPr>
            <w:tcW w:w="30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(41,965 )</w:t>
            </w:r>
          </w:p>
        </w:tc>
        <w:tc>
          <w:tcPr>
            <w:tcW w:w="26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(101,242 )</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(112,846 )</w:t>
            </w:r>
          </w:p>
        </w:tc>
      </w:tr>
      <w:tr>
        <w:trPr>
          <w:trHeight w:val="234"/>
        </w:trPr>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60" w:type="dxa"/>
            <w:vAlign w:val="bottom"/>
          </w:tcPr>
          <w:p>
            <w:pPr>
              <w:spacing w:after="0"/>
              <w:rPr>
                <w:sz w:val="20"/>
                <w:szCs w:val="20"/>
                <w:color w:val="auto"/>
              </w:rPr>
            </w:pPr>
          </w:p>
        </w:tc>
      </w:tr>
      <w:tr>
        <w:trPr>
          <w:trHeight w:val="218"/>
        </w:trPr>
        <w:tc>
          <w:tcPr>
            <w:tcW w:w="320" w:type="dxa"/>
            <w:vAlign w:val="bottom"/>
          </w:tcPr>
          <w:p>
            <w:pPr>
              <w:spacing w:after="0"/>
              <w:rPr>
                <w:sz w:val="18"/>
                <w:szCs w:val="18"/>
                <w:color w:val="auto"/>
              </w:rPr>
            </w:pP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(23,419 )</w:t>
            </w:r>
          </w:p>
        </w:tc>
        <w:tc>
          <w:tcPr>
            <w:tcW w:w="30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(40,065 )</w:t>
            </w:r>
          </w:p>
        </w:tc>
        <w:tc>
          <w:tcPr>
            <w:tcW w:w="26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(94,735 )</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(108,923 )</w:t>
            </w:r>
          </w:p>
        </w:tc>
      </w:tr>
      <w:tr>
        <w:trPr>
          <w:trHeight w:val="234"/>
        </w:trPr>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09"/>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(24,071</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(96,892</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-1199515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-908050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-607695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-307975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5300" w:space="720"/>
            <w:col w:w="522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(2.74 )</w:t>
            </w:r>
          </w:p>
        </w:tc>
      </w:tr>
      <w:tr>
        <w:trPr>
          <w:trHeight w:val="20"/>
        </w:trPr>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2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(0.58 )</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(1.04 )</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(2.36 )</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(2.74 )</w:t>
            </w:r>
          </w:p>
        </w:tc>
      </w:tr>
      <w:tr>
        <w:trPr>
          <w:trHeight w:val="178"/>
        </w:trPr>
        <w:tc>
          <w:tcPr>
            <w:tcW w:w="602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w:t>
            </w: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shareholders: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6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41,479,459</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40,053,251</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41,128,068</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39,710,248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60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41,479,459</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40,053,251</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41,128,068</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39,710,248</w:t>
            </w:r>
          </w:p>
        </w:tc>
        <w:tc>
          <w:tcPr>
            <w:tcW w:w="10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-624840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-608330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-624840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-608330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-624840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-608330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-187960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0" w:type="dxa"/>
            <w:vAlign w:val="bottom"/>
          </w:tcPr>
          <w:p>
            <w:pPr>
              <w:spacing w:after="0"/>
              <w:rPr>
                <w:sz w:val="15"/>
                <w:szCs w:val="15"/>
                <w:color w:val="auto"/>
              </w:rPr>
            </w:pPr>
          </w:p>
        </w:tc>
        <w:tc>
          <w:tcPr>
            <w:tcW w:w="24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56"/>
        </w:trPr>
        <w:tc>
          <w:tcPr>
            <w:tcW w:w="58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(24,071 )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(41,710 )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(96,892 )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(108,810 )</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losses on investments</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(132 )</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(289 )</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(114 )</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(727 )</w:t>
            </w: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(132 )</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(289 )</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(114 )</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(727 )</w:t>
            </w: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(24,203 )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(41,999 )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(97,006 )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(109,537 )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-325120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-325120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-325120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920" w:type="dxa"/>
            <w:vAlign w:val="bottom"/>
            <w:gridSpan w:val="3"/>
          </w:tcPr>
          <w:p>
            <w:pPr>
              <w:jc w:val="center"/>
              <w:ind w:left="129"/>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308"/>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1920" w:type="dxa"/>
            <w:vAlign w:val="bottom"/>
            <w:tcBorders>
              <w:bottom w:val="single" w:sz="8" w:color="auto"/>
            </w:tcBorders>
            <w:gridSpan w:val="3"/>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8"/>
              </w:rPr>
              <w:t>Ordinary Shares</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3"/>
                <w:szCs w:val="13"/>
                <w:color w:val="auto"/>
              </w:rPr>
            </w:pPr>
          </w:p>
        </w:tc>
        <w:tc>
          <w:tcPr>
            <w:tcW w:w="1080" w:type="dxa"/>
            <w:vAlign w:val="bottom"/>
            <w:gridSpan w:val="3"/>
          </w:tcPr>
          <w:p>
            <w:pPr>
              <w:jc w:val="center"/>
              <w:ind w:right="128"/>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100" w:type="dxa"/>
            <w:vAlign w:val="bottom"/>
            <w:gridSpan w:val="3"/>
            <w:vMerge w:val="restart"/>
          </w:tcPr>
          <w:p>
            <w:pPr>
              <w:jc w:val="center"/>
              <w:ind w:right="168"/>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9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Balance--January 31, 2024</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40,520,558</w:t>
            </w:r>
          </w:p>
        </w:tc>
        <w:tc>
          <w:tcPr>
            <w:tcW w:w="960" w:type="dxa"/>
            <w:vAlign w:val="bottom"/>
            <w:gridSpan w:val="2"/>
            <w:shd w:val="clear" w:color="auto" w:fill="CFF0FC"/>
          </w:tcPr>
          <w:p>
            <w:pPr>
              <w:jc w:val="right"/>
              <w:ind w:right="55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694,967</w:t>
            </w:r>
          </w:p>
        </w:tc>
        <w:tc>
          <w:tcPr>
            <w:tcW w:w="40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(183 )</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(134,931 )</w:t>
            </w:r>
          </w:p>
        </w:tc>
        <w:tc>
          <w:tcPr>
            <w:tcW w:w="2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559,871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367,413</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97,074</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loss - net of tax</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(389 )</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(389 )</w:t>
            </w:r>
          </w:p>
        </w:tc>
        <w:tc>
          <w:tcPr>
            <w:tcW w:w="0" w:type="dxa"/>
            <w:vAlign w:val="bottom"/>
          </w:tcPr>
          <w:p>
            <w:pPr>
              <w:spacing w:after="0"/>
              <w:rPr>
                <w:sz w:val="1"/>
                <w:szCs w:val="1"/>
                <w:color w:val="auto"/>
              </w:rPr>
            </w:pPr>
          </w:p>
        </w:tc>
      </w:tr>
      <w:tr>
        <w:trPr>
          <w:trHeight w:val="148"/>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(37,932 )</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(37,932 )</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Balance--April 30, 2024</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40,985,045</w:t>
            </w:r>
          </w:p>
        </w:tc>
        <w:tc>
          <w:tcPr>
            <w:tcW w:w="2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728,842</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(572</w:t>
            </w:r>
          </w:p>
        </w:tc>
        <w:tc>
          <w:tcPr>
            <w:tcW w:w="200" w:type="dxa"/>
            <w:vAlign w:val="bottom"/>
            <w:tcBorders>
              <w:bottom w:val="single" w:sz="8" w:color="CFF0FC"/>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(172,863</w:t>
            </w:r>
          </w:p>
        </w:tc>
        <w:tc>
          <w:tcPr>
            <w:tcW w:w="220" w:type="dxa"/>
            <w:vAlign w:val="bottom"/>
            <w:tcBorders>
              <w:bottom w:val="single" w:sz="8" w:color="CFF0FC"/>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555,425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20" w:type="dxa"/>
            <w:vAlign w:val="bottom"/>
          </w:tcPr>
          <w:p>
            <w:pPr>
              <w:ind w:left="200"/>
              <w:spacing w:after="0" w:line="12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287,626</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1,014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25,593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gain - net of tax</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(34,889 )</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(34,889 )</w:t>
            </w:r>
          </w:p>
        </w:tc>
        <w:tc>
          <w:tcPr>
            <w:tcW w:w="0" w:type="dxa"/>
            <w:vAlign w:val="bottom"/>
          </w:tcPr>
          <w:p>
            <w:pPr>
              <w:spacing w:after="0"/>
              <w:rPr>
                <w:sz w:val="1"/>
                <w:szCs w:val="1"/>
                <w:color w:val="auto"/>
              </w:rPr>
            </w:pPr>
          </w:p>
        </w:tc>
      </w:tr>
      <w:tr>
        <w:trPr>
          <w:trHeight w:val="142"/>
        </w:trPr>
        <w:tc>
          <w:tcPr>
            <w:tcW w:w="462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Balance--July 31, 2024</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41,272,671</w:t>
            </w:r>
          </w:p>
        </w:tc>
        <w:tc>
          <w:tcPr>
            <w:tcW w:w="240" w:type="dxa"/>
            <w:vAlign w:val="bottom"/>
            <w:tcBorders>
              <w:top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755,449</w:t>
            </w: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(165</w:t>
            </w:r>
          </w:p>
        </w:tc>
        <w:tc>
          <w:tcPr>
            <w:tcW w:w="200" w:type="dxa"/>
            <w:vAlign w:val="bottom"/>
            <w:tcBorders>
              <w:top w:val="single" w:sz="8" w:color="CFF0FC"/>
              <w:bottom w:val="single" w:sz="8" w:color="CFF0FC"/>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(207,752</w:t>
            </w:r>
          </w:p>
        </w:tc>
        <w:tc>
          <w:tcPr>
            <w:tcW w:w="220" w:type="dxa"/>
            <w:vAlign w:val="bottom"/>
            <w:tcBorders>
              <w:top w:val="single" w:sz="8" w:color="CFF0FC"/>
              <w:bottom w:val="single" w:sz="8" w:color="CFF0FC"/>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547,551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2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302,783</w:t>
            </w: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1,756</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1,756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95,262</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25,211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loss - net of tax</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(132 )</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(24,071 )</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(24,071 )</w:t>
            </w:r>
          </w:p>
        </w:tc>
        <w:tc>
          <w:tcPr>
            <w:tcW w:w="0" w:type="dxa"/>
            <w:vAlign w:val="bottom"/>
          </w:tcPr>
          <w:p>
            <w:pPr>
              <w:spacing w:after="0"/>
              <w:rPr>
                <w:sz w:val="1"/>
                <w:szCs w:val="1"/>
                <w:color w:val="auto"/>
              </w:rPr>
            </w:pPr>
          </w:p>
        </w:tc>
      </w:tr>
      <w:tr>
        <w:trPr>
          <w:trHeight w:val="142"/>
        </w:trPr>
        <w:tc>
          <w:tcPr>
            <w:tcW w:w="462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Balance--October 31, 2024</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41,670,716</w:t>
            </w:r>
          </w:p>
        </w:tc>
        <w:tc>
          <w:tcPr>
            <w:tcW w:w="240" w:type="dxa"/>
            <w:vAlign w:val="bottom"/>
            <w:tcBorders>
              <w:top w:val="single" w:sz="8" w:color="CFF0FC"/>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552"/>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786,396</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3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(297</w:t>
            </w:r>
          </w:p>
        </w:tc>
        <w:tc>
          <w:tcPr>
            <w:tcW w:w="200" w:type="dxa"/>
            <w:vAlign w:val="bottom"/>
            <w:tcBorders>
              <w:top w:val="single" w:sz="8" w:color="CFF0FC"/>
              <w:bottom w:val="single" w:sz="8" w:color="CFF0FC"/>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(231,823</w:t>
            </w:r>
          </w:p>
        </w:tc>
        <w:tc>
          <w:tcPr>
            <w:tcW w:w="220" w:type="dxa"/>
            <w:vAlign w:val="bottom"/>
            <w:tcBorders>
              <w:top w:val="single" w:sz="8" w:color="CFF0FC"/>
              <w:bottom w:val="single" w:sz="8" w:color="CFF0FC"/>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554,295</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620" w:type="dxa"/>
            <w:vAlign w:val="bottom"/>
          </w:tcPr>
          <w:p>
            <w:pPr>
              <w:spacing w:after="0"/>
              <w:rPr>
                <w:sz w:val="14"/>
                <w:szCs w:val="14"/>
                <w:color w:val="auto"/>
              </w:rPr>
            </w:pPr>
          </w:p>
        </w:tc>
        <w:tc>
          <w:tcPr>
            <w:tcW w:w="1920" w:type="dxa"/>
            <w:vAlign w:val="bottom"/>
            <w:gridSpan w:val="3"/>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8"/>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960" w:type="dxa"/>
            <w:vAlign w:val="bottom"/>
            <w:gridSpan w:val="2"/>
            <w:vMerge w:val="restart"/>
          </w:tcPr>
          <w:p>
            <w:pPr>
              <w:jc w:val="center"/>
              <w:ind w:right="308"/>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4620" w:type="dxa"/>
            <w:vAlign w:val="bottom"/>
          </w:tcPr>
          <w:p>
            <w:pPr>
              <w:spacing w:after="0"/>
              <w:rPr>
                <w:sz w:val="9"/>
                <w:szCs w:val="9"/>
                <w:color w:val="auto"/>
              </w:rPr>
            </w:pPr>
          </w:p>
        </w:tc>
        <w:tc>
          <w:tcPr>
            <w:tcW w:w="1920" w:type="dxa"/>
            <w:vAlign w:val="bottom"/>
            <w:gridSpan w:val="3"/>
            <w:vMerge w:val="restart"/>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w w:val="98"/>
              </w:rPr>
              <w:t>Ordinary Shares</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92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9"/>
              <w:spacing w:after="0" w:line="14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2"/>
                <w:szCs w:val="12"/>
                <w:color w:val="auto"/>
              </w:rPr>
            </w:pPr>
          </w:p>
        </w:tc>
        <w:tc>
          <w:tcPr>
            <w:tcW w:w="1080" w:type="dxa"/>
            <w:vAlign w:val="bottom"/>
            <w:gridSpan w:val="3"/>
          </w:tcPr>
          <w:p>
            <w:pPr>
              <w:jc w:val="center"/>
              <w:ind w:right="128"/>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2"/>
                <w:szCs w:val="12"/>
                <w:color w:val="auto"/>
              </w:rPr>
            </w:pPr>
          </w:p>
        </w:tc>
        <w:tc>
          <w:tcPr>
            <w:tcW w:w="960" w:type="dxa"/>
            <w:vAlign w:val="bottom"/>
            <w:gridSpan w:val="2"/>
          </w:tcPr>
          <w:p>
            <w:pPr>
              <w:jc w:val="center"/>
              <w:ind w:right="268"/>
              <w:spacing w:after="0" w:line="142"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3"/>
          </w:tcPr>
          <w:p>
            <w:pPr>
              <w:jc w:val="center"/>
              <w:ind w:right="168"/>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Balance--January 31, 2023</w:t>
            </w:r>
          </w:p>
        </w:tc>
        <w:tc>
          <w:tcPr>
            <w:tcW w:w="9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08"/>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Pr>
          <w:p>
            <w:pPr>
              <w:spacing w:after="0"/>
              <w:rPr>
                <w:sz w:val="13"/>
                <w:szCs w:val="13"/>
                <w:color w:val="auto"/>
              </w:rPr>
            </w:pPr>
          </w:p>
        </w:tc>
        <w:tc>
          <w:tcPr>
            <w:tcW w:w="960" w:type="dxa"/>
            <w:vAlign w:val="bottom"/>
            <w:gridSpan w:val="2"/>
          </w:tcPr>
          <w:p>
            <w:pPr>
              <w:jc w:val="center"/>
              <w:ind w:right="288"/>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39,043,000</w:t>
            </w:r>
          </w:p>
        </w:tc>
        <w:tc>
          <w:tcPr>
            <w:tcW w:w="240" w:type="dxa"/>
            <w:vAlign w:val="bottom"/>
          </w:tcPr>
          <w:p>
            <w:pPr>
              <w:spacing w:after="0"/>
              <w:rPr>
                <w:sz w:val="12"/>
                <w:szCs w:val="12"/>
                <w:color w:val="auto"/>
              </w:rPr>
            </w:pPr>
          </w:p>
        </w:tc>
        <w:tc>
          <w:tcPr>
            <w:tcW w:w="720" w:type="dxa"/>
            <w:vAlign w:val="bottom"/>
            <w:tcBorders>
              <w:top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572,076</w:t>
            </w:r>
          </w:p>
        </w:tc>
        <w:tc>
          <w:tcPr>
            <w:tcW w:w="220" w:type="dxa"/>
            <w:vAlign w:val="bottom"/>
          </w:tcPr>
          <w:p>
            <w:pPr>
              <w:spacing w:after="0"/>
              <w:rPr>
                <w:sz w:val="12"/>
                <w:szCs w:val="12"/>
                <w:color w:val="auto"/>
              </w:rPr>
            </w:pPr>
          </w:p>
        </w:tc>
        <w:tc>
          <w:tcPr>
            <w:tcW w:w="18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(492</w:t>
            </w:r>
          </w:p>
        </w:tc>
        <w:tc>
          <w:tcPr>
            <w:tcW w:w="2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34,486</w:t>
            </w:r>
          </w:p>
        </w:tc>
        <w:tc>
          <w:tcPr>
            <w:tcW w:w="220" w:type="dxa"/>
            <w:vAlign w:val="bottom"/>
          </w:tcPr>
          <w:p>
            <w:pPr>
              <w:spacing w:after="0"/>
              <w:rPr>
                <w:sz w:val="12"/>
                <w:szCs w:val="12"/>
                <w:color w:val="auto"/>
              </w:rPr>
            </w:pPr>
          </w:p>
        </w:tc>
        <w:tc>
          <w:tcPr>
            <w:tcW w:w="20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606,088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467,996</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5,198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80,207</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26,249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gain - net of tax</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(35,902 )</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(35,902 )</w:t>
            </w:r>
          </w:p>
        </w:tc>
        <w:tc>
          <w:tcPr>
            <w:tcW w:w="0" w:type="dxa"/>
            <w:vAlign w:val="bottom"/>
          </w:tcPr>
          <w:p>
            <w:pPr>
              <w:spacing w:after="0"/>
              <w:rPr>
                <w:sz w:val="1"/>
                <w:szCs w:val="1"/>
                <w:color w:val="auto"/>
              </w:rPr>
            </w:pPr>
          </w:p>
        </w:tc>
      </w:tr>
      <w:tr>
        <w:trPr>
          <w:trHeight w:val="142"/>
        </w:trPr>
        <w:tc>
          <w:tcPr>
            <w:tcW w:w="462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Balance--April 30, 2023</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39,591,203</w:t>
            </w:r>
          </w:p>
        </w:tc>
        <w:tc>
          <w:tcPr>
            <w:tcW w:w="240" w:type="dxa"/>
            <w:vAlign w:val="bottom"/>
            <w:tcBorders>
              <w:top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607,971</w:t>
            </w: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(382</w:t>
            </w:r>
          </w:p>
        </w:tc>
        <w:tc>
          <w:tcPr>
            <w:tcW w:w="200" w:type="dxa"/>
            <w:vAlign w:val="bottom"/>
            <w:tcBorders>
              <w:top w:val="single" w:sz="8" w:color="CFF0FC"/>
              <w:bottom w:val="single" w:sz="8" w:color="CFF0FC"/>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(1,416</w:t>
            </w:r>
          </w:p>
        </w:tc>
        <w:tc>
          <w:tcPr>
            <w:tcW w:w="220" w:type="dxa"/>
            <w:vAlign w:val="bottom"/>
            <w:tcBorders>
              <w:top w:val="single" w:sz="8" w:color="CFF0FC"/>
              <w:bottom w:val="single" w:sz="8" w:color="CFF0FC"/>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606,191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20" w:type="dxa"/>
            <w:vAlign w:val="bottom"/>
            <w:shd w:val="clear" w:color="auto" w:fill="CFF0FC"/>
          </w:tcPr>
          <w:p>
            <w:pPr>
              <w:ind w:left="200"/>
              <w:spacing w:after="0" w:line="12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279,568</w:t>
            </w: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553</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27,320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loss - net of tax</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(548 )</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(548 )</w:t>
            </w:r>
          </w:p>
        </w:tc>
        <w:tc>
          <w:tcPr>
            <w:tcW w:w="0" w:type="dxa"/>
            <w:vAlign w:val="bottom"/>
          </w:tcPr>
          <w:p>
            <w:pPr>
              <w:spacing w:after="0"/>
              <w:rPr>
                <w:sz w:val="1"/>
                <w:szCs w:val="1"/>
                <w:color w:val="auto"/>
              </w:rPr>
            </w:pPr>
          </w:p>
        </w:tc>
      </w:tr>
      <w:tr>
        <w:trPr>
          <w:trHeight w:val="149"/>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(31,198 )</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(31,198 )</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Balance--July 31, 2023</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39,870,771</w:t>
            </w:r>
          </w:p>
        </w:tc>
        <w:tc>
          <w:tcPr>
            <w:tcW w:w="2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635,844</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(930</w:t>
            </w:r>
          </w:p>
        </w:tc>
        <w:tc>
          <w:tcPr>
            <w:tcW w:w="200" w:type="dxa"/>
            <w:vAlign w:val="bottom"/>
            <w:tcBorders>
              <w:bottom w:val="single" w:sz="8" w:color="CFF0FC"/>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(32,614</w:t>
            </w:r>
          </w:p>
        </w:tc>
        <w:tc>
          <w:tcPr>
            <w:tcW w:w="220" w:type="dxa"/>
            <w:vAlign w:val="bottom"/>
            <w:tcBorders>
              <w:bottom w:val="single" w:sz="8" w:color="CFF0FC"/>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602,318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20" w:type="dxa"/>
            <w:vAlign w:val="bottom"/>
          </w:tcPr>
          <w:p>
            <w:pPr>
              <w:ind w:left="200"/>
              <w:spacing w:after="0" w:line="12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286,684</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334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6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71,812</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3,486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27,649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comprehensive loss - net of tax</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(289 )</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(289 )</w:t>
            </w:r>
          </w:p>
        </w:tc>
        <w:tc>
          <w:tcPr>
            <w:tcW w:w="0" w:type="dxa"/>
            <w:vAlign w:val="bottom"/>
          </w:tcPr>
          <w:p>
            <w:pPr>
              <w:spacing w:after="0"/>
              <w:rPr>
                <w:sz w:val="1"/>
                <w:szCs w:val="1"/>
                <w:color w:val="auto"/>
              </w:rPr>
            </w:pPr>
          </w:p>
        </w:tc>
      </w:tr>
      <w:tr>
        <w:trPr>
          <w:trHeight w:val="148"/>
        </w:trPr>
        <w:tc>
          <w:tcPr>
            <w:tcW w:w="46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(41,710 )</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(41,710 )</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Balance--October 31, 2023</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40,229,267</w:t>
            </w:r>
          </w:p>
        </w:tc>
        <w:tc>
          <w:tcPr>
            <w:tcW w:w="2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ind w:right="552"/>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667,313</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3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(1,219</w:t>
            </w:r>
          </w:p>
        </w:tc>
        <w:tc>
          <w:tcPr>
            <w:tcW w:w="200" w:type="dxa"/>
            <w:vAlign w:val="bottom"/>
            <w:tcBorders>
              <w:bottom w:val="single" w:sz="8" w:color="CFF0FC"/>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(74,324</w:t>
            </w:r>
          </w:p>
        </w:tc>
        <w:tc>
          <w:tcPr>
            <w:tcW w:w="220" w:type="dxa"/>
            <w:vAlign w:val="bottom"/>
            <w:tcBorders>
              <w:bottom w:val="single" w:sz="8" w:color="CFF0FC"/>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591,788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-3599815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-3582670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-3599815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-3582670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-3599815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-3582670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-3599815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-3582670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-3599815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-3582670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-3196590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-3196590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-3196590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-3196590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-3196590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-2596515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-2596515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-2596515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-2596515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-2596515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-1233805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-1233805</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-1233805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-1233805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-1233805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-624840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-607695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-624840</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-607695</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-624840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-607695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-624840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-607695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-624840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-607695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34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42"/>
        </w:trPr>
        <w:tc>
          <w:tcPr>
            <w:tcW w:w="77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9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(96,892 )</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(108,810 )</w:t>
            </w:r>
          </w:p>
        </w:tc>
      </w:tr>
      <w:tr>
        <w:trPr>
          <w:trHeight w:val="20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19,234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18,402</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(491 )</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(957 )</w:t>
            </w: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Stock-based compensation</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80,495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82,796</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 non-cash items, net</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(2,610 )</w:t>
            </w:r>
          </w:p>
        </w:tc>
      </w:tr>
      <w:tr>
        <w:trPr>
          <w:trHeight w:val="203"/>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receivable</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(9,017 )</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29,019</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Inventories</w:t>
            </w:r>
          </w:p>
        </w:tc>
        <w:tc>
          <w:tcPr>
            <w:tcW w:w="9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(7,373 )</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9,703</w:t>
            </w:r>
          </w:p>
        </w:tc>
        <w:tc>
          <w:tcPr>
            <w:tcW w:w="100" w:type="dxa"/>
            <w:vAlign w:val="bottom"/>
          </w:tcPr>
          <w:p>
            <w:pPr>
              <w:spacing w:after="0"/>
              <w:rPr>
                <w:sz w:val="17"/>
                <w:szCs w:val="17"/>
                <w:color w:val="auto"/>
              </w:rPr>
            </w:pPr>
          </w:p>
        </w:tc>
      </w:tr>
      <w:tr>
        <w:trPr>
          <w:trHeight w:val="202"/>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(293 )</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1,539</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non-current assets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(3,282 )</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(8,553 )</w:t>
            </w: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25,332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6,938</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Income taxes payable</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(703 )</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(1,721 )</w:t>
            </w: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Deferred revenue</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(2,937 )</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(2,940 )</w:t>
            </w:r>
          </w:p>
        </w:tc>
      </w:tr>
      <w:tr>
        <w:trPr>
          <w:trHeight w:val="203"/>
        </w:trPr>
        <w:tc>
          <w:tcPr>
            <w:tcW w:w="77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(26 )</w:t>
            </w:r>
          </w:p>
        </w:tc>
      </w:tr>
      <w:tr>
        <w:trPr>
          <w:trHeight w:val="196"/>
        </w:trPr>
        <w:tc>
          <w:tcPr>
            <w:tcW w:w="77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8,406</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 of investments</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(57,343 )</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(34,433 )</w:t>
            </w:r>
          </w:p>
        </w:tc>
      </w:tr>
      <w:tr>
        <w:trPr>
          <w:trHeight w:val="202"/>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Sales of investments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17,866</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5,222</w:t>
            </w:r>
          </w:p>
        </w:tc>
        <w:tc>
          <w:tcPr>
            <w:tcW w:w="100" w:type="dxa"/>
            <w:vAlign w:val="bottom"/>
          </w:tcPr>
          <w:p>
            <w:pPr>
              <w:spacing w:after="0"/>
              <w:rPr>
                <w:sz w:val="17"/>
                <w:szCs w:val="17"/>
                <w:color w:val="auto"/>
              </w:rPr>
            </w:pPr>
          </w:p>
        </w:tc>
      </w:tr>
      <w:tr>
        <w:trPr>
          <w:trHeight w:val="24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15,613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44,310</w:t>
            </w:r>
          </w:p>
        </w:tc>
        <w:tc>
          <w:tcPr>
            <w:tcW w:w="100" w:type="dxa"/>
            <w:vAlign w:val="bottom"/>
            <w:shd w:val="clear" w:color="auto" w:fill="CFF0FC"/>
          </w:tcPr>
          <w:p>
            <w:pPr>
              <w:spacing w:after="0"/>
              <w:rPr>
                <w:sz w:val="21"/>
                <w:szCs w:val="21"/>
                <w:color w:val="auto"/>
              </w:rPr>
            </w:pPr>
          </w:p>
        </w:tc>
      </w:tr>
      <w:tr>
        <w:trPr>
          <w:trHeight w:val="202"/>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9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(6,196 )</w:t>
            </w:r>
          </w:p>
        </w:tc>
        <w:tc>
          <w:tcPr>
            <w:tcW w:w="36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(10,047 )</w:t>
            </w:r>
          </w:p>
        </w:tc>
      </w:tr>
      <w:tr>
        <w:trPr>
          <w:trHeight w:val="20"/>
        </w:trPr>
        <w:tc>
          <w:tcPr>
            <w:tcW w:w="7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9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(30,060 )</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5,052</w:t>
            </w:r>
          </w:p>
        </w:tc>
        <w:tc>
          <w:tcPr>
            <w:tcW w:w="100" w:type="dxa"/>
            <w:vAlign w:val="bottom"/>
            <w:shd w:val="clear" w:color="auto" w:fill="CFF0FC"/>
          </w:tcPr>
          <w:p>
            <w:pPr>
              <w:spacing w:after="0"/>
              <w:rPr>
                <w:sz w:val="17"/>
                <w:szCs w:val="17"/>
                <w:color w:val="auto"/>
              </w:rPr>
            </w:pPr>
          </w:p>
        </w:tc>
      </w:tr>
      <w:tr>
        <w:trPr>
          <w:trHeight w:val="196"/>
        </w:trPr>
        <w:tc>
          <w:tcPr>
            <w:tcW w:w="7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9,657</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6,912</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Long-term financing payment for intangible assets</w:t>
            </w:r>
          </w:p>
        </w:tc>
        <w:tc>
          <w:tcPr>
            <w:tcW w:w="9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(5,795 )</w:t>
            </w:r>
          </w:p>
        </w:tc>
        <w:tc>
          <w:tcPr>
            <w:tcW w:w="36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(4,775 )</w:t>
            </w:r>
          </w:p>
        </w:tc>
      </w:tr>
      <w:tr>
        <w:trPr>
          <w:trHeight w:val="196"/>
        </w:trPr>
        <w:tc>
          <w:tcPr>
            <w:tcW w:w="77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3,862</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9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(17,792 )</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30,245</w:t>
            </w:r>
          </w:p>
        </w:tc>
        <w:tc>
          <w:tcPr>
            <w:tcW w:w="100" w:type="dxa"/>
            <w:vAlign w:val="bottom"/>
          </w:tcPr>
          <w:p>
            <w:pPr>
              <w:spacing w:after="0"/>
              <w:rPr>
                <w:sz w:val="17"/>
                <w:szCs w:val="17"/>
                <w:color w:val="auto"/>
              </w:rPr>
            </w:pPr>
          </w:p>
        </w:tc>
      </w:tr>
      <w:tr>
        <w:trPr>
          <w:trHeight w:val="20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144,921</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113,549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9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127,129</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143,794</w:t>
            </w: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9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2,236</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5,499</w:t>
            </w: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noncash investing activities: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9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6,868</w:t>
            </w: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-2339340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-1525270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-993775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-728345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high-definition (HD) and Ultra HD compression, advanced image signal processing, and powerful artificial intelligence (AI)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AI computer vision algorithms, audio processing and system functions onto a single chip. These low power SoCs deliver exceptional video and image quality and can extract valuable data from high-resolution video and radar streams. The Company is currently addressing a broad range of human and computer vision applications, including video security, advanced driver assistance systems (ADAS), electronic mirrors, drive recorders, driver/cabin monitoring systems, autonomous driving, and industrial and robotic applications.</w:t>
      </w:r>
    </w:p>
    <w:p>
      <w:pPr>
        <w:spacing w:after="0" w:line="18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2024 fiscal year filed with the SEC on March 29, 2024 (the Form 10-K) and updated, as necessary, in this Form 10-Q. The year-end condensed consolidated balance sheet data presented for comparative purposes was derived from audited financial statements.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described in Note 1 - Organization and Summary of Significant Accounting Policies, of the Notes to Consolidated Financial Statements included in the Company’s Annual Report on Form 10-K for the fiscal year ended January 31, 2024.</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 w:name="page9"/>
    <w:bookmarkEnd w:id="8"/>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its two major distributors and one ODM. WT Microelectronics Co., Ltd., formerly Wintech Microelectronics Co., Ltd., or WT, serves as a non-exclusive sales representative and fulfillment partner in Asia other than Japan, and Hakuto Co., Ltd., or Hakuto, serves as a Japanese distributor. Chicony Electronics Co., Ltd., or Chicony, is an ODM that manufactures devices incorporating the Company’s solutions on behalf of multiple end-customers. Termination of the relationships with these customers could result in a temporary or permanent loss of revenue. Furthermore, any credit issues from these customers could impair their abilities to make timely payment to the Company. See Note 15 for additional information regarding revenue and credit concentration with these customers.</w:t>
      </w:r>
    </w:p>
    <w:p>
      <w:pPr>
        <w:spacing w:after="0" w:line="187"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fixed deposit accounts, commercial paper, corporate bonds, asset-backed securities and U.S. government securities which management assesses to be highly liquid. The Company does not hold or issue financial instruments for trading purposes.</w:t>
      </w:r>
    </w:p>
    <w:p>
      <w:pPr>
        <w:spacing w:after="0" w:line="18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to secure certain transactions in a foreign entity. As of October 31, 2024 and January 31, 2024, restricted cash was immaterial, respectively. The following table presents cash, cash equivalents and restricted cash reported on the condensed consolidated balance sheets, and the totals are presented on the condensed consolidated statements of cash flows: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4"/>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127,122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144,914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143,787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800" w:type="dxa"/>
            <w:vAlign w:val="bottom"/>
            <w:shd w:val="clear" w:color="auto" w:fill="CFF0FC"/>
          </w:tcPr>
          <w:p>
            <w:pPr>
              <w:ind w:left="180"/>
              <w:spacing w:after="0" w:line="191" w:lineRule="exact"/>
              <w:rPr>
                <w:sz w:val="20"/>
                <w:szCs w:val="20"/>
                <w:color w:val="auto"/>
              </w:rPr>
            </w:pPr>
            <w:r>
              <w:rPr>
                <w:rFonts w:ascii="Times New Roman" w:cs="Times New Roman" w:eastAsia="Times New Roman" w:hAnsi="Times New Roman"/>
                <w:sz w:val="18"/>
                <w:szCs w:val="18"/>
                <w:color w:val="auto"/>
              </w:rPr>
              <w:t>Total as presented in the condensed</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127,129</w:t>
            </w:r>
          </w:p>
        </w:tc>
        <w:tc>
          <w:tcPr>
            <w:tcW w:w="200" w:type="dxa"/>
            <w:vAlign w:val="bottom"/>
            <w:vMerge w:val="restart"/>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144,921</w:t>
            </w:r>
          </w:p>
        </w:tc>
        <w:tc>
          <w:tcPr>
            <w:tcW w:w="180" w:type="dxa"/>
            <w:vAlign w:val="bottom"/>
            <w:vMerge w:val="restart"/>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143,794</w:t>
            </w:r>
          </w:p>
        </w:tc>
        <w:tc>
          <w:tcPr>
            <w:tcW w:w="180" w:type="dxa"/>
            <w:vAlign w:val="bottom"/>
            <w:vMerge w:val="restart"/>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Borders>
              <w:bottom w:val="single" w:sz="8" w:color="CFF0FC"/>
            </w:tcBorders>
            <w:shd w:val="clear" w:color="auto" w:fill="CFF0FC"/>
          </w:tcPr>
          <w:p>
            <w:pPr>
              <w:ind w:left="180"/>
              <w:spacing w:after="0" w:line="194"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-24765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This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requires public entities to provide disaggregated disclosures, in the notes to the financial statements, of certain categories of expenses that are included in expense line items on the face of income statement. The ASU may be applied prospectively or retrospectively and is effective for fiscal years beginning after December 15, 2026 and for interim periods beginning after December 15, 2027. Early adoption is permitted. The Company is currently evaluating the impact of adoption of this new guidance on its consolidated financial statements disclosures.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121" w:lineRule="exact"/>
        <w:rPr>
          <w:sz w:val="20"/>
          <w:szCs w:val="20"/>
          <w:color w:val="auto"/>
        </w:rPr>
      </w:pPr>
    </w:p>
    <w:p>
      <w:pPr>
        <w:ind w:right="160" w:firstLine="554"/>
        <w:spacing w:after="0" w:line="258" w:lineRule="auto"/>
        <w:rPr>
          <w:sz w:val="20"/>
          <w:szCs w:val="20"/>
          <w:color w:val="auto"/>
        </w:rPr>
      </w:pPr>
      <w:r>
        <w:rPr>
          <w:rFonts w:ascii="Times New Roman" w:cs="Times New Roman" w:eastAsia="Times New Roman" w:hAnsi="Times New Roman"/>
          <w:sz w:val="18"/>
          <w:szCs w:val="18"/>
          <w:color w:val="auto"/>
        </w:rPr>
        <w:t>The Company maintains its cash primarily in accounts with reputable financial institutions. The Company also invests a portion of its cash in money market funds and debt securities that are denominated in United States dollars, as well as non-marketable equity investments in privately-held companies. The debt security investment portfolio consists of commercial paper, corporate bonds, asset-backed securities and U.S. government securities. All of the money market funds and debt security investments are classified as available-for-sale securities and reported at fair value in the condensed consolidated balance sheets as follows: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October 31, 2024</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22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17"/>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(148 )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(207 )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22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17"/>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38,867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(135 )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(146 )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106,299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-1576705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-1576705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-1576705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-1576705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38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breakdown of unrealized losses from available-for-sale securities as of October 31, 2024 and January 31, 2024, respectively, aggregated by investment category and length of time that individual securities have been in a continuous loss position: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October 31, 2024</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2"/>
                <w:szCs w:val="12"/>
                <w:color w:val="auto"/>
              </w:rPr>
            </w:pPr>
          </w:p>
        </w:tc>
        <w:tc>
          <w:tcPr>
            <w:tcW w:w="1960" w:type="dxa"/>
            <w:vAlign w:val="bottom"/>
            <w:gridSpan w:val="5"/>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vMerge w:val="restart"/>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bottom w:val="single" w:sz="8" w:color="auto"/>
            </w:tcBorders>
            <w:gridSpan w:val="2"/>
          </w:tcPr>
          <w:p>
            <w:pPr>
              <w:jc w:val="center"/>
              <w:ind w:left="29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jc w:val="right"/>
              <w:ind w:right="128"/>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23,362</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8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28,465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(62 )</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(181 )</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gridSpan w:val="2"/>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52,980</w:t>
            </w:r>
          </w:p>
        </w:tc>
        <w:tc>
          <w:tcPr>
            <w:tcW w:w="260" w:type="dxa"/>
            <w:vAlign w:val="bottom"/>
            <w:shd w:val="clear" w:color="auto" w:fill="CFF0FC"/>
          </w:tcPr>
          <w:p>
            <w:pPr>
              <w:spacing w:after="0"/>
              <w:rPr>
                <w:sz w:val="16"/>
                <w:szCs w:val="16"/>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(369 )</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14,883</w:t>
            </w:r>
          </w:p>
        </w:tc>
        <w:tc>
          <w:tcPr>
            <w:tcW w:w="860" w:type="dxa"/>
            <w:vAlign w:val="bottom"/>
            <w:gridSpan w:val="2"/>
            <w:vMerge w:val="restart"/>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6"/>
                <w:szCs w:val="16"/>
                <w:color w:val="auto"/>
              </w:rPr>
            </w:pPr>
          </w:p>
        </w:tc>
        <w:tc>
          <w:tcPr>
            <w:tcW w:w="46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67,863</w:t>
            </w:r>
          </w:p>
        </w:tc>
        <w:tc>
          <w:tcPr>
            <w:tcW w:w="3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214"/>
        </w:trPr>
        <w:tc>
          <w:tcPr>
            <w:tcW w:w="3240" w:type="dxa"/>
            <w:vAlign w:val="bottom"/>
            <w:gridSpan w:val="2"/>
            <w:shd w:val="clear" w:color="auto" w:fill="CFF0FC"/>
          </w:tcPr>
          <w:p>
            <w:pPr>
              <w:ind w:left="20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80" w:type="dxa"/>
            <w:vAlign w:val="bottom"/>
            <w:vMerge w:val="continue"/>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gridSpan w:val="3"/>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940" w:type="dxa"/>
            <w:vAlign w:val="bottom"/>
            <w:gridSpan w:val="3"/>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2"/>
                <w:szCs w:val="12"/>
                <w:color w:val="auto"/>
              </w:rPr>
            </w:pPr>
          </w:p>
        </w:tc>
        <w:tc>
          <w:tcPr>
            <w:tcW w:w="1960" w:type="dxa"/>
            <w:vAlign w:val="bottom"/>
            <w:gridSpan w:val="5"/>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vMerge w:val="restart"/>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gridSpan w:val="2"/>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bottom w:val="single" w:sz="8" w:color="auto"/>
            </w:tcBorders>
            <w:gridSpan w:val="2"/>
          </w:tcPr>
          <w:p>
            <w:pPr>
              <w:jc w:val="center"/>
              <w:ind w:left="29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8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1"/>
              </w:rPr>
              <w:t>(116 )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17,413</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(65 )</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28,891</w:t>
            </w:r>
          </w:p>
        </w:tc>
        <w:tc>
          <w:tcPr>
            <w:tcW w:w="26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(99 )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86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4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1"/>
              </w:rPr>
              <w:t>(278 )</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49,495</w:t>
            </w:r>
          </w:p>
        </w:tc>
        <w:tc>
          <w:tcPr>
            <w:tcW w:w="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(377 )</w:t>
            </w:r>
          </w:p>
        </w:tc>
        <w:tc>
          <w:tcPr>
            <w:tcW w:w="0" w:type="dxa"/>
            <w:vAlign w:val="bottom"/>
          </w:tcPr>
          <w:p>
            <w:pPr>
              <w:spacing w:after="0"/>
              <w:rPr>
                <w:sz w:val="1"/>
                <w:szCs w:val="1"/>
                <w:color w:val="auto"/>
              </w:rPr>
            </w:pPr>
          </w:p>
        </w:tc>
      </w:tr>
      <w:tr>
        <w:trPr>
          <w:trHeight w:val="194"/>
        </w:trPr>
        <w:tc>
          <w:tcPr>
            <w:tcW w:w="324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3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9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31,103</w:t>
            </w:r>
          </w:p>
        </w:tc>
        <w:tc>
          <w:tcPr>
            <w:tcW w:w="80" w:type="dxa"/>
            <w:vAlign w:val="bottom"/>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99,402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4300" w:type="dxa"/>
            <w:vAlign w:val="bottom"/>
            <w:gridSpan w:val="7"/>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99,484</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80" w:type="dxa"/>
            <w:vAlign w:val="bottom"/>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700" w:type="dxa"/>
            <w:vAlign w:val="bottom"/>
          </w:tcPr>
          <w:p>
            <w:pPr>
              <w:spacing w:after="0"/>
              <w:rPr>
                <w:sz w:val="24"/>
                <w:szCs w:val="24"/>
                <w:color w:val="auto"/>
              </w:rPr>
            </w:pPr>
          </w:p>
        </w:tc>
        <w:tc>
          <w:tcPr>
            <w:tcW w:w="15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-3488055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-3470910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-3488055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-3470910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-3488055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-3470910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-3488055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-3470910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-3488055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-3470910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-2416810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-2416810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-2416810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-2416810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-2416810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-933450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-916305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color w:val="auto"/>
        </w:rPr>
        <w:t>The contractual maturities of available-for-sale securities at October 31, 2024 and January 31, 2024 were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4"/>
                <w:szCs w:val="14"/>
                <w:color w:val="auto"/>
              </w:rPr>
            </w:pPr>
          </w:p>
        </w:tc>
      </w:tr>
      <w:tr>
        <w:trPr>
          <w:trHeight w:val="209"/>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50,216</w:t>
            </w:r>
          </w:p>
        </w:tc>
        <w:tc>
          <w:tcPr>
            <w:tcW w:w="80" w:type="dxa"/>
            <w:vAlign w:val="bottom"/>
            <w:shd w:val="clear" w:color="auto" w:fill="CFF0FC"/>
          </w:tcPr>
          <w:p>
            <w:pPr>
              <w:spacing w:after="0"/>
              <w:rPr>
                <w:sz w:val="21"/>
                <w:szCs w:val="21"/>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Due in 1 - 5 years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69,100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55,900</w:t>
            </w:r>
          </w:p>
        </w:tc>
        <w:tc>
          <w:tcPr>
            <w:tcW w:w="80" w:type="dxa"/>
            <w:vAlign w:val="bottom"/>
          </w:tcPr>
          <w:p>
            <w:pPr>
              <w:spacing w:after="0"/>
              <w:rPr>
                <w:sz w:val="19"/>
                <w:szCs w:val="19"/>
                <w:color w:val="auto"/>
              </w:rPr>
            </w:pPr>
          </w:p>
        </w:tc>
      </w:tr>
      <w:tr>
        <w:trPr>
          <w:trHeight w:val="249"/>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99,484</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loss in the condensed consolidated balance sheets. The credit-related losses were not material for the three and nine months ended October 31, 2024 and 2023, respectively.</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fair value of available-for-sale securities.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money market funds using quoted prices in active markets for identical assets and classifies them within Level 1. The fair value of other debt securities are obtained based on quoted prices for similar assets in active markets and are classified within Level 2.</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available-for-sale securities measured on a recurring basis as of October 31, 2024 and January 31, 2024, respectively:</w:t>
      </w:r>
    </w:p>
    <w:p>
      <w:pPr>
        <w:spacing w:after="0" w:line="200" w:lineRule="exact"/>
        <w:rPr>
          <w:sz w:val="20"/>
          <w:szCs w:val="20"/>
          <w:color w:val="auto"/>
        </w:rPr>
      </w:pP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 of October 31, 2024</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53,523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53,523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99,484</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99,402</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106,116</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105,820</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-1516380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-1516380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-1516380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-1516380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available-for-sale securities, the Company also has fixed deposit accounts that are classified as cash equivalents. As of October 31, 2024 and January 31, 2024, the carrying value of fixed deposit accounts was approximately $3.7 million and $7.0 million, respectively, which represented their fair value within level 1 hierarchy.</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1" w:right="479" w:bottom="1440" w:gutter="0" w:footer="0" w:header="0"/>
        </w:sectPr>
      </w:pPr>
    </w:p>
    <w:bookmarkStart w:id="11" w:name="page12"/>
    <w:bookmarkEnd w:id="11"/>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Interest income from financial instruments, including amortization of premiums and accretion of discounts, as well as realized gains and losses from available-for-sale securities, are recorded in other income, net, in the condensed consolidated statements of operations. For the three months ended October 31, 2024 and 2023, interest income and realized gains and losses, net, were approximately $2.1 million and $2.2 million, respectively. For the nine months ended October 31, 2024 and 2023, interest income and realized gains and losses, net, were approximately $6.6 million and $5.5 million, respectively.</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non-marketable equity investments in privately-held companies are measured at cost, adjusted for subsequent observable price change or any impairment. Upon determining that an impairment or observable price change exists, the Company records any adjustment to the fair value through other income, net, in the condensed consolidated statements of operations. There was no significant change in the fair value and there was no impairment loss related to equity investment for the three and nine months ended October 31, 2024. There was approximately $1.2 million of impairment recognized for the three and nine months ended October 31, 2023. As of October 31, 2024 and January 31, 2024, the non-marketable equity investment was approximately $1.2 million, respectively, and recorded in other non-current assets in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at October 31, 2024 and January 31, 2024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left="67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3"/>
          </w:tcPr>
          <w:p>
            <w:pPr>
              <w:jc w:val="center"/>
              <w:ind w:right="1015"/>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2"/>
                <w:szCs w:val="12"/>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center"/>
              <w:ind w:left="679"/>
              <w:spacing w:after="0"/>
              <w:rPr>
                <w:sz w:val="20"/>
                <w:szCs w:val="20"/>
                <w:color w:val="auto"/>
              </w:rPr>
            </w:pPr>
            <w:r>
              <w:rPr>
                <w:rFonts w:ascii="Times New Roman" w:cs="Times New Roman" w:eastAsia="Times New Roman" w:hAnsi="Times New Roman"/>
                <w:sz w:val="18"/>
                <w:szCs w:val="18"/>
                <w:color w:val="auto"/>
              </w:rPr>
              <w:t>22,943</w:t>
            </w:r>
          </w:p>
        </w:tc>
        <w:tc>
          <w:tcPr>
            <w:tcW w:w="36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18,933</w:t>
            </w:r>
          </w:p>
        </w:tc>
        <w:tc>
          <w:tcPr>
            <w:tcW w:w="8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679"/>
              <w:spacing w:after="0"/>
              <w:rPr>
                <w:sz w:val="20"/>
                <w:szCs w:val="20"/>
                <w:color w:val="auto"/>
              </w:rPr>
            </w:pPr>
            <w:r>
              <w:rPr>
                <w:rFonts w:ascii="Times New Roman" w:cs="Times New Roman" w:eastAsia="Times New Roman" w:hAnsi="Times New Roman"/>
                <w:sz w:val="18"/>
                <w:szCs w:val="18"/>
                <w:color w:val="auto"/>
              </w:rPr>
              <w:t>13,649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80" w:type="dxa"/>
            <w:vAlign w:val="bottom"/>
          </w:tcPr>
          <w:p>
            <w:pPr>
              <w:spacing w:after="0"/>
              <w:rPr>
                <w:sz w:val="18"/>
                <w:szCs w:val="18"/>
                <w:color w:val="auto"/>
              </w:rPr>
            </w:pPr>
          </w:p>
        </w:tc>
      </w:tr>
      <w:tr>
        <w:trPr>
          <w:trHeight w:val="250"/>
        </w:trPr>
        <w:tc>
          <w:tcPr>
            <w:tcW w:w="4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center"/>
              <w:ind w:left="679"/>
              <w:spacing w:after="0"/>
              <w:rPr>
                <w:sz w:val="20"/>
                <w:szCs w:val="20"/>
                <w:color w:val="auto"/>
              </w:rPr>
            </w:pPr>
            <w:r>
              <w:rPr>
                <w:rFonts w:ascii="Times New Roman" w:cs="Times New Roman" w:eastAsia="Times New Roman" w:hAnsi="Times New Roman"/>
                <w:sz w:val="18"/>
                <w:szCs w:val="18"/>
                <w:color w:val="auto"/>
              </w:rPr>
              <w:t>36,592</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$1.2 million and $1.2 million for the three months ended October 31, 2024 and 2023, respectively, and was approximately $3.6 million and $3.5 million for the nine months ended October 31, 2024 and 2023, respectively. Property and equipment at October 31, 2024 and January 31, 2024 consisted of the following:</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00" w:type="dxa"/>
            <w:vAlign w:val="bottom"/>
            <w:gridSpan w:val="3"/>
          </w:tcPr>
          <w:p>
            <w:pPr>
              <w:jc w:val="center"/>
              <w:ind w:right="892"/>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2"/>
                <w:szCs w:val="12"/>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23,518</w:t>
            </w:r>
          </w:p>
        </w:tc>
        <w:tc>
          <w:tcPr>
            <w:tcW w:w="8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Tools and equipment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8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8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8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(29,827 )</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(26,600 )</w:t>
            </w:r>
          </w:p>
        </w:tc>
      </w:tr>
      <w:tr>
        <w:trPr>
          <w:trHeight w:val="209"/>
        </w:trPr>
        <w:tc>
          <w:tcPr>
            <w:tcW w:w="49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80" w:type="dxa"/>
            <w:vAlign w:val="bottom"/>
            <w:tcBorders>
              <w:top w:val="single" w:sz="8" w:color="CFF0FC"/>
            </w:tcBorders>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-453390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-453390</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acquired in a business combination.</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 of software licenses as well as developed technology, customer relationships and trade name that were acquired from business combinations.</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October 31, 2024, software license liabilities of approximately $8.2 million were recorded in accrued and other current liabilities and approximately $2.0 million were recorded in other long-term liabilities in the condensed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October 31, 2024 and January 31, 2024 were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As of October 31, 2024</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41,946</w:t>
            </w:r>
          </w:p>
        </w:tc>
        <w:tc>
          <w:tcPr>
            <w:tcW w:w="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(19,181 )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41,329</w:t>
            </w: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(12,029 )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(9,232 )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(6,961 )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(4,400 )</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(3,300 )</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(1,071 )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(803 )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78,846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(33,884 )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78,229</w:t>
            </w:r>
          </w:p>
        </w:tc>
        <w:tc>
          <w:tcPr>
            <w:tcW w:w="3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(23,093 )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-25400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-8255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-25400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-8255</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amortization expense associated with software licenses was approximately $3.1 million and $3.1 million for the three months ended October 31, 2024 and 2023, respectively, and was approximately $9.1 million and $8.5 million for the nine months ended October 31, 2024 and 2023, respectively. The amortization expense associated with acquisition-related intangible assets, including developed technology, customer relationships and trade name, was approximately $1.2 million and $1.2 million for the three months ended October 31, 2024 and 2023, respectively, and was approximately $3.6 million and $3.6 million for the nine months ended October 31, 2024 and 2023, respectively. As of October 31, 2024, the Company has not commenced amortization with respect to approximately $1.1 million of software licenses with alternative uses that are to be sold, leased or otherwise marketed as part of products. Once the associated products are available for general release to customers, the Company will commence amortization on a product-by-product basis over the remaining estimated economic life of the products. The expected future amortization expense related to the intangible assets as of October 31, 2024 is as follows:</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66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0" w:type="dxa"/>
            <w:vAlign w:val="bottom"/>
          </w:tcPr>
          <w:p>
            <w:pPr>
              <w:spacing w:after="0"/>
              <w:rPr>
                <w:sz w:val="1"/>
                <w:szCs w:val="1"/>
                <w:color w:val="auto"/>
              </w:rPr>
            </w:pPr>
          </w:p>
        </w:tc>
      </w:tr>
      <w:tr>
        <w:trPr>
          <w:trHeight w:val="133"/>
        </w:trPr>
        <w:tc>
          <w:tcPr>
            <w:tcW w:w="700" w:type="dxa"/>
            <w:vAlign w:val="bottom"/>
            <w:tcBorders>
              <w:bottom w:val="single" w:sz="8" w:color="auto"/>
            </w:tcBorders>
            <w:vMerge w:val="continue"/>
          </w:tcPr>
          <w:p>
            <w:pPr>
              <w:spacing w:after="0"/>
              <w:rPr>
                <w:sz w:val="11"/>
                <w:szCs w:val="11"/>
                <w:color w:val="auto"/>
              </w:rPr>
            </w:pPr>
          </w:p>
        </w:tc>
        <w:tc>
          <w:tcPr>
            <w:tcW w:w="668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 (3 months remaining)</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6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6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44,962</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Goodwill and intangible assets are tested for impairment at least annually, in the fourth fiscal quarter, or more frequently if events or changes in circumstances indicate that they may be impaired. There were no goodwill and intangible asset impairments for the three and nine months ended October 31, 2024 and 2023,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October 31, 2024 and January 31, 2024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00" w:type="dxa"/>
            <w:vAlign w:val="bottom"/>
            <w:gridSpan w:val="3"/>
          </w:tcPr>
          <w:p>
            <w:pPr>
              <w:jc w:val="center"/>
              <w:ind w:right="893"/>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2"/>
                <w:szCs w:val="12"/>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21,384</w:t>
            </w:r>
          </w:p>
        </w:tc>
        <w:tc>
          <w:tcPr>
            <w:tcW w:w="32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8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8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8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80" w:type="dxa"/>
            <w:vAlign w:val="bottom"/>
          </w:tcPr>
          <w:p>
            <w:pPr>
              <w:spacing w:after="0"/>
              <w:rPr>
                <w:sz w:val="18"/>
                <w:szCs w:val="18"/>
                <w:color w:val="auto"/>
              </w:rPr>
            </w:pPr>
          </w:p>
        </w:tc>
      </w:tr>
      <w:tr>
        <w:trPr>
          <w:trHeight w:val="249"/>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72,974</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right="240" w:firstLine="450"/>
        <w:spacing w:after="0" w:line="261" w:lineRule="auto"/>
        <w:rPr>
          <w:sz w:val="20"/>
          <w:szCs w:val="20"/>
          <w:color w:val="auto"/>
        </w:rPr>
      </w:pPr>
      <w:r>
        <w:rPr>
          <w:rFonts w:ascii="Times New Roman" w:cs="Times New Roman" w:eastAsia="Times New Roman" w:hAnsi="Times New Roman"/>
          <w:sz w:val="18"/>
          <w:szCs w:val="18"/>
          <w:color w:val="auto"/>
        </w:rPr>
        <w:t>The timing of SoC development and invoicing from outside foundries usually results in the fluctuation of accrued product development costs. The accrued employee compensation primarily consists of accrued payroll and accrued employee benefits, as well as employee stock purchase plan withholding. For the accrued employee compensation as of January 31, 2024, approximately $4.1 million of annual bonus was paid in the first quarter of fiscal year 2025, of which $1.1 million was paid in cash and $3.0 million was settled with fully vested restricted stock units.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During the nine months ended October 31, 2024, the Company extended its existing Shanghai office lease for an additional 36 months beginning December 1, 2024 to November 30, 2027 and extended its existing Shenzhen office lease for an additional 28 months beginning October 1, 2024 to January 31, 2027. The Company also extended the lease for its Italy office for an additional 22 months beginning July 1, 2024 to April 30, 2026 and a facility lease in Santa Clara, California for an additional 24 months beginning October 1, 2024 to September 30, 2026. An aggregate of approximately $3.5 million of additional operating lease right-of-use assets and corresponding lease liabilities were recorded in the condensed consolidated balance sheets as a result of these lease extensions.</w:t>
      </w:r>
    </w:p>
    <w:p>
      <w:pPr>
        <w:spacing w:after="0" w:line="187" w:lineRule="exact"/>
        <w:rPr>
          <w:sz w:val="20"/>
          <w:szCs w:val="20"/>
          <w:color w:val="auto"/>
        </w:rPr>
      </w:pPr>
    </w:p>
    <w:p>
      <w:pPr>
        <w:ind w:right="40" w:firstLine="514"/>
        <w:spacing w:after="0" w:line="266" w:lineRule="auto"/>
        <w:rPr>
          <w:sz w:val="20"/>
          <w:szCs w:val="20"/>
          <w:color w:val="auto"/>
        </w:rPr>
      </w:pPr>
      <w:r>
        <w:rPr>
          <w:rFonts w:ascii="Times New Roman" w:cs="Times New Roman" w:eastAsia="Times New Roman" w:hAnsi="Times New Roman"/>
          <w:sz w:val="18"/>
          <w:szCs w:val="18"/>
          <w:color w:val="auto"/>
        </w:rPr>
        <w:t>The operating lease expense was approximately $0.9 million and $1.0 million for the three months ended October 31, 2024 and 2023, respectively, and was approximately $2.9 million and $2.8 million for the nine months ended October 31, 2024 and 2023, respectively. The Company's short-term leases and finance leases were not material as of October 31, 2024 and January 31, 2024,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is as follows:</w:t>
      </w: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240" w:type="dxa"/>
            <w:vAlign w:val="bottom"/>
            <w:gridSpan w:val="5"/>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0" w:type="dxa"/>
            <w:vAlign w:val="bottom"/>
          </w:tcPr>
          <w:p>
            <w:pPr>
              <w:spacing w:after="0"/>
              <w:rPr>
                <w:sz w:val="15"/>
                <w:szCs w:val="15"/>
                <w:color w:val="auto"/>
              </w:rPr>
            </w:pPr>
          </w:p>
        </w:tc>
        <w:tc>
          <w:tcPr>
            <w:tcW w:w="22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56"/>
        </w:trPr>
        <w:tc>
          <w:tcPr>
            <w:tcW w:w="48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142"/>
        </w:trPr>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5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shd w:val="clear" w:color="auto" w:fill="CFF0FC"/>
          </w:tcPr>
          <w:p>
            <w:pPr>
              <w:spacing w:after="0"/>
              <w:rPr>
                <w:sz w:val="18"/>
                <w:szCs w:val="18"/>
                <w:color w:val="auto"/>
              </w:rPr>
            </w:pPr>
          </w:p>
        </w:tc>
      </w:tr>
      <w:tr>
        <w:trPr>
          <w:trHeight w:val="198"/>
        </w:trPr>
        <w:tc>
          <w:tcPr>
            <w:tcW w:w="4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Supplemental non-cash information related to lease liabilities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arising from obtaining right-of-use assets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r>
      <w:tr>
        <w:trPr>
          <w:trHeight w:val="198"/>
        </w:trPr>
        <w:tc>
          <w:tcPr>
            <w:tcW w:w="48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Leased assets obtained in exchange for operating lease liabilities</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arising from lease modifications</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2024, the weighted average remaining lease term is 2.19 years, and the weighted average discount rate is 3.71 percent. Future minimum lease payments for the lease liabilities are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5480" w:type="dxa"/>
            <w:vAlign w:val="bottom"/>
            <w:vMerge w:val="restart"/>
          </w:tcPr>
          <w:p>
            <w:pPr>
              <w:spacing w:after="0"/>
              <w:rPr>
                <w:sz w:val="15"/>
                <w:szCs w:val="15"/>
                <w:color w:val="auto"/>
              </w:rPr>
            </w:pPr>
          </w:p>
        </w:tc>
        <w:tc>
          <w:tcPr>
            <w:tcW w:w="460" w:type="dxa"/>
            <w:vAlign w:val="bottom"/>
          </w:tcPr>
          <w:p>
            <w:pPr>
              <w:spacing w:after="0"/>
              <w:rPr>
                <w:sz w:val="15"/>
                <w:szCs w:val="15"/>
                <w:color w:val="auto"/>
              </w:rPr>
            </w:pP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0" w:type="dxa"/>
            <w:vAlign w:val="bottom"/>
          </w:tcPr>
          <w:p>
            <w:pPr>
              <w:spacing w:after="0"/>
              <w:rPr>
                <w:sz w:val="1"/>
                <w:szCs w:val="1"/>
                <w:color w:val="auto"/>
              </w:rPr>
            </w:pPr>
          </w:p>
        </w:tc>
      </w:tr>
      <w:tr>
        <w:trPr>
          <w:trHeight w:val="133"/>
        </w:trPr>
        <w:tc>
          <w:tcPr>
            <w:tcW w:w="700" w:type="dxa"/>
            <w:vAlign w:val="bottom"/>
            <w:tcBorders>
              <w:bottom w:val="single" w:sz="8" w:color="auto"/>
            </w:tcBorders>
            <w:vMerge w:val="continue"/>
          </w:tcPr>
          <w:p>
            <w:pPr>
              <w:spacing w:after="0"/>
              <w:rPr>
                <w:sz w:val="11"/>
                <w:szCs w:val="11"/>
                <w:color w:val="auto"/>
              </w:rPr>
            </w:pPr>
          </w:p>
        </w:tc>
        <w:tc>
          <w:tcPr>
            <w:tcW w:w="5480" w:type="dxa"/>
            <w:vAlign w:val="bottom"/>
            <w:vMerge w:val="continue"/>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60" w:type="dxa"/>
            <w:vAlign w:val="bottom"/>
            <w:tcBorders>
              <w:top w:val="single" w:sz="8" w:color="auto"/>
            </w:tcBorders>
          </w:tcPr>
          <w:p>
            <w:pPr>
              <w:jc w:val="center"/>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2025 (3 months remaining)</w:t>
            </w: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5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5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5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5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18"/>
                <w:szCs w:val="18"/>
                <w:color w:val="auto"/>
              </w:rPr>
            </w:pPr>
          </w:p>
        </w:tc>
        <w:tc>
          <w:tcPr>
            <w:tcW w:w="2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460" w:type="dxa"/>
            <w:vAlign w:val="bottom"/>
            <w:tcBorders>
              <w:top w:val="single" w:sz="8" w:color="auto"/>
            </w:tcBorders>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interest</w:t>
            </w:r>
          </w:p>
        </w:tc>
        <w:tc>
          <w:tcPr>
            <w:tcW w:w="460" w:type="dxa"/>
            <w:vAlign w:val="bottom"/>
          </w:tcPr>
          <w:p>
            <w:pPr>
              <w:spacing w:after="0"/>
              <w:rPr>
                <w:sz w:val="19"/>
                <w:szCs w:val="19"/>
                <w:color w:val="auto"/>
              </w:rPr>
            </w:pP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49"/>
        </w:trPr>
        <w:tc>
          <w:tcPr>
            <w:tcW w:w="61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460" w:type="dxa"/>
            <w:vAlign w:val="bottom"/>
            <w:tcBorders>
              <w:top w:val="single" w:sz="8" w:color="auto"/>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Revenue</w:t>
      </w:r>
    </w:p>
    <w:p>
      <w:pPr>
        <w:spacing w:after="0" w:line="229"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Deferred revenue is primarily related to nonrecurring engineering charges that are either invoiced or paid but for which the related performance obligations are not yet satisfied, as well as, for product shipments, a portion of the transaction price that exceeds the weighted average selling price for products sold to date under tiered-pricing contracts that contain material rights. During the nine months ended October 31, 2024 and 2023, the amount recognized as revenue that was included in the deferred revenue balance at the end of prior fiscal year was approximately $0.8 million and $1.2 million, respectively.</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October 31, 2024, the amount of remaining unsatisfied performance obligations on contracts, primarily consisting of product purchase orders and nonrecurring engineering service agreements with original contract duration of more than one year, was approximately $12.4 million, of which approximately 97% is expected to be recognized within the next 12 months. This does not include amounts which have an original expected contract duration of one year or less.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9.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October 31, 2024 and January 31, 2024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00" w:type="dxa"/>
            <w:vAlign w:val="bottom"/>
            <w:gridSpan w:val="3"/>
          </w:tcPr>
          <w:p>
            <w:pPr>
              <w:jc w:val="center"/>
              <w:ind w:right="893"/>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80" w:type="dxa"/>
            <w:vAlign w:val="bottom"/>
          </w:tcPr>
          <w:p>
            <w:pPr>
              <w:spacing w:after="0"/>
              <w:rPr>
                <w:sz w:val="12"/>
                <w:szCs w:val="12"/>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32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8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r>
      <w:tr>
        <w:trPr>
          <w:trHeight w:val="249"/>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0" w:lineRule="exact"/>
        <w:rPr>
          <w:sz w:val="20"/>
          <w:szCs w:val="20"/>
          <w:color w:val="auto"/>
        </w:rPr>
      </w:pPr>
    </w:p>
    <w:p>
      <w:pPr>
        <w:ind w:left="520" w:right="9380" w:hanging="512"/>
        <w:spacing w:after="0" w:line="377" w:lineRule="auto"/>
        <w:tabs>
          <w:tab w:leader="none" w:pos="28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preference shares issued and outstanding as of October 31, 2024 and January 31, 2024, respectively.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the nine months ended October 31, 2024, the Company added 994,543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February 1st of each fiscal year, or (iii) an amount determined by the Company’s Board of Directors or a duly authorized committee of the Board of Directors.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second quarter of fiscal year 2025, the Company's shareholders approved to add an additional 1,750,000 shares to the ordinary shares reserved for issuance under the Amended and Restated 2021 Equity Incentive Plan, or 2021 EIP. Subject to adjustments upon changes in capitalization as provided under the 2021 EIP, the maximum aggregate number of ordinary shares that may be subject to awards and issued under the 2021 EIP will be equal to (a) 3,100,000 shares plus (i) any shares subject to awards granted under the Company’s 2012 Equity Incentive Plan (the “Prior Plan”) that, after the date the Prior Plan was terminated, are cancelled, expire or otherwise terminate without having been exercised in full or are forfeited to or repurchased by the Company due to failure to vest, and (ii) any shares that, as of immediately prior to the termination of the Prior Plan, were reserved but not issued pursuant to any awards granted under the Prior Plan and are not subject to any awards thereunder, with the maximum number of ordinary shares to be added to the 2021 EIP pursuant to clauses (i) and (ii) equal to 6,834,208 shares.</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2024 and January 31, 2024, the following ordinary shares were reserved for future issuance under the Company’s equity plans and employee stock purchase plan:</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66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66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2024</w:t>
            </w:r>
          </w:p>
        </w:tc>
        <w:tc>
          <w:tcPr>
            <w:tcW w:w="124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2024</w:t>
            </w:r>
          </w:p>
        </w:tc>
        <w:tc>
          <w:tcPr>
            <w:tcW w:w="80" w:type="dxa"/>
            <w:vAlign w:val="bottom"/>
          </w:tcPr>
          <w:p>
            <w:pPr>
              <w:spacing w:after="0"/>
              <w:rPr>
                <w:sz w:val="12"/>
                <w:szCs w:val="12"/>
                <w:color w:val="auto"/>
              </w:rPr>
            </w:pPr>
          </w:p>
        </w:tc>
      </w:tr>
      <w:tr>
        <w:trPr>
          <w:trHeight w:val="191"/>
        </w:trPr>
        <w:tc>
          <w:tcPr>
            <w:tcW w:w="48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Shares reserved for options, restricted stock and</w:t>
            </w:r>
          </w:p>
        </w:tc>
        <w:tc>
          <w:tcPr>
            <w:tcW w:w="13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under equity plans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5,284,821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4,492,705</w:t>
            </w:r>
          </w:p>
        </w:tc>
        <w:tc>
          <w:tcPr>
            <w:tcW w:w="80" w:type="dxa"/>
            <w:vAlign w:val="bottom"/>
            <w:shd w:val="clear" w:color="auto" w:fill="CFF0FC"/>
          </w:tcPr>
          <w:p>
            <w:pPr>
              <w:spacing w:after="0"/>
              <w:rPr>
                <w:sz w:val="20"/>
                <w:szCs w:val="20"/>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3,636,591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2,834,384</w:t>
            </w:r>
          </w:p>
        </w:tc>
        <w:tc>
          <w:tcPr>
            <w:tcW w:w="80" w:type="dxa"/>
            <w:vAlign w:val="bottom"/>
          </w:tcPr>
          <w:p>
            <w:pPr>
              <w:spacing w:after="0"/>
              <w:rPr>
                <w:sz w:val="20"/>
                <w:szCs w:val="20"/>
                <w:color w:val="auto"/>
              </w:rPr>
            </w:pP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In the second quarter of fiscal year 2025,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Board of Directors approved an extension of the Company's existing share repurchase program for an additional twelve months through June 30, 2025. There were no ordinary shares repurchased in the nine months ended October 31, 2024. As of October 31, 2024, there was approximately $49.0 million available for repurchases under the current repurchase program through June 30, 2025.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7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5"/>
                <w:szCs w:val="15"/>
                <w:color w:val="auto"/>
              </w:rPr>
            </w:pPr>
          </w:p>
        </w:tc>
        <w:tc>
          <w:tcPr>
            <w:tcW w:w="17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55"/>
        </w:trPr>
        <w:tc>
          <w:tcPr>
            <w:tcW w:w="80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80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780" w:type="dxa"/>
            <w:vAlign w:val="bottom"/>
            <w:tcBorders>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84"/>
        </w:trPr>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-26035</wp:posOffset>
            </wp:positionV>
            <wp:extent cx="498919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63" w:lineRule="exact"/>
        <w:rPr>
          <w:sz w:val="20"/>
          <w:szCs w:val="20"/>
          <w:color w:val="auto"/>
        </w:rPr>
      </w:pPr>
    </w:p>
    <w:p>
      <w:pPr>
        <w:ind w:left="520" w:hanging="514"/>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899   $868  $   2,339  $   2,694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17145</wp:posOffset>
            </wp:positionV>
            <wp:extent cx="498919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54,809</w:t>
            </w:r>
          </w:p>
        </w:tc>
      </w:tr>
      <w:tr>
        <w:trPr>
          <w:trHeight w:val="234"/>
        </w:trPr>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23,503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25,293</w:t>
            </w:r>
          </w:p>
        </w:tc>
      </w:tr>
      <w:tr>
        <w:trPr>
          <w:trHeight w:val="209"/>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26,847</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27,409</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80,495</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82,796</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-2593340</wp:posOffset>
            </wp:positionH>
            <wp:positionV relativeFrom="paragraph">
              <wp:posOffset>-162560</wp:posOffset>
            </wp:positionV>
            <wp:extent cx="4989195"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060" w:space="720"/>
            <w:col w:w="5460"/>
          </w:cols>
          <w:pgMar w:left="320" w:top="981" w:right="339" w:bottom="1440" w:gutter="0" w:footer="0" w:header="0"/>
          <w:type w:val="continuous"/>
        </w:sect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October 31, 2024, approximately $4.9 million of stock-based compensation expense was accrued in accrued and other current liabilities in the condensed consolidated balance sheets. Total unrecognized compensation cost related to unvested stock options at October 31, 2024 was $2.9 million and is expected to be recognized over a weighted-average period of 0.58 years. Total unrecognized compensation cost related to unvested restricted stock units at October 31, 2024 was approximately $176.9 million and is expected to be recognized over a weighted-average period of 2.55 years.</w:t>
      </w:r>
    </w:p>
    <w:p>
      <w:pPr>
        <w:spacing w:after="0" w:line="180"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employee stock purchase plan awards for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240" w:type="dxa"/>
            <w:vAlign w:val="bottom"/>
            <w:gridSpan w:val="8"/>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40" w:type="dxa"/>
            <w:vAlign w:val="bottom"/>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center"/>
              <w:ind w:right="8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Volatility</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56 %</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4.55 %</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5.49 %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4.97 %</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5.11 %</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term (years)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88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 indicated:</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1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1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1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Exercised</w:t>
            </w:r>
          </w:p>
        </w:tc>
        <w:tc>
          <w:tcPr>
            <w:tcW w:w="11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gridSpan w:val="2"/>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31,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373,318</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46.39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(105,890 )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111.50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2024</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265,940</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49.86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Exercisable at October 31,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246,289</w:t>
            </w:r>
          </w:p>
        </w:tc>
        <w:tc>
          <w:tcPr>
            <w:tcW w:w="180" w:type="dxa"/>
            <w:vAlign w:val="bottom"/>
          </w:tcPr>
          <w:p>
            <w:pPr>
              <w:spacing w:after="0"/>
              <w:rPr>
                <w:sz w:val="20"/>
                <w:szCs w:val="20"/>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-2565400</wp:posOffset>
            </wp:positionV>
            <wp:extent cx="5700395"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-2291080</wp:posOffset>
            </wp:positionV>
            <wp:extent cx="5700395"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5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October 31, 2024 was $56.19, as reported by The Nasdaq Global Select Market. The intrinsic value of exercised options is calculated based on the difference between the fair market value of the Company’s ordinary shares on the exercise date and the exercise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activities for the period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2024</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2,432,640</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1,431,816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(851,932 )</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(151,000 )</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October 31, 2024</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2,861,524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2024, the aggregate intrinsic value of unvested restricted stock units was $160.8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ordinary share for the periods indicated:</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60" w:type="dxa"/>
            <w:vAlign w:val="bottom"/>
          </w:tcPr>
          <w:p>
            <w:pPr>
              <w:spacing w:after="0"/>
              <w:rPr>
                <w:sz w:val="16"/>
                <w:szCs w:val="16"/>
                <w:color w:val="auto"/>
              </w:rPr>
            </w:pPr>
          </w:p>
        </w:tc>
        <w:tc>
          <w:tcPr>
            <w:tcW w:w="23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71"/>
              </w:rPr>
              <w:t>share</w:t>
            </w: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w:t>
            </w:r>
          </w:p>
        </w:tc>
        <w:tc>
          <w:tcPr>
            <w:tcW w:w="220" w:type="dxa"/>
            <w:vAlign w:val="bottom"/>
            <w:vMerge w:val="continue"/>
          </w:tcPr>
          <w:p>
            <w:pPr>
              <w:spacing w:after="0"/>
              <w:rPr>
                <w:sz w:val="12"/>
                <w:szCs w:val="12"/>
                <w:color w:val="auto"/>
              </w:rPr>
            </w:pPr>
          </w:p>
        </w:tc>
        <w:tc>
          <w:tcPr>
            <w:tcW w:w="13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and per share data)</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(24,071 )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(41,710 )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(96,892 )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(108,810 )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41,479,459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40,053,251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41,128,068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39,710,248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ordinary shares - diluted</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41,479,459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40,053,251</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41,128,068</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39,710,248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(0.58 )</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(1.04 )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8"/>
              <w:spacing w:after="0" w:line="196" w:lineRule="exact"/>
              <w:rPr>
                <w:sz w:val="20"/>
                <w:szCs w:val="20"/>
                <w:color w:val="auto"/>
              </w:rPr>
            </w:pPr>
            <w:r>
              <w:rPr>
                <w:rFonts w:ascii="Times New Roman" w:cs="Times New Roman" w:eastAsia="Times New Roman" w:hAnsi="Times New Roman"/>
                <w:sz w:val="18"/>
                <w:szCs w:val="18"/>
                <w:color w:val="auto"/>
              </w:rPr>
              <w:t>(0.58 )</w:t>
            </w: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78"/>
              <w:spacing w:after="0" w:line="196" w:lineRule="exact"/>
              <w:rPr>
                <w:sz w:val="20"/>
                <w:szCs w:val="20"/>
                <w:color w:val="auto"/>
              </w:rPr>
            </w:pPr>
            <w:r>
              <w:rPr>
                <w:rFonts w:ascii="Times New Roman" w:cs="Times New Roman" w:eastAsia="Times New Roman" w:hAnsi="Times New Roman"/>
                <w:sz w:val="18"/>
                <w:szCs w:val="18"/>
                <w:color w:val="auto"/>
              </w:rPr>
              <w:t>(1.04 )</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(2.36 )</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-504825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-488315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-504825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-488315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-504825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-488315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-187960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-187960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net loss per ordinary share as their effect would have been antidilutive:</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54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00" w:type="dxa"/>
            <w:vAlign w:val="bottom"/>
          </w:tcPr>
          <w:p>
            <w:pPr>
              <w:spacing w:after="0"/>
              <w:rPr>
                <w:sz w:val="15"/>
                <w:szCs w:val="15"/>
                <w:color w:val="auto"/>
              </w:rPr>
            </w:pPr>
          </w:p>
        </w:tc>
        <w:tc>
          <w:tcPr>
            <w:tcW w:w="26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55"/>
        </w:trPr>
        <w:tc>
          <w:tcPr>
            <w:tcW w:w="476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1140" w:type="dxa"/>
            <w:vAlign w:val="bottom"/>
            <w:tcBorders>
              <w:top w:val="single" w:sz="8" w:color="auto"/>
              <w:bottom w:val="single" w:sz="8" w:color="auto"/>
            </w:tcBorders>
          </w:tcPr>
          <w:p>
            <w:pPr>
              <w:jc w:val="right"/>
              <w:ind w:right="34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190,382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214,595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205,214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242,277</w:t>
            </w:r>
          </w:p>
        </w:tc>
        <w:tc>
          <w:tcPr>
            <w:tcW w:w="100" w:type="dxa"/>
            <w:vAlign w:val="bottom"/>
            <w:shd w:val="clear" w:color="auto" w:fill="CFF0FC"/>
          </w:tcPr>
          <w:p>
            <w:pPr>
              <w:spacing w:after="0"/>
              <w:rPr>
                <w:sz w:val="18"/>
                <w:szCs w:val="18"/>
                <w:color w:val="auto"/>
              </w:rPr>
            </w:pPr>
          </w:p>
        </w:tc>
      </w:tr>
      <w:tr>
        <w:trPr>
          <w:trHeight w:val="24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2,272,057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1,560,921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2,028,574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1,374,705</w:t>
            </w:r>
          </w:p>
        </w:tc>
        <w:tc>
          <w:tcPr>
            <w:tcW w:w="100" w:type="dxa"/>
            <w:vAlign w:val="bottom"/>
          </w:tcPr>
          <w:p>
            <w:pPr>
              <w:spacing w:after="0"/>
              <w:rPr>
                <w:sz w:val="21"/>
                <w:szCs w:val="2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2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1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7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2,477,648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1,792,889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2,245,300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1,628,631</w:t>
            </w:r>
          </w:p>
        </w:tc>
        <w:tc>
          <w:tcPr>
            <w:tcW w:w="10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-170815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income taxes for the periods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5"/>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 w:type="dxa"/>
            <w:vAlign w:val="bottom"/>
          </w:tcPr>
          <w:p>
            <w:pPr>
              <w:spacing w:after="0"/>
              <w:rPr>
                <w:sz w:val="15"/>
                <w:szCs w:val="15"/>
                <w:color w:val="auto"/>
              </w:rPr>
            </w:pPr>
          </w:p>
        </w:tc>
        <w:tc>
          <w:tcPr>
            <w:tcW w:w="22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560" w:type="dxa"/>
            <w:vAlign w:val="bottom"/>
          </w:tcPr>
          <w:p>
            <w:pPr>
              <w:spacing w:after="0"/>
              <w:rPr>
                <w:sz w:val="15"/>
                <w:szCs w:val="15"/>
                <w:color w:val="auto"/>
              </w:rPr>
            </w:pPr>
          </w:p>
        </w:tc>
      </w:tr>
      <w:tr>
        <w:trPr>
          <w:trHeight w:val="155"/>
        </w:trPr>
        <w:tc>
          <w:tcPr>
            <w:tcW w:w="5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42"/>
        </w:trPr>
        <w:tc>
          <w:tcPr>
            <w:tcW w:w="5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637"/>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(23,419 )  $</w:t>
            </w:r>
          </w:p>
        </w:tc>
        <w:tc>
          <w:tcPr>
            <w:tcW w:w="10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(40,065 )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(94,735 )  $</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(108,923 )</w:t>
            </w:r>
          </w:p>
        </w:tc>
        <w:tc>
          <w:tcPr>
            <w:tcW w:w="560" w:type="dxa"/>
            <w:vAlign w:val="bottom"/>
          </w:tcPr>
          <w:p>
            <w:pPr>
              <w:spacing w:after="0"/>
              <w:rPr>
                <w:sz w:val="18"/>
                <w:szCs w:val="18"/>
                <w:color w:val="auto"/>
              </w:rPr>
            </w:pPr>
          </w:p>
        </w:tc>
      </w:tr>
      <w:tr>
        <w:trPr>
          <w:trHeight w:val="243"/>
        </w:trPr>
        <w:tc>
          <w:tcPr>
            <w:tcW w:w="580" w:type="dxa"/>
            <w:vAlign w:val="bottom"/>
          </w:tcPr>
          <w:p>
            <w:pPr>
              <w:spacing w:after="0"/>
              <w:rPr>
                <w:sz w:val="21"/>
                <w:szCs w:val="21"/>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(113 )</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48"/>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recorded an expense for income taxes of $0.7 million and $2.2 million for the three and nine months ended October 31, 2024, respectively. The Company recorded an expense for income taxes of $1.6 million for the three months ended October 31, 2023 and a benefit for income taxes of $0.1 million for the nine months ended October 31, 2023, respectively. The decrease in income tax expense for the three months ended October 31, 2024, as compared to the same period in the prior fiscal year, was primarily due to a decrease in the proportion of profits generated in higher tax jurisdictions. The increase in income tax expense for the nine months ended October 31, 2024, as compared to the same period in the prior fiscal year, was primarily due to tax benefit from the release of $3.6 million of valuation allowance on the deferred tax assets of Oculii Corp, or Oculii, in the second quarter of the prior fiscal year that did not recur in the current fiscal year.</w:t>
      </w:r>
    </w:p>
    <w:p>
      <w:pPr>
        <w:spacing w:after="0" w:line="18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Company files federal and state income tax returns in the United States and in various foreign jurisdictions. The Company’s fiscal years 2021 through 2024 are generally open and subject to potential examination by U.S. federal tax authorities. The Company’s fiscal years 2020 through 2024 are generally open and subject to potential examination by state tax authorities. The Company’s fiscal years 2017 to 2024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3"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As of October 31, 2024, the gross amount of unrecognized tax benefits was approximately $23.8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It is reasonably possible that within the next 12 months the Company's unrecognized tax benefits could potentially be reduced by up to $9.0 million.</w:t>
      </w:r>
    </w:p>
    <w:p>
      <w:pPr>
        <w:spacing w:after="0" w:line="399" w:lineRule="exact"/>
        <w:rPr>
          <w:sz w:val="20"/>
          <w:szCs w:val="20"/>
          <w:color w:val="auto"/>
        </w:rPr>
      </w:pPr>
    </w:p>
    <w:p>
      <w:pPr>
        <w:ind w:left="520" w:right="7880" w:hanging="512"/>
        <w:spacing w:after="0" w:line="532" w:lineRule="auto"/>
        <w:tabs>
          <w:tab w:leader="none" w:pos="28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Contract Manufacturer Commitments</w:t>
      </w:r>
    </w:p>
    <w:p>
      <w:pPr>
        <w:spacing w:after="0" w:line="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October 31, 2024 and January 31, 2024, total manufacturing purchase commitments were approximately $51.4 million and $30.7 million, respectively. The Company also reviews and assesses the need for any expected loss liabilities on quarterly basis for all products that it does not expect to sell for which it has committed purchases from suppliers and records the liabilities in accrued and other current liabilities in the condensed consolidated balance sheets. There were no material loss liabilities recorded in the condensed consolidated balance sheets from adverse purchase commitments as of October 31, 2024 and January 31, 2024.</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fiscal year 2025, the Company entered into a noncancellable service contract with a third-party for its IT infrastructure service and committed to purchase a noncancelable on-premise internal-use software license for product design. As of October 31, 2024, the total commitments for the service and license were approximately $8.0 million.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October 31, 2024, and no liabilities have been recorded for these obligations in the condensed consolidated balance sheets as of October 31, 2024 and January 31, 2024,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October 31, 2024 and January 31, 2024, there were no accruals for contingent liabilities related to such matters recorded in the condensed consolidated balance sheets.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29"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7"/>
          <w:szCs w:val="17"/>
          <w:color w:val="auto"/>
        </w:rPr>
        <w:t>The Company operates in one operating and reporting segment related to the development and sales of low-power, HD, Ultra HD video compression, image processing and AI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55"/>
        </w:trPr>
        <w:tc>
          <w:tcPr>
            <w:tcW w:w="40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r>
      <w:tr>
        <w:trPr>
          <w:trHeight w:val="142"/>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54,612</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27,179</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128,127</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91,295</w:t>
            </w:r>
          </w:p>
        </w:tc>
        <w:tc>
          <w:tcPr>
            <w:tcW w:w="80" w:type="dxa"/>
            <w:vAlign w:val="bottom"/>
            <w:shd w:val="clear" w:color="auto" w:fill="CFF0FC"/>
          </w:tcPr>
          <w:p>
            <w:pPr>
              <w:spacing w:after="0"/>
              <w:rPr>
                <w:sz w:val="18"/>
                <w:szCs w:val="18"/>
                <w:color w:val="auto"/>
              </w:rPr>
            </w:pPr>
          </w:p>
        </w:tc>
      </w:tr>
      <w:tr>
        <w:trPr>
          <w:trHeight w:val="24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45,378</w:t>
            </w:r>
          </w:p>
        </w:tc>
        <w:tc>
          <w:tcPr>
            <w:tcW w:w="80" w:type="dxa"/>
            <w:vAlign w:val="bottom"/>
          </w:tcPr>
          <w:p>
            <w:pPr>
              <w:spacing w:after="0"/>
              <w:rPr>
                <w:sz w:val="21"/>
                <w:szCs w:val="2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80" w:type="dxa"/>
            <w:vAlign w:val="bottom"/>
            <w:shd w:val="clear" w:color="auto" w:fill="CFF0FC"/>
          </w:tcPr>
          <w:p>
            <w:pPr>
              <w:spacing w:after="0"/>
              <w:rPr>
                <w:sz w:val="18"/>
                <w:szCs w:val="18"/>
                <w:color w:val="auto"/>
              </w:rPr>
            </w:pPr>
          </w:p>
        </w:tc>
      </w:tr>
      <w:tr>
        <w:trPr>
          <w:trHeight w:val="24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80" w:type="dxa"/>
            <w:vAlign w:val="bottom"/>
          </w:tcPr>
          <w:p>
            <w:pPr>
              <w:spacing w:after="0"/>
              <w:rPr>
                <w:sz w:val="21"/>
                <w:szCs w:val="21"/>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200,850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174,858</w:t>
            </w:r>
          </w:p>
        </w:tc>
        <w:tc>
          <w:tcPr>
            <w:tcW w:w="8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-170815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596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Substantially all of the Company’s property and equipment were located in the Asia Pacific region, United States and Europe. As of October 31, 2024, the net amount of these fixed assets located in these regions was approximately $4.4 million, $4.2 million and $1.1 million, respectively. As of January 31, 2024, the net amount of these fixed assets located in these regions was approximately $5.3 million, $3.9 million and $1.2 million, respectively.</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right="40" w:firstLine="554"/>
        <w:spacing w:after="0" w:line="256" w:lineRule="auto"/>
        <w:rPr>
          <w:sz w:val="20"/>
          <w:szCs w:val="20"/>
          <w:color w:val="auto"/>
        </w:rPr>
      </w:pPr>
      <w:r>
        <w:rPr>
          <w:rFonts w:ascii="Times New Roman" w:cs="Times New Roman" w:eastAsia="Times New Roman" w:hAnsi="Times New Roman"/>
          <w:sz w:val="18"/>
          <w:szCs w:val="18"/>
          <w:color w:val="auto"/>
        </w:rPr>
        <w:t>In the current fiscal year, the customers representing 10% or more of revenue were WT and Chicony, which accounted for approximately 66.1% and 10.7% of total revenue for the three months ended October 31, 2024, respectively, and accounted for approximately 63.8% and 10.2% of total revenue for the nine months ended October 31, 2024, respectively. In the prior fiscal year, for the three months ended October 31, 2023, the customers representing 10% or more of revenue were WT, Hakuto and Chicony, which accounted for approximately 53.7%, 12.0% and 11.7% of total revenue, respectively. For the nine months ended October 31, 2023, the customers representing 10% or more of revenue were WT and Chicony, which accounted for approximately 52.2% and 13.9% of total revenue, respectively.</w:t>
      </w:r>
    </w:p>
    <w:p>
      <w:pPr>
        <w:spacing w:after="0" w:line="79" w:lineRule="exact"/>
        <w:rPr>
          <w:sz w:val="20"/>
          <w:szCs w:val="20"/>
          <w:color w:val="auto"/>
        </w:rPr>
      </w:pPr>
    </w:p>
    <w:p>
      <w:pPr>
        <w:ind w:right="420" w:firstLine="562"/>
        <w:spacing w:after="0" w:line="282" w:lineRule="auto"/>
        <w:rPr>
          <w:sz w:val="20"/>
          <w:szCs w:val="20"/>
          <w:color w:val="auto"/>
        </w:rPr>
      </w:pPr>
      <w:r>
        <w:rPr>
          <w:rFonts w:ascii="Times New Roman" w:cs="Times New Roman" w:eastAsia="Times New Roman" w:hAnsi="Times New Roman"/>
          <w:sz w:val="18"/>
          <w:szCs w:val="18"/>
          <w:color w:val="auto"/>
        </w:rPr>
        <w:t>Accounts receivable with WT and Chicony were approximately $16.8 million and $9.4 million as of October 31, 2024, respectively. Accounts receivable with WT and Chicony were approximately $10.3 million and $7.0 million as of January 31, 2024,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ind w:left="10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2024 and management’s discussion and analysis of our financial condition and results of operations included in our Annual Report on Form 10-K for the 2024 fiscal year filed with the Securities and Exchange Commission, or SEC, on March 29, 2024.</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risks associated with the overall economy, including higher inflation and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artificial intelligence and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 leading developer of low-power system-on-a-chip, or SoC, semiconductors providing powerful artificial intelligence,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artificial intelligence, or AI, technology that enables edge devices to visually perceive the environment and make decisions based on the data collected from cameras and, most recently, other types of sensors. This category of AI technology is known as computer vision (CV) or edge inference AI, and our CV SoCs integrate our state-of-the-art video processor technology together with our deep learning neural network processing technology, which we refer to as CVflow™. The CVflow-architecture supports a variety of CV algorithms, including object detection, classification and tracking, semantic and instance segmentation, image processing, stereo object detection, and terrain mapping. CVflow can process other sensor modalities including lidar and radar, and allows customers to differentiate their products by porting their own, or third-party, neural networks and/or classical CV algorithms to our CVflow-based SoCs. Our latest third generation CVflow technology enables us to address incremental and computationally intense AI applications for deep fusion, deep planning, and large language models (LLMs), as well as efficiently process transformer AI networks.</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SoC designs fully integrate AI and CV functionality, high-definition, or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applications. We anticipate that our CV technology will also enable us to capture more content per electronic system and increase our average selling price.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development efforts are focused on SoCs that provide human viewing, computer vision and radar detection functionalities. As a result, we believe that our future revenue growth, if any, will significantly depend upon our ability to expand within camera markets with our computer vision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8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9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6 to 24 months. We anticipate that product life cycles will typically be longer than 24 months in the OEM automotive and industrial and robotics markets, as new product introductions occur less frequently in these markets.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21" w:lineRule="exact"/>
        <w:rPr>
          <w:sz w:val="20"/>
          <w:szCs w:val="20"/>
          <w:color w:val="auto"/>
        </w:rPr>
      </w:pPr>
    </w:p>
    <w:p>
      <w:pPr>
        <w:ind w:left="1540" w:hanging="514"/>
        <w:spacing w:after="0" w:line="256"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$82.7 million and $200.9 million for the three and nine months ended October 31, 2024, respectively. This represented an increase of 63.4% and 14.9%, respectively, as compared to the same periods in the prior fiscal year. The increases in revenue were primarily attributable to higher product unit shipments driven by customers' new product ramps, an increased percentage of our sales from higher value AI inference processors which contribute to a higher average selling price, as well as higher nonrecurring engineering (NRE) project service revenue. For the nine months ended October 31, 2024, the increased revenue was partially offset by lower video processor product unit shipments.</w:t>
      </w:r>
    </w:p>
    <w:p>
      <w:pPr>
        <w:spacing w:after="0" w:line="79" w:lineRule="exact"/>
        <w:rPr>
          <w:rFonts w:ascii="Times New Roman" w:cs="Times New Roman" w:eastAsia="Times New Roman" w:hAnsi="Times New Roman"/>
          <w:sz w:val="18"/>
          <w:szCs w:val="18"/>
          <w:color w:val="auto"/>
        </w:rPr>
      </w:pPr>
    </w:p>
    <w:p>
      <w:pPr>
        <w:ind w:left="1540" w:hanging="514"/>
        <w:spacing w:after="0" w:line="258"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operating losses of $25.5 million and $101.2 million for the three and nine months ended October 31, 2024, respectively, as compared to operating losses of $42.0 million and $112.8 million for the three and nine months ended October 31, 2023, respectively. The reduced operating losses were primarily attributable to higher revenue and improved gross margin, partially offset by increased operating expenses. The increased operating expenses primarily related to higher engineering-related expenses associated with the development progress and an increase in number of chips in development.</w:t>
      </w:r>
    </w:p>
    <w:p>
      <w:pPr>
        <w:spacing w:after="0" w:line="75" w:lineRule="exact"/>
        <w:rPr>
          <w:rFonts w:ascii="Times New Roman" w:cs="Times New Roman" w:eastAsia="Times New Roman" w:hAnsi="Times New Roman"/>
          <w:sz w:val="18"/>
          <w:szCs w:val="18"/>
          <w:color w:val="auto"/>
        </w:rPr>
      </w:pPr>
    </w:p>
    <w:p>
      <w:pPr>
        <w:ind w:left="1540" w:right="140" w:hanging="514"/>
        <w:spacing w:after="0" w:line="258"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$8.4 million for the nine months ended October 31, 2024, as compared to $23.1 million for the nine months ended October 31, 2023. The lower cash flows from operating activities were primarily attributable to lower net cash flow from working capital, including lower collections of accounts receivable associated with the timing of sales and increased inventory purchases based on expected future demand from customers, partially offset by reduced net loss adjusted for certain non-cash items.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 w:name="page22"/>
    <w:bookmarkEnd w:id="21"/>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AI and Computer Vision Trends</w:t>
      </w:r>
      <w:r>
        <w:rPr>
          <w:rFonts w:ascii="Times New Roman" w:cs="Times New Roman" w:eastAsia="Times New Roman" w:hAnsi="Times New Roman"/>
          <w:sz w:val="18"/>
          <w:szCs w:val="18"/>
          <w:color w:val="auto"/>
        </w:rPr>
        <w:t>. 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IoT, automotive, industrial and robotics markets. As a result, we believe that our ability to develop advanced AI and computer vision technologies,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our design wins with our customers.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including advanced process technologies.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83"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8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Continued Concentration of Revenue by End Market</w:t>
      </w:r>
      <w:r>
        <w:rPr>
          <w:rFonts w:ascii="Times New Roman" w:cs="Times New Roman" w:eastAsia="Times New Roman" w:hAnsi="Times New Roman"/>
          <w:sz w:val="18"/>
          <w:szCs w:val="18"/>
          <w:color w:val="auto"/>
        </w:rPr>
        <w:t>. Historically, our revenue has been significantly concentrated in a small number of end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9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2" w:name="page23"/>
    <w:bookmarkEnd w:id="22"/>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9 to 18 months following a design win; however, in some markets, lengthier product and development cycles are possible, depending on the scope and nature of the project, such as in the automotive market. An IoT product typically has a product life cycle of 6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183"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Impact of Global Supply Chain Conditions on Our Business. </w:t>
      </w:r>
      <w:r>
        <w:rPr>
          <w:rFonts w:ascii="Times New Roman" w:cs="Times New Roman" w:eastAsia="Times New Roman" w:hAnsi="Times New Roman"/>
          <w:sz w:val="18"/>
          <w:szCs w:val="18"/>
          <w:color w:val="auto"/>
        </w:rPr>
        <w:t>Due in part to impacts of the COVID-19 pandemic, the semiconductor industry faced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global supply chain challenges over the past few years. Supply chain issues can impact our business as they relate to both our suppliers and our customers. With respect to our suppliers, we have experienced supply constraints for certain chips from Samsung Electronics Corporation and we may in the future experience similar issues. With respect to our customers, to the extent customers face supply chain issues with other components needed to pair with our products in order to produce their end products, such customers may delay future orders of our products or hold inventory of our products for longer periods of time. Recent supply chain challenges have substantially subsided and we expect conditions to return to more stability in future periods.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 of operations for the periods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5"/>
                <w:szCs w:val="15"/>
                <w:color w:val="auto"/>
              </w:rPr>
            </w:pPr>
          </w:p>
        </w:tc>
        <w:tc>
          <w:tcPr>
            <w:tcW w:w="17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82,653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200,850</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$ 174,858</w:t>
            </w: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20,612</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78,901</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121,949</w:t>
            </w: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105,964</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169,286</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163,060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53,905</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223,191</w:t>
            </w: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218,810</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(25,510 )</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(41,965 )</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(101,242 )</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(112,846 )</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(23,419 )</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(40,065 )</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(94,735 )</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(108,923 )</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(24,071 )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(41,710 )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(96,892 )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(108,810 )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-1362075</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-1362075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-1362075</wp:posOffset>
            </wp:positionV>
            <wp:extent cx="431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-1362075</wp:posOffset>
            </wp:positionV>
            <wp:extent cx="431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-770890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-770890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-770890</wp:posOffset>
            </wp:positionV>
            <wp:extent cx="431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-770890</wp:posOffset>
            </wp:positionV>
            <wp:extent cx="431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-471170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-471170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-471170</wp:posOffset>
            </wp:positionV>
            <wp:extent cx="431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-471170</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-170815</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-170815</wp:posOffset>
            </wp:positionV>
            <wp:extent cx="431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results as a percentage of revenue of each line item for the periods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94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92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tcBorders>
              <w:bottom w:val="single" w:sz="8" w:color="auto"/>
            </w:tcBorders>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(50 )</w:t>
            </w: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4"/>
          </w:tcPr>
          <w:p>
            <w:pPr>
              <w:jc w:val="right"/>
              <w:ind w:right="220"/>
              <w:spacing w:after="0" w:line="210" w:lineRule="exact"/>
              <w:rPr>
                <w:sz w:val="20"/>
                <w:szCs w:val="20"/>
                <w:color w:val="auto"/>
              </w:rPr>
            </w:pPr>
            <w:r>
              <w:rPr>
                <w:rFonts w:ascii="Times New Roman" w:cs="Times New Roman" w:eastAsia="Times New Roman" w:hAnsi="Times New Roman"/>
                <w:sz w:val="14"/>
                <w:szCs w:val="14"/>
                <w:color w:val="auto"/>
              </w:rPr>
              <w:t xml:space="preserve">(29 ) </w:t>
            </w:r>
            <w:r>
              <w:rPr>
                <w:rFonts w:ascii="Times New Roman" w:cs="Times New Roman" w:eastAsia="Times New Roman" w:hAnsi="Times New Roman"/>
                <w:sz w:val="24"/>
                <w:szCs w:val="24"/>
                <w:color w:val="auto"/>
                <w:vertAlign w:val="subscript"/>
              </w:rPr>
              <w:t>%</w:t>
            </w:r>
          </w:p>
        </w:tc>
        <w:tc>
          <w:tcPr>
            <w:tcW w:w="920" w:type="dxa"/>
            <w:vAlign w:val="bottom"/>
            <w:gridSpan w:val="4"/>
          </w:tcPr>
          <w:p>
            <w:pPr>
              <w:jc w:val="right"/>
              <w:ind w:right="48"/>
              <w:spacing w:after="0" w:line="210" w:lineRule="exact"/>
              <w:rPr>
                <w:sz w:val="20"/>
                <w:szCs w:val="20"/>
                <w:color w:val="auto"/>
              </w:rPr>
            </w:pPr>
            <w:r>
              <w:rPr>
                <w:rFonts w:ascii="Times New Roman" w:cs="Times New Roman" w:eastAsia="Times New Roman" w:hAnsi="Times New Roman"/>
                <w:sz w:val="14"/>
                <w:szCs w:val="14"/>
                <w:color w:val="auto"/>
              </w:rPr>
              <w:t xml:space="preserve">(82 ) </w:t>
            </w:r>
            <w:r>
              <w:rPr>
                <w:rFonts w:ascii="Times New Roman" w:cs="Times New Roman" w:eastAsia="Times New Roman" w:hAnsi="Times New Roman"/>
                <w:sz w:val="24"/>
                <w:szCs w:val="24"/>
                <w:color w:val="auto"/>
                <w:vertAlign w:val="subscript"/>
              </w:rPr>
              <w:t>%</w:t>
            </w:r>
          </w:p>
        </w:tc>
        <w:tc>
          <w:tcPr>
            <w:tcW w:w="1020" w:type="dxa"/>
            <w:vAlign w:val="bottom"/>
            <w:gridSpan w:val="3"/>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 xml:space="preserve">(48 ) </w:t>
            </w:r>
            <w:r>
              <w:rPr>
                <w:rFonts w:ascii="Times New Roman" w:cs="Times New Roman" w:eastAsia="Times New Roman" w:hAnsi="Times New Roman"/>
                <w:sz w:val="24"/>
                <w:szCs w:val="24"/>
                <w:color w:val="auto"/>
                <w:vertAlign w:val="subscript"/>
              </w:rPr>
              <w:t>%</w:t>
            </w:r>
          </w:p>
        </w:tc>
        <w:tc>
          <w:tcPr>
            <w:tcW w:w="880" w:type="dxa"/>
            <w:vAlign w:val="bottom"/>
            <w:gridSpan w:val="4"/>
          </w:tcPr>
          <w:p>
            <w:pPr>
              <w:jc w:val="right"/>
              <w:spacing w:after="0" w:line="210" w:lineRule="exact"/>
              <w:rPr>
                <w:sz w:val="20"/>
                <w:szCs w:val="20"/>
                <w:color w:val="auto"/>
              </w:rPr>
            </w:pPr>
            <w:r>
              <w:rPr>
                <w:rFonts w:ascii="Times New Roman" w:cs="Times New Roman" w:eastAsia="Times New Roman" w:hAnsi="Times New Roman"/>
                <w:sz w:val="14"/>
                <w:szCs w:val="14"/>
                <w:color w:val="auto"/>
              </w:rPr>
              <w:t>(62 )</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-1782445</wp:posOffset>
            </wp:positionV>
            <wp:extent cx="4989195"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-770890</wp:posOffset>
            </wp:positionV>
            <wp:extent cx="51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-770890</wp:posOffset>
            </wp:positionV>
            <wp:extent cx="514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-770890</wp:posOffset>
            </wp:positionV>
            <wp:extent cx="514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-770890</wp:posOffset>
            </wp:positionV>
            <wp:extent cx="431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-471170</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-471170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-471170</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-471170</wp:posOffset>
            </wp:positionV>
            <wp:extent cx="43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-170815</wp:posOffset>
            </wp:positionV>
            <wp:extent cx="514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-170815</wp:posOffset>
            </wp:positionV>
            <wp:extent cx="514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514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431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23" w:name="page24"/>
    <w:bookmarkEnd w:id="23"/>
    <w:p>
      <w:pPr>
        <w:ind w:right="180" w:firstLine="509"/>
        <w:spacing w:after="0" w:line="277" w:lineRule="auto"/>
        <w:rPr>
          <w:sz w:val="20"/>
          <w:szCs w:val="20"/>
          <w:color w:val="auto"/>
        </w:rPr>
      </w:pPr>
      <w:r>
        <w:rPr>
          <w:rFonts w:ascii="Times New Roman" w:cs="Times New Roman" w:eastAsia="Times New Roman" w:hAnsi="Times New Roman"/>
          <w:sz w:val="17"/>
          <w:szCs w:val="17"/>
          <w:color w:val="auto"/>
        </w:rPr>
        <w:t>We derive substantially all of our revenue from the sale of HD and Ultra HD video and image processing SoC solutions to IoT OEMs, IoT ODMs, automotive OEMs or Tier-1 automotive suppliers, either directly or through our distributors. A substantial portion of our revenue from sales was made indirectly through our two major distributors, WT Microelectronics Co., Ltd., formerly Wintech Microelectronics Co., Ltd., or WT, which serves as our non-exclusive sales representative and fulfillment partner in Asia other than Japan, and Hakuto Co., Ltd., or Hakuto, a Japanese distributor, and from one ODM, Chicony Electronics Co., Ltd., or Chicony, which manufactures devices incorporating our solutions on behalf of multiple end-customers.</w:t>
      </w:r>
    </w:p>
    <w:p>
      <w:pPr>
        <w:spacing w:after="0" w:line="1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average selling prices fluctuate based on the mix of our solutions sold in a period which reflects the impact of both changes in unit sales of existing solutions as well as the introduction and sales of new solutions. Our AI and CV-based solutions generally have higher selling prices than our traditional video and image processing SoC solutions that do not enable AI or CV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1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consumer preferences have evolved in response to new technologies. As a result, the composition and timing of our revenue may change in future periods. We expect shifts in consumer use of video capture to continue to change over time, as AI and computer vision specialized use cases emerge and video capture continues to proliferate.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and software licenses, warranty and other general overhead costs.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the cost and depreciation of equipment, outside services as well as allocated depreciation and facility expenses. All research and development costs are expensed as incurred. We expect our research and development expense to generally increase in absolute dollars as we continue to enhance and expand our product features and offerings and increase headcount for new SoC development and development of computer vision technology.</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related to accounting, tax, legal services, and allocated depreciation and facility expenses.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Other income, net, primarily consists of interest income and yields from our cash deposits and debt security investments, realized gains and losses from equity and debt security investments, subsidies granted by foreign governments, as well as gains and losses from foreign currency transactions and remeasurements.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firstLine="478"/>
        <w:spacing w:after="0" w:line="256"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also conduct business in several locations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October 31, 2024 and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22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130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820" w:type="dxa"/>
            <w:vAlign w:val="bottom"/>
            <w:tcBorders>
              <w:bottom w:val="single" w:sz="8" w:color="auto"/>
            </w:tcBorders>
          </w:tcPr>
          <w:p>
            <w:pPr>
              <w:jc w:val="right"/>
              <w:ind w:right="18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2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980" w:type="dxa"/>
            <w:vAlign w:val="bottom"/>
            <w:gridSpan w:val="3"/>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82,653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32,058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63.4 %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$ 174,858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25,992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Revenue increased for the three and nine months ended October 31, 2024, as compared to the same periods in the prior fiscal year, primarily due to higher product unit shipments driven by customers' new product ramps, an increased percentage of our sales from higher value AI inference processors which contribute to a higher average selling price, as well as higher nonrecurring engineering (NRE) project service revenue. For the nine months ended October 31, 2024, the increased revenue was partially offset by lower video processor product unit shipments.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21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122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26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31,</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31,</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980" w:type="dxa"/>
            <w:vAlign w:val="bottom"/>
          </w:tcPr>
          <w:p>
            <w:pPr>
              <w:spacing w:after="0"/>
              <w:rPr>
                <w:sz w:val="13"/>
                <w:szCs w:val="13"/>
                <w:color w:val="auto"/>
              </w:rPr>
            </w:pPr>
          </w:p>
        </w:tc>
        <w:tc>
          <w:tcPr>
            <w:tcW w:w="840" w:type="dxa"/>
            <w:vAlign w:val="bottom"/>
          </w:tcPr>
          <w:p>
            <w:pPr>
              <w:jc w:val="right"/>
              <w:ind w:right="20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1220" w:type="dxa"/>
            <w:vAlign w:val="bottom"/>
            <w:gridSpan w:val="3"/>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jc w:val="right"/>
              <w:ind w:right="26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800" w:type="dxa"/>
            <w:vAlign w:val="bottom"/>
          </w:tcPr>
          <w:p>
            <w:pPr>
              <w:jc w:val="right"/>
              <w:ind w:right="18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126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60.6 %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59.3 %</w:t>
            </w: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60.7 %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60.6 %</w:t>
            </w:r>
          </w:p>
        </w:tc>
        <w:tc>
          <w:tcPr>
            <w:tcW w:w="12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Gross margin increased for the three and nine months ended October 31, 2024, as compared to the same periods in the prior fiscal year, primarily due to favorable product mix, increased higher margin NRE project service revenue, as well as lower net inventory reserve. For the nine months ended October 31, 2024, the gross margin was also positively impacted by higher sales of inventory that was previously reserved. The increased gross margin for the three and nine months ended October 31, 2024 were partially offset by higher manufacturing costs associated with advanced process technologies.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80" w:type="dxa"/>
            <w:vAlign w:val="bottom"/>
          </w:tcPr>
          <w:p>
            <w:pPr>
              <w:spacing w:after="0"/>
              <w:rPr>
                <w:sz w:val="13"/>
                <w:szCs w:val="13"/>
                <w:color w:val="auto"/>
              </w:rPr>
            </w:pPr>
          </w:p>
        </w:tc>
        <w:tc>
          <w:tcPr>
            <w:tcW w:w="1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8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40" w:type="dxa"/>
            <w:vAlign w:val="bottom"/>
          </w:tcPr>
          <w:p>
            <w:pPr>
              <w:spacing w:after="0"/>
              <w:rPr>
                <w:sz w:val="13"/>
                <w:szCs w:val="13"/>
                <w:color w:val="auto"/>
              </w:rPr>
            </w:pPr>
          </w:p>
        </w:tc>
        <w:tc>
          <w:tcPr>
            <w:tcW w:w="840" w:type="dxa"/>
            <w:vAlign w:val="bottom"/>
            <w:tcBorders>
              <w:bottom w:val="single" w:sz="8" w:color="auto"/>
            </w:tcBorders>
          </w:tcPr>
          <w:p>
            <w:pPr>
              <w:jc w:val="right"/>
              <w:ind w:right="20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0" w:type="dxa"/>
            <w:vAlign w:val="bottom"/>
            <w:gridSpan w:val="3"/>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58,389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53,702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$ 163,060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6,226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-273685</wp:posOffset>
            </wp:positionV>
            <wp:extent cx="6412230" cy="2743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412230" cy="274320"/>
                    </a:xfrm>
                    <a:prstGeom prst="rect">
                      <a:avLst/>
                    </a:prstGeom>
                    <a:noFill/>
                  </pic:spPr>
                </pic:pic>
              </a:graphicData>
            </a:graphic>
          </wp:anchor>
        </w:drawing>
      </w:r>
    </w:p>
    <w:p>
      <w:pPr>
        <w:spacing w:after="0" w:line="178"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Research and development expense increased for the three and nine months ended October 31, 2024, as compared to the same periods in the prior fiscal year, primarily due to approximately $2.9 million and $5.0 million, respectively, of additional engineering-related expenses associated with the development progress and an increase in number of chips in development. Personnel costs for the three and nine months ended October 31, 2024 increased by approximately $1.7 million and $1.1 million, respectively, as a result of higher headcount in support of our AI technology development activities.</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20" w:type="dxa"/>
            <w:vAlign w:val="bottom"/>
          </w:tcPr>
          <w:p>
            <w:pPr>
              <w:spacing w:after="0"/>
              <w:rPr>
                <w:sz w:val="13"/>
                <w:szCs w:val="13"/>
                <w:color w:val="auto"/>
              </w:rPr>
            </w:pPr>
          </w:p>
        </w:tc>
        <w:tc>
          <w:tcPr>
            <w:tcW w:w="12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80" w:type="dxa"/>
            <w:vAlign w:val="bottom"/>
          </w:tcPr>
          <w:p>
            <w:pPr>
              <w:spacing w:after="0"/>
              <w:rPr>
                <w:sz w:val="13"/>
                <w:szCs w:val="13"/>
                <w:color w:val="auto"/>
              </w:rPr>
            </w:pPr>
          </w:p>
        </w:tc>
        <w:tc>
          <w:tcPr>
            <w:tcW w:w="1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220" w:type="dxa"/>
            <w:vAlign w:val="bottom"/>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8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840" w:type="dxa"/>
            <w:vAlign w:val="bottom"/>
            <w:tcBorders>
              <w:bottom w:val="single" w:sz="8" w:color="auto"/>
            </w:tcBorders>
          </w:tcPr>
          <w:p>
            <w:pPr>
              <w:jc w:val="right"/>
              <w:ind w:right="20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780" w:type="dxa"/>
            <w:vAlign w:val="bottom"/>
            <w:tcBorders>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76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0" w:type="dxa"/>
            <w:vAlign w:val="bottom"/>
            <w:gridSpan w:val="3"/>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17,169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18,246</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(1,077 )</w:t>
            </w:r>
          </w:p>
        </w:tc>
        <w:tc>
          <w:tcPr>
            <w:tcW w:w="300" w:type="dxa"/>
            <w:vAlign w:val="bottom"/>
          </w:tcPr>
          <w:p>
            <w:pPr>
              <w:spacing w:after="0"/>
              <w:rPr>
                <w:sz w:val="20"/>
                <w:szCs w:val="20"/>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(5.9 )%$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55,750</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(1,845 )</w:t>
            </w:r>
          </w:p>
        </w:tc>
        <w:tc>
          <w:tcPr>
            <w:tcW w:w="36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-273685</wp:posOffset>
            </wp:positionV>
            <wp:extent cx="6412230" cy="274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12230" cy="274320"/>
                    </a:xfrm>
                    <a:prstGeom prst="rect">
                      <a:avLst/>
                    </a:prstGeom>
                    <a:noFill/>
                  </pic:spPr>
                </pic:pic>
              </a:graphicData>
            </a:graphic>
          </wp:anchor>
        </w:drawing>
      </w:r>
    </w:p>
    <w:p>
      <w:pPr>
        <w:spacing w:after="0" w:line="19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decreased for the three and nine months ended October 31, 2024, as compared to the same periods in the prior fiscal year, primarily due to lower personnel costs of approximately $1.0 million and $1.9 million, respectively, as a result of lower headcount.</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80" w:type="dxa"/>
            <w:vAlign w:val="bottom"/>
          </w:tcPr>
          <w:p>
            <w:pPr>
              <w:spacing w:after="0"/>
              <w:rPr>
                <w:sz w:val="13"/>
                <w:szCs w:val="13"/>
                <w:color w:val="auto"/>
              </w:rPr>
            </w:pPr>
          </w:p>
        </w:tc>
        <w:tc>
          <w:tcPr>
            <w:tcW w:w="1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3"/>
                <w:szCs w:val="13"/>
                <w:color w:val="auto"/>
              </w:rPr>
            </w:pPr>
          </w:p>
        </w:tc>
        <w:tc>
          <w:tcPr>
            <w:tcW w:w="7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0" w:type="dxa"/>
            <w:vAlign w:val="bottom"/>
            <w:gridSpan w:val="3"/>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10.1 %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increase in other income, net, for the three months ended October 31, 2024, as compared to the same period in the prior fiscal year, was primarily due to an approximately $0.2 million subsidy received from a foreign government. The increase in other income, net, for the nine months ended October 31, 2024, as compared to the same period in the prior fiscal year, was primarily due to an approximately $1.2 million impairment charge relating to an equity investment recognized in the second quarter of fiscal year 2024 that did not recur in the current fiscal year, as well as approximately $1.1 million of additional interest income and yields from our cash deposits and debt security investments and $0.4 million net gains from foreign currency transactions and remeasurements.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Provision (benefit) for</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(993 )</w:t>
            </w:r>
          </w:p>
        </w:tc>
        <w:tc>
          <w:tcPr>
            <w:tcW w:w="44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(60.4) %  $</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(2008.8) %</w:t>
            </w: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1.3 </w:t>
            </w:r>
            <w:r>
              <w:rPr>
                <w:rFonts w:ascii="Calibri" w:cs="Calibri" w:eastAsia="Calibri" w:hAnsi="Calibri"/>
                <w:sz w:val="19"/>
                <w:szCs w:val="19"/>
                <w:color w:val="auto"/>
              </w:rPr>
              <w:t>%</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gridSpan w:val="2"/>
          </w:tcPr>
          <w:p>
            <w:pPr>
              <w:jc w:val="right"/>
              <w:ind w:right="180"/>
              <w:spacing w:after="0" w:line="234" w:lineRule="exact"/>
              <w:rPr>
                <w:sz w:val="20"/>
                <w:szCs w:val="20"/>
                <w:color w:val="auto"/>
              </w:rPr>
            </w:pPr>
            <w:r>
              <w:rPr>
                <w:rFonts w:ascii="Calibri" w:cs="Calibri" w:eastAsia="Calibri" w:hAnsi="Calibri"/>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(2.4) </w:t>
            </w:r>
            <w:r>
              <w:rPr>
                <w:rFonts w:ascii="Calibri" w:cs="Calibri" w:eastAsia="Calibri" w:hAnsi="Calibri"/>
                <w:sz w:val="19"/>
                <w:szCs w:val="19"/>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quarterly income taxes reflect an estimate of the corresponding fiscal year’s annual effective tax rate and include, when applicable, adjustments from discrete tax items arising in the quarter.</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decrease in income tax expense for the three months ended October 31, 2024, as compared to the same period in the prior fiscal year, was primarily due to a decrease in the proportion of profits generated in higher tax jurisdictions. The increase in income tax expense for the nine months ended October 31, 2024, as compared to the same period in the prior fiscal year, was primarily due to tax benefit from the release of $3.6 million of valuation allowance on the deferred tax assets of Oculii Corp, or Oculii, in the prior fiscal year that did not recur in the current fiscal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October 31, 2024, we had cash, cash equivalents and marketable debt securities of approximately $226.5 million. We invest in highly-liquid, short-term marketable debt securities and hold these investments as available-for-sale securities. Refer to Note 2 of the Notes to Condensed Consolidated Financial Statements for additional information. The current inflationary environment in the United States and resulting higher interest rates have not had a material impact on our investment portfolio and financial position.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ind w:right="10"/>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18"/>
                <w:szCs w:val="18"/>
                <w:color w:val="auto"/>
              </w:rPr>
            </w:pPr>
          </w:p>
        </w:tc>
        <w:tc>
          <w:tcPr>
            <w:tcW w:w="12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(30,060 )</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2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(17,792 )</w:t>
            </w:r>
          </w:p>
        </w:tc>
        <w:tc>
          <w:tcPr>
            <w:tcW w:w="42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30,245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cash</w:t>
            </w:r>
          </w:p>
        </w:tc>
        <w:tc>
          <w:tcPr>
            <w:tcW w:w="26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-282575</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-282575</wp:posOffset>
            </wp:positionV>
            <wp:extent cx="431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06" w:lineRule="exact"/>
        <w:rPr>
          <w:sz w:val="20"/>
          <w:szCs w:val="20"/>
          <w:color w:val="auto"/>
        </w:rPr>
      </w:pPr>
    </w:p>
    <w:p>
      <w:pPr>
        <w:jc w:val="both"/>
        <w:ind w:right="140" w:firstLine="509"/>
        <w:spacing w:after="0" w:line="289" w:lineRule="auto"/>
        <w:rPr>
          <w:sz w:val="20"/>
          <w:szCs w:val="20"/>
          <w:color w:val="auto"/>
        </w:rPr>
      </w:pPr>
      <w:r>
        <w:rPr>
          <w:rFonts w:ascii="Times New Roman" w:cs="Times New Roman" w:eastAsia="Times New Roman" w:hAnsi="Times New Roman"/>
          <w:sz w:val="17"/>
          <w:szCs w:val="17"/>
          <w:color w:val="auto"/>
        </w:rPr>
        <w:t>Net cash provided by operating activities decreased for the nine months ended October 31, 2024, as compared to the same period in the prior fiscal year, primarily due to lower net cash flow from working capital, including lower collections of accounts receivable associated with the timing of sales and increased inventory purchases based on expected future demand from customers, partially offset by reduced net loss adjusted for certain non-cash items.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for the nine months ended October 31, 2024, as compared to the same period in the prior fiscal year, primarily due to approximately $39.0 million of additional net cash payments for our marketable debt security investments, partially offset by $3.9 million less in payments for the purchase of capital assets and licenses.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increased for the nine months ended October 31, 2024, as compared to the same period in the prior fiscal year, primarily due to approximately $2.7 million higher cash receipts from stock activities, partially offset by approximately $1.0 million higher principal payments associated with long-term software license agreements.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May 29, 2024, our Board of Directors approved an extension of our existing share repurchase program for an additional twelve months through June 30, 2025. The repurchase program does not obligate us to acquire any particular amount of ordinary shares, and it may be suspended at any time at our discretion. No ordinary shares were repurchased during the nine months ended October 31, 2024. As of October 31, 2024, there was approximately $49.0 million remaining available for repurchases under the current repurchase program through June 30, 2025.</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and Capital Expenditure Requirements</w:t>
      </w:r>
    </w:p>
    <w:p>
      <w:pPr>
        <w:spacing w:after="0" w:line="11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balances will be sufficient to meet our anticipated cash requirements through at least the next 12 months. In the future, we may require more working capital to meet our operating and capital expenditure needs. If our available cash balances are insufficient to satisfy our future liquidity requirements, we may seek to sell equity or convertible debt securities or borrow funds commercially.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2024, we had purchase obligations with our independent contract manufacturers of $51.4 million.</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second quarter of fiscal year 2025, we extended our Shanghai, Shenzhen and Italy office leases for an additional 36 months, 28 months and 22 months, respectively, with the earliest such extension commencing in July 2024 and the latest end date in November 2027. In the third quarter of fiscal year 2025, we also extended a facility lease in Santa Clara, California for an additional 24 months beginning from October 2024 to September 2026. The corresponding operating right-of-use assets and related lease liabilities have been recorded in the condensed consolidated balance sheets as of October 31, 2024. As of October 31, 2024, the total estimated future undiscounted cash payments for the extensions are approximately $3.6 million. Refer to Note 7 Leases of Notes to Condensed Consolidated Financial Statements for details of these extended leases.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During fiscal year 2025, we entered into a noncancellable service contract with a third-party for our IT infrastructure service and committed to purchase a noncancelable on-premise internal-use software license for product design. As of October 31, 2024, the estimated future undiscounted cash payments for the commitments were approximately $8.0 million and are expected to be paid between twelve months to sixty-one months from October 31, 2024.</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Except as described above, there were no other material changes in our contractual obligations, commitments and contingencies from those disclosed in our Annual Report on Form 10-K for the fiscal year ended January 31, 2024. Please see Item 7, “Management’s Discussion and Analysis of Financial Condition and Results of Operations – Contractual Obligations, Commitments and Contingencies” in our Annual Report on Form 10-K for the fiscal year ended January 31, 2024 for a description of our contractual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2024, we did not engage in any off-balance sheet arrangements, including the use of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of Notes to Condensed Consolidated Financial Statements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right="80"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2024 fiscal year filed with the SEC on March 29,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market risk as described in Part II, Item 7A. “Quantitative and Qualitative Disclosures About Market Risk” in our Annual Report on Form 10-K for the 2024 fiscal year filed with the SEC on March 29,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8" w:name="page29"/>
    <w:bookmarkEnd w:id="28"/>
    <w:p>
      <w:pPr>
        <w:ind w:firstLine="509"/>
        <w:spacing w:after="0" w:line="261"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due to the material weakness in our internal control over financial reporting described below, our disclosure controls and procedures were not effective as of October 31, 2024 at a reasonable assurance level. The material weakness did not result in a material misstatement to our interim consolidated financial statements for the period ended October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Identified Material Weakness in Internal Control Over Financial Reporting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reported in Part II, Item 9A. “Controls and Procedures” in our Annual Report on Form 10-K for the fiscal year ended January 31, 2024, our management identified a material weakness in our internal control over financial reporting as of January 31, 2024, as we did not design and maintain effective controls over the accounting for income taxes. Specifically, we did not have tax personnel with the appropriate skills and level of experience to assess complicated tax matters, and we did not properly identify, risk assess, design and maintain effective controls related to the income tax provision, including controls related to the evaluation of tax deductions and recognition and measurement of deferred tax assets. This material weakness resulted in immaterial errors to the provision for income taxes, deferred tax assets, income taxes payable, and income tax disclosures which were adjusted in the Company’s consolidated financial statements for the fiscal year ended January 31, 2024. Additionally, this material weakness could result in a misstatement of the aforementioned account balances or disclosures that would result in a material misstatement in our annual or interim consolidated financial statements that would not be prevented or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Efforts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order to remediate the material weakness described above, management continues to implement a remediation plan that includes strengthening our existing control activities with improved documentation standards, technical oversight and training, as well as implementing specific review procedures to enhance our income tax monitoring control. In the second quarter of fiscal year 2025, as part of strengthening our existing income tax controls, we hired a new tax director. In the third quarter of fiscal year 2025, we implemented specific review procedures designed to enhance our income tax monitoring control and strengthened existing income tax control activities with improved documentation standards, technical oversight and training. As we continue to evaluate and work to improve our internal control over financial reporting, we may take additional measures to address the material weakness, including but not limited to implementing further enhancements to existing control activities, as well as increasing our engagement of external subject matter experts on complex tax matters, as needed.</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material weakness described above will not be considered remediated until the internal controls described above have been implemented and operated effectively for a sufficient period of time for management to conclude, through testing, that they are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than the remediation plan outlined above, there were no changes in the Company’s internal control over financial reporting during the quarter ended October 31, 2024,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Disclosure Controls and Internal Control over Financial Reporting</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940" w:firstLine="509"/>
        <w:spacing w:after="0" w:line="282" w:lineRule="auto"/>
        <w:rPr>
          <w:sz w:val="20"/>
          <w:szCs w:val="20"/>
          <w:color w:val="auto"/>
        </w:rPr>
      </w:pPr>
      <w:r>
        <w:rPr>
          <w:rFonts w:ascii="Times New Roman" w:cs="Times New Roman" w:eastAsia="Times New Roman" w:hAnsi="Times New Roman"/>
          <w:sz w:val="18"/>
          <w:szCs w:val="18"/>
          <w:color w:val="auto"/>
        </w:rPr>
        <w:t>We are not engaged in any material legal proceedings at this time. Refer to Note 14, Commitments and Contingencies, to the condensed consolidated financial statements included in Part I, Item 1 of this Quarterly Report on Form 10-Q.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8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54" w:lineRule="exact"/>
        <w:rPr>
          <w:sz w:val="20"/>
          <w:szCs w:val="20"/>
          <w:color w:val="auto"/>
        </w:rPr>
      </w:pPr>
    </w:p>
    <w:p>
      <w:pPr>
        <w:ind w:left="1020" w:right="6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penetrate new markets, including the automotive original equipment manufacturer (OEM) and advanced driver assistance systems (ADAS) market, our revenue and financial condition could be harmed.</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global supply chain challenges could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adversely impact our gross margins and lead to reduced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inventory warehouse is located in Hong Kong and may be affected by political, social and economic conditions in Hong Kong.</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are subject to market risks, any of which could harm our business, revenue and operating results.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competition to increase in the future, which could have an adverse effect on our revenue and market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may have a material adverse effect on our business.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semiconductor solutions in our target markets have typically decreased over time and will likely do so in the future, which could harm our revenue and gross margins.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any future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117"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 We may have difficulty accurately predicting our future revenue and appropriately budgeting our expenses.</w:t>
      </w:r>
    </w:p>
    <w:p>
      <w:pPr>
        <w:spacing w:after="0" w:line="53" w:lineRule="exact"/>
        <w:rPr>
          <w:rFonts w:ascii="Times New Roman" w:cs="Times New Roman" w:eastAsia="Times New Roman" w:hAnsi="Times New Roman"/>
          <w:sz w:val="18"/>
          <w:szCs w:val="18"/>
          <w:color w:val="auto"/>
        </w:rPr>
      </w:pPr>
    </w:p>
    <w:p>
      <w:pPr>
        <w:ind w:left="503" w:right="360"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transitioning to new wafer fabrication process technologies or achieving higher levels of design integration, which may result in reduced manufacturing yields, delays in product deliveries and increased costs.</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industry standards could make our video and image processing solutions obsolete, which would cause our operating results to suffer.</w:t>
      </w:r>
    </w:p>
    <w:p>
      <w:pPr>
        <w:spacing w:after="0" w:line="53" w:lineRule="exact"/>
        <w:rPr>
          <w:rFonts w:ascii="Times New Roman" w:cs="Times New Roman" w:eastAsia="Times New Roman" w:hAnsi="Times New Roman"/>
          <w:sz w:val="18"/>
          <w:szCs w:val="18"/>
          <w:color w:val="auto"/>
        </w:rPr>
      </w:pPr>
    </w:p>
    <w:p>
      <w:pPr>
        <w:jc w:val="both"/>
        <w:ind w:left="503" w:right="340" w:hanging="503"/>
        <w:spacing w:after="0" w:line="312" w:lineRule="auto"/>
        <w:tabs>
          <w:tab w:leader="none" w:pos="50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31" w:lineRule="exact"/>
        <w:rPr>
          <w:rFonts w:ascii="Times New Roman" w:cs="Times New Roman" w:eastAsia="Times New Roman" w:hAnsi="Times New Roman"/>
          <w:sz w:val="17"/>
          <w:szCs w:val="17"/>
          <w:color w:val="auto"/>
        </w:rPr>
      </w:pPr>
    </w:p>
    <w:p>
      <w:pPr>
        <w:ind w:left="503" w:right="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we may make in the future could disrupt our business, cause dilution to our shareholders, reduce our financial resources and harm our business.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tax risks, including relating to the complexity of calculating our tax provision, changes in effective tax rates, or unfavorable tax law changes.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incorporate components supplied by multiple third parties, and a supply shortage or delay in delivery of these components could delay orders for our solutions by our customers.</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67"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may cause disruptions in our shipments, which may adversely affect our operations and financial condition.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various third-party vendors, service providers and contractors in the operation of our business.</w:t>
      </w:r>
    </w:p>
    <w:p>
      <w:pPr>
        <w:spacing w:after="0" w:line="117"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high inflation and trade restrictions, recessionary concerns and trade restrictions, may impact our business and financial condition in ways that we currently cannot predict.</w:t>
      </w:r>
    </w:p>
    <w:p>
      <w:pPr>
        <w:spacing w:after="0" w:line="53" w:lineRule="exact"/>
        <w:rPr>
          <w:rFonts w:ascii="Times New Roman" w:cs="Times New Roman" w:eastAsia="Times New Roman" w:hAnsi="Times New Roman"/>
          <w:sz w:val="18"/>
          <w:szCs w:val="18"/>
          <w:color w:val="auto"/>
        </w:rPr>
      </w:pPr>
    </w:p>
    <w:p>
      <w:pPr>
        <w:ind w:left="503" w:right="2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 including China. In addition, our ability to sell certain products to certain China customers has been restricted.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w:t>
      </w:r>
    </w:p>
    <w:p>
      <w:pPr>
        <w:spacing w:after="0" w:line="11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regulatory compliance requirements, which are costly to comply with, and our failure to comply with these requirements could harm our business and operating results.</w:t>
      </w:r>
    </w:p>
    <w:p>
      <w:pPr>
        <w:spacing w:after="0" w:line="53"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intellectual property could affect our customers, which could trigger our indemnification obligations to them and result in substantial expense to us.</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 In addition, trade tensions between the United States and China and potential new export restrictions may make it more difficult to secure future design wins with China customers.</w:t>
      </w:r>
    </w:p>
    <w:p>
      <w:pPr>
        <w:spacing w:after="0" w:line="19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including the automotive OEM and ADAS market, our revenue and financial condition could be harmed.</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believe that our future revenue growth, if any, significantly depends on our ability to expand within the Internet of Things, or IoT, camera markets with our new artificial intelligence, or AI, computer vision SoC solutions, and penetrate, or further penetrate, the OEM automotive, robotics and industrial markets. Our AI computer vision SoC solutions have functionality that may also be applicable to other developing markets, such as processing of large language models (LLMs).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requires a substantial investment of our time and resources and we cannot assure you that we will secure design wins from these or other companies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 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spacing w:after="0" w:line="193"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that meet market requirements on a timely basis, our ability to attract and retain customers could be impaired and our competitive position could be harmed.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2" w:name="page33"/>
    <w:bookmarkEnd w:id="32"/>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As we develop and introduce new solutions, we also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Impacts of the global supply chain challenges could adversely affect our business, financial condition, and results of operations.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the COVID-19 global pandemic,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resulted in a lengthening of the manufacturing lead time for our products and impacting the normal forecasting and ordering patterns of our customers. To the extent customers faced supply chain issues with respect to other components needed to pair with our products in order to produce their end products, such customers delayed orders of our products or held inventory of our products for longer periods of time, resulting in a decline in our revenue. With respect to our suppliers, we experienced supply constraints for certain chips from Samsung. While these supply chain challenges have largely subsided, we may in the future experience similar issues.</w:t>
      </w:r>
    </w:p>
    <w:p>
      <w:pPr>
        <w:spacing w:after="0" w:line="185"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13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Many of our products support AI functionality implemented in our customers’ products, such as object detection, classification and tracking, image processing, and terrain mapping. Our latest generation of products also enable us to address computationally intense AI applications for deep fusion, deep planning, and large language models (LLMs) in edge devices. The adoption of AI solutions may not develop in the manner or in the time periods we anticipate and, as the markets for AI solutions are still developing, demand for these products may be unpredictable and vary significantly from one period to another. These factors may adversely impact demand for our AI related products. In addition, compliance with evolving government regulations worldwide related to AI may increase the costs related to the development of AI products and solutions and limit global adoption, which may also adversely impact demand for our AI related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Concerns relating to the responsible use of AI in our and our customers’ products may result in reputational and financial harm and liability. AI poses emerging ethical issues and presents risks and challenges that could affect its adoption, and therefore our business. If we or our customers enable or offer solutions that draw controversy due to their perceived or actual impact on society, such as AI solutions that have unintended consequences or are controversial, we may experience reputational harm, competitive harm, financial harm or legal liability.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The semiconductor industry recently experienced significant shortages of manufacturing capacity, which resulted in a lengthening of the manufacturing lead time for our products and which has at times harmed our revenue. While this capacity shortage has improved, lead times for our products remain longer than normal, which could negatively impact our ability to meet our customer’s demand for our products and have an adverse impact on our revenue, results of operations and customer relationships.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our customers having excess inventory.</w:t>
      </w:r>
    </w:p>
    <w:p>
      <w:pPr>
        <w:spacing w:after="0" w:line="184"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health and economic conditions in Hong Kong.</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our logistic partners. Hong Kong has experienced, and continues to experience, political unrest and social strife. The Bureau of Industry and Security, or BIS, of the U.S. Department of Commerce, or Commerce, imposes on Hong Kong the same stringent export and reexport controls applicable to China, including licensing requirements such as those applicable to SoCs and semiconductor end-uses.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88"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automotive and IoT markets. The application of computer vision functionality in these markets is relatively new, and we may be unable to predict the timing or development of these markets with accuracy. For example, a slower than expected adoption rate for AI technology in automotive or IP security camera applications could slow the demand for our new solutions. Similarly, changes in the projected growth rate for ADAS or autonomous driving technology in the automotive market due to government regulations or changes in consumer preferences could negatively impact demand for our solutions. If our key target markets do not grow, grow slower, or do not develop in ways that we currently expect, demand for our SoCs may not materialize as expected, and our business and operating results could suffer.</w:t>
      </w:r>
    </w:p>
    <w:p>
      <w:pPr>
        <w:spacing w:after="0" w:line="185"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during fiscal year 2023, we increased our inventory levels. These factors have substantially subsided and we expect conditions to return to more stability in future periods.</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pandemics,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8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79"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159"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7"/>
          <w:szCs w:val="17"/>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2024, the customers representing 10% or more of our revenue were WT Microelectronics Co., Ltd., or WT, which serves as our non-exclusive sales representative and fulfillment partner in Asia other than Japan, and Chicony Electronics Co., Ltd., or Chicony, one ODM which manufactures devices incorporating our solutions on behalf of multiple end-customers, accounted for approximately 53% and 14% of total revenue, respectively. For the nine months ended October 31, 2024, the customer representing 10% or more of our revenue were WT and Chicony, which accounted for approximately 64% and 10% of total revenue, respectively. In addition, we believe that revenue from our top 10 end customers, either directly or through a distributor or an ODM, accounted for approximately 51% of our total revenue in fiscal year 2024 and accounted for approximately 58% of our total revenue for the nine months ended October 31, 2024. We believe that our operating results in the near term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78"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p>
      <w:pPr>
        <w:ind w:firstLine="509"/>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nine to 12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33333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customers’, suppliers’ and employees’ confidential information. Accidental or willful security breaches or incidents or other unauthorized access by third parties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The costs to us to eliminate or alleviate cyber or other security problems, bugs, viruses, ransomware and other malicious software programs and security vulnerabilities could be significant, and our efforts to address these problems may not be successful and could result in interruptions and delays that may impede our sales, product distribution, financial reporting or other critical functions. In addition, we could incur significant costs in notifying affected persons and entities and otherwise complying with the multitude of foreign, federal, state and local laws and regulations relating to the unauthorized access to, or use or disclosure of, personal information.</w:t>
      </w:r>
    </w:p>
    <w:p>
      <w:pPr>
        <w:spacing w:after="0" w:line="188"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Security breaches and incidents, computer malware and computer hacking attacks have become more prevalent and sophisticated. These threats are constantly evolving, making it increasingly difficult to successfully defend against or implement adequate preventive measures, and we may face difficulties or delays in identifying and otherwise responding to any security breach or incident. Moreover, remote work by our personnel and remote access to our systems have increased significantly, which also increases our cybersecurity risk profile. We expect to incur significant costs in an effort to detect and prevent security breaches and incidents, and we may face increased costs and requirements to expend substantial resources in the event of an actual or perceived security breach or incident. Our policies and security measures cannot guarantee security, and our IT infrastructure, including our networks and systems, may be vulnerable to security breaches and incidents, cyber-attacks, or fraud. Third parties have attempted, and will likely continue to attempt, to penetrate and/or infect our network and systems with malicious software and phishing attacks in an effort to gain access to our network and systems. Experienced computer programmers and hackers may be able to penetrate our security controls and misappropriate or compromise our confidential information or that of third parties or create system disruptions. Computer programmers and hackers also may be able to deploy viruses, worms and other malicious software programs that attack our information systems and cause disruptions of our business. For portions of our IT infrastructure, we rely on products and services provided by third parties. These third-party products and services relate to, among other things, human resources, electronic communication services and some finance functions, and we are, of necessity, dependent on the security systems of these third-party providers. These third-party service providers are subject to similar, and in certain cases greater, security threats than we face. These third-party providers may also experience breaches, incidents, and attacks compromising or otherwise impacting their products, and their products may contain security vulnerabilities, each of which could impact our systems, and unauthorized access to the systems of our cloud-based service providers, any other security breaches or incidents impacting such systems, or the existence of computer viruses, ransomware or other malicious code in their data or software could expose us to a risk of loss, misappropriation, unavailability and other unauthorized processing of information. Data security breaches and incidents may also result from non-technical means, including, for example, intentional malfeasance or negligence by an employee or contractor. Any data security breach or incident or theft, misuse, loss, unavailability or other unauthorized processing of this information, or the perception that any of these matters has occurred, could result in, among other things, damage to our reputation, allegations by our customers that we have not performed our contractual obligations, regulatory investigations and other proceedings, litigation by affected parties and possible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ind w:right="60"/>
        <w:spacing w:after="0" w:line="254" w:lineRule="auto"/>
        <w:rPr>
          <w:sz w:val="20"/>
          <w:szCs w:val="20"/>
          <w:color w:val="auto"/>
        </w:rPr>
      </w:pPr>
      <w:r>
        <w:rPr>
          <w:rFonts w:ascii="Times New Roman" w:cs="Times New Roman" w:eastAsia="Times New Roman" w:hAnsi="Times New Roman"/>
          <w:sz w:val="18"/>
          <w:szCs w:val="18"/>
          <w:color w:val="auto"/>
        </w:rPr>
        <w:t>penalties, damages, and other liabilities, any of which could have a material adverse effect on our business, financial condition, our reputation, and our relationships with our customers and partners. We may also encounter or be subject to bugs, errors, or hacking or other events resulting in system interruptions or other disruptions, corruption or loss of data, an inability to accurately process or record transactions, and security or technical reliability issues. All of these could harm our ability to conduct core operating functions such as product development, customer support, processing purchase orders and invoices, processing payroll, product distribution, recording and reporting financial and management information on a timely and accurate basis, and could impact our internal control compliance efforts. Due to conflicts and geopolitical events such as the ongoing conflict between Russia and Ukraine, we and our vendors, contractors, and other third parties we work with are vulnerable to a heightened risk of cybersecurity attacks, phishing attacks, viruses, malware, ransomware, hacking or similar breaches and incidents from nation-state and affiliated actors, including attacks that could materially disrupt our supply chain and our systems and operations.</w:t>
      </w:r>
    </w:p>
    <w:p>
      <w:pPr>
        <w:spacing w:after="0" w:line="188" w:lineRule="exact"/>
        <w:rPr>
          <w:sz w:val="20"/>
          <w:szCs w:val="20"/>
          <w:color w:val="auto"/>
        </w:rPr>
      </w:pPr>
    </w:p>
    <w:p>
      <w:pPr>
        <w:ind w:right="260" w:firstLine="509"/>
        <w:spacing w:after="0" w:line="289" w:lineRule="auto"/>
        <w:rPr>
          <w:sz w:val="20"/>
          <w:szCs w:val="20"/>
          <w:color w:val="auto"/>
        </w:rPr>
      </w:pPr>
      <w:r>
        <w:rPr>
          <w:rFonts w:ascii="Times New Roman" w:cs="Times New Roman" w:eastAsia="Times New Roman" w:hAnsi="Times New Roman"/>
          <w:sz w:val="17"/>
          <w:szCs w:val="17"/>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54"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$215.1 million, $204.9 million and $167.3 million in fiscal years 2024, 2023 and 2022, respectively. For the nine months ended October 31, 2024, our research and development expense was $169.3 million. In general, we expect to increase our research and development expenditures in future periods as compared to prior periods as part of our strategy of focusing on the development of innovative computer vision, video and image processing solutions with increased functionality, and as we target key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could seriously harm our business.</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8" w:name="page39"/>
    <w:bookmarkEnd w:id="38"/>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semiconductor solutions in our target markets have typically decreased over time and will likely do so in the future, which could harm our revenue and gross margins.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AI computer vision-based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We expect that we will have to address pricing pressures again in the future, particularly in markets experiencing consolidation, which could require us to reduce the prices of our SoC solutions and harm our operating results.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growth successfully, we believe we must effectively, among other things:</w:t>
      </w:r>
    </w:p>
    <w:p>
      <w:pPr>
        <w:spacing w:after="0" w:line="72" w:lineRule="exact"/>
        <w:rPr>
          <w:sz w:val="20"/>
          <w:szCs w:val="20"/>
          <w:color w:val="auto"/>
        </w:rPr>
      </w:pPr>
    </w:p>
    <w:p>
      <w:pPr>
        <w:ind w:left="1020" w:right="3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train and manage additional qualified engineers for our research and development activities, particularly for the positions of semiconductor design and systems, AI computer vision development and applications engineering;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sales and business development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administrative, financial and operational systems, procedures and controls;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technology support for enterprise resource planning and design engineering by adapting and expanding our systems and tool capabilities, and properly training new hires as to their use;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able to secure sufficient manufacturing capacity.</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any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collection of accounts receivable. For the fiscal year ended January 31, 2024, the customers representing 10% or more of revenue were WT and Chicony, which accounted for approximately 53% and</w:t>
      </w:r>
    </w:p>
    <w:p>
      <w:pPr>
        <w:ind w:right="20"/>
        <w:spacing w:after="0" w:line="252" w:lineRule="auto"/>
        <w:rPr>
          <w:sz w:val="20"/>
          <w:szCs w:val="20"/>
          <w:color w:val="auto"/>
        </w:rPr>
      </w:pPr>
      <w:r>
        <w:rPr>
          <w:rFonts w:ascii="Times New Roman" w:cs="Times New Roman" w:eastAsia="Times New Roman" w:hAnsi="Times New Roman"/>
          <w:sz w:val="18"/>
          <w:szCs w:val="18"/>
          <w:color w:val="auto"/>
        </w:rPr>
        <w:t>14% of total revenue, respectively. As of January 31, 2024, accounts receivable with WT and Chicony were approximately $10.3 million and $7.0 million, respectively. For the nine months ended October 31, 2024, the customer representing 10% or more of revenue were WT and Chicony, which accounted for approximately 64% and 10% of total revenue, respectively. As of October 31, 2024, accounts receivable with WT and Chicony were approximately $16.8 million and $9.4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and cash flows would be negatively impacted.</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Recent supply chain challenges have largely subsided and we expect conditions to return to more stability in future periods.</w:t>
      </w:r>
    </w:p>
    <w:p>
      <w:pPr>
        <w:spacing w:after="0" w:line="188" w:lineRule="exact"/>
        <w:rPr>
          <w:sz w:val="20"/>
          <w:szCs w:val="20"/>
          <w:color w:val="auto"/>
        </w:rPr>
      </w:pPr>
    </w:p>
    <w:p>
      <w:pPr>
        <w:jc w:val="both"/>
        <w:ind w:right="2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84"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4nm or 3nm process nodes,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In addition, new or revised industry standards relating to AI technologies may impose additional requirements.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sales would suffer, and we could be required to make significant expenditures to develop new SoC solutions to ensure compliance with relevant standards.</w:t>
      </w:r>
    </w:p>
    <w:p>
      <w:pPr>
        <w:spacing w:after="0" w:line="221"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9"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 from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conflicts in Ukraine and the Middle East;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21"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we may make in the future could disrupt our business, cause dilution to our shareholders, reduce our financial resources and harm our business.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Prior to our acquisition of Oculii in 2021, we had not made any acquisitions since our acquisition of VisLab S.r.l. in 2015. Our ability to make and successfully integrate acquisitions is largely unproven.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1" w:name="page42"/>
    <w:bookmarkEnd w:id="4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climate change-related policies and regulations may have a long-term impact on our business.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Global climate change is causing, and is projected to continue to cause, an increase in the frequency and intensity of certain natural disasters. Additionally, adverse weather, such as drought, wildfires, severe storms, sea-level rise, flooding, heat waves and cold waves, may occur, more frequently and/or with greater intensity. Such extreme events are driving changes in market dynamics, and local, national and international policies and regulations, which could result in disruptions to us, our suppliers, customers, and employees. These disruptions could make it more difficult and costly for us to deliver our products, obtain components or other supplies through our supply chain, maintain, or resume operations or perform other critical corporate functions, and could reduce customer demand for our products.</w:t>
      </w:r>
    </w:p>
    <w:p>
      <w:pPr>
        <w:spacing w:after="0" w:line="187"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increasing concern over climate change could also result in shifting customer preferences. If we fail to manage changes in customer expectations in an effective manner, demand for our products could diminish, and our financial performance could suffer. Additionally, laws or regulations enacted to address climate change may increase our compliance burdens and costs, including indirect costs that are passed on to us from our customers or suppliers. Climate change also may reduce the availability or increase the cost of insurance for negative impacts of natural disasters by contributing to an increase in the frequency and severity of such natural disasters. Ultimately, the impacts of climate change, whether involving physical risks (such as disruptions resulting from climate-related events) or transition risks (such as regulatory changes, changes in market dynamics or increased operating costs, including the cost of insurance) are expected to be widespread and unpredictable and may materially and adversely affect our business and financial results.</w:t>
      </w:r>
    </w:p>
    <w:p>
      <w:pPr>
        <w:spacing w:after="0" w:line="167"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other widespread public health crises have had, and may in the future have, an adverse impact upon our business, results of operations, and financial condition.</w:t>
      </w:r>
    </w:p>
    <w:p>
      <w:pPr>
        <w:spacing w:after="0" w:line="22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 future pandemic, epidemic, health crisis, or other outbreak of disease may negatively and materially impact our business, results of operations, and financial condition, due to:</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economic recession or depression that could significantly reduce demand and/or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productivity in our product development, operations, marketing, sales, and other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mandates, guidance, or recommendations regarding shutdown, closures, or other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supply chain;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normal ordering patterns of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rate of losses on our accounts receivable due to credit defaults;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potential impact that a future pandemic, epidemic, health crisis, or other outbreak of disease could have on our business, results of operations, and financial condition, and on the other risk factors described in this “Risk Factors” section, may be difficult to predict.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2" w:name="page43"/>
    <w:bookmarkEnd w:id="42"/>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lingering effects of pandemics, supply chain disruptions and semiconductor capacity shortages, including the buildup of inventory by customers in response to such shortages, and continued high inflation. In future periods, our forecasted or actual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socioeconomic and political conditions in the countries where we operate or where our products are sold or used, including recent macroeconomic volatility, pandemics or widespread public health problems, U.S.-China relations and the conditions in Hong Kong; and</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profitability and cash flows, or incur losses.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3" w:name="page44"/>
    <w:bookmarkEnd w:id="43"/>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our existing IoT camera markets, such as the existing professional and home security and monitoring camera markets, and successfully penetrate new markets, such as the OEM automotive, robotics and industrial markets, with our new AI computer vision-based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accurately predicting our future revenue and appropriately budgeting our expenses.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In the recent years, we expanded our staffing and increased our expenditures in anticipation of future revenue growth. If our revenue does not increase as anticipated, we could incur significant losses and declines in our cash reserves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could cause us to change our business practices.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79"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Sales to customers in Asia accounted for approximately 79%, 79% and 86% of our total revenue in fiscal years 2024, 2023 and 2022, respectively. For the nine months ended October 31, 2024, sales to customers in Asia accounted for approximately 85% of our total revenue.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or otherwise become illiquid, which could materially and adversely affect our financial results.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of October 31, 2024, we had approximately $99.5 million in money market funds and debt security investments and $3.7 million in fixed deposit accounts. The debt security investments primarily consisted of commercial paper,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pandemics or widespread public health problems, the Eurozone crisis and the U.S. debt ceiling crisis, which affected various sectors of the financial markets and led to global credit and liquidity issues. For example, in March 2023, Silicon Valley Bank (SVB) was closed and the Federal Deposit Insurance Corporation (FDIC) was appointed as receiver. At the time of closing on March 10, 2023, we had cash deposits with SVB of approximately $17.0 million. We also had cash equivalents and marketable debt security investments residing in custodial accounts held by U.S. Bank for which SVB Asset Management was the investment advisor until March 15, 2023. While we were able to recover all deposited amounts from SVB, there can be no assurance that our current or future banks will not face similar risks as SVB or that we will be able to recover in full our deposits in the event of similar closures. We regularly maintain cash balances that are not insured or are in excess of the FDIC’s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In recent years, we experienced supply constraints at our primary foundry and assembly vendor resulting from industry wide supply chain challenges. These conditions have weakened and we expect conditions to stabilize in future periods.</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the semiconductor industry recently experienced shortages of certain devices, including microcontrollers, PMICs, Wi-Fi chips, which impacted our customers’ ability to build their products and negatively impact our customers’ demand for our solutions.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w:t>
      </w:r>
    </w:p>
    <w:p>
      <w:pPr>
        <w:spacing w:after="0" w:line="184" w:lineRule="exact"/>
        <w:rPr>
          <w:sz w:val="20"/>
          <w:szCs w:val="20"/>
          <w:color w:val="auto"/>
        </w:rPr>
      </w:pPr>
    </w:p>
    <w:p>
      <w:pPr>
        <w:ind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Availability of capacity within our supply chain tightened during fiscal year 2023, which at times limited the volume of products we can produce, negatively impacting our business and operations, and similar capacity constraints may adversely affect our business in the future.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9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179"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6" w:name="page47"/>
    <w:bookmarkEnd w:id="46"/>
    <w:p>
      <w:pPr>
        <w:ind w:firstLine="509"/>
        <w:spacing w:after="0" w:line="253"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WT, which serves as our non-exclusive sales representative and fulfillment partner in Asia other than Japan. Approximately 53%, 57% and 62% of our revenue was derived from sales through WT for the fiscal years ended January 31, 2024, 2023 and 2022, respectively, and approximately 64% of our revenue was derived from sales through WT for the nine months ended October 31, 2024. We anticipate that a significant portion of our revenue will continue to be derived from sales through WT in the foreseeable future. Our current agreement with WT is effective until January 2026,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22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In recent periods, some end customers have indicated they are seeking to reduce their inventory levels, which may reduce such customers’ demand for our products, including products purchased through our distributors, in future periods and harm our financial results.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188"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As a result, we may not be able to meet customer needs during such a transition, which could delay shipments, cause production delays, result in a decline in our sales and damage our customer relationships.</w:t>
      </w:r>
    </w:p>
    <w:p>
      <w:pPr>
        <w:spacing w:after="0" w:line="169"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76"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84"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Similarly, a severe cold storm in Texas in February 2021 disrupted the manufacturing of some of our products at Samsung’s Texas facility for several weeks.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high inflation, recessionary concerns and trade restrictions, may have an impact on our business and financial condition in ways that we currently cannot predict.</w:t>
      </w:r>
    </w:p>
    <w:p>
      <w:pPr>
        <w:spacing w:after="0" w:line="15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have been escalating, which has, in our view, created and will perpetuate an uncertain business environment. Tariffs on Chinese-origin products have continued to increase and may do so further under the new U.S. administration. Additionally, in 2022, the U.S. government announced new controls restricting the ability to send certain products and technology related to semiconductors, semiconductor manufacturing, advanced computing, supercomputing, and artificial intelligence to China, including Hong Kong, without an export license. In many cases, these licenses are subject to a policy of denial and will not be issued. These controls have continued to expand. While our current products are not restricted by these controls, such controls could impact our ability to export products to China in the future. It also is possible that the Chinese government will retaliate in ways that could impact our business. End-user and end-use restrictions continue to evolve and may change what we can provide to certain entities both in China and other countries.</w:t>
      </w:r>
    </w:p>
    <w:p>
      <w:pPr>
        <w:spacing w:after="0" w:line="19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w:t>
      </w:r>
    </w:p>
    <w:p>
      <w:pPr>
        <w:spacing w:after="0" w:line="18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Changes in U.S. trade policy could trigger retaliatory actions by Russia, its allies and other affected countries, including China, resulting in a trade war. For example, in addition to controls imposed on China discussed above, following Russia’s invasion of Ukraine, the United States and other countries imposed certain economic sanctions and severe export control restrictions against Russia and Belarus, as well as certain Russian nationals, which caused us to terminate certain business relationships in those countries.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for a long period of time, or if other countries, including the U.S., become further involved in the conflict, we could face significant adverse effects to our business and financial condition. In addition, some of our customers and third-party partners have engineering teams located in Russian and/or Ukraine, whose operations have been and may continue to be disrupted by the ongoing conflict between the countries. If such disruption were to continue for an extended period, our customers could face delays in the launch of new products containing our solutions, resulting in delayed or decreased demand for our solutions.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significant business operations in Taiwan, including 346 employees as of October 31, 2024,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9" w:name="page50"/>
    <w:bookmarkEnd w:id="4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Several of our customers, including Hangzhou Hikvision Digital Technology Co., Ltd, or Hikvision, Zhejiang Dahua Technology Co., Ltd., or Dahua, and affiliates of Shenzhen Dajiang Baiwang Technology Co., Ltd., have been added to the BIS Entity List, which imposes limitations on the supply of U.S. controlled items to the listed entities. In October 2022, BIS imposed additional restrictions on transactions with Dahua involving items subject to BIS export regulations. Notwithstanding our ability to continue to supply some SoC products to some affiliates of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86"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data protection and cybersecurity.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both"/>
        <w:ind w:right="80" w:firstLine="509"/>
        <w:spacing w:after="0" w:line="272" w:lineRule="auto"/>
        <w:rPr>
          <w:sz w:val="20"/>
          <w:szCs w:val="20"/>
          <w:color w:val="auto"/>
        </w:rPr>
      </w:pPr>
      <w:r>
        <w:rPr>
          <w:rFonts w:ascii="Times New Roman" w:cs="Times New Roman" w:eastAsia="Times New Roman" w:hAnsi="Times New Roman"/>
          <w:sz w:val="17"/>
          <w:szCs w:val="17"/>
          <w:color w:val="auto"/>
        </w:rPr>
        <w:t>The legislative and regulatory framework for privacy, data protection and cybersecurity issues worldwide is rapidly evolving and is likely to remain uncertain for the foreseeable future. We collect and otherwise process personal information and other data as part of our business processes and activities. This data is subject to a variety of U.S. and international laws and regulations, including oversight by various regulatory or other governmental bodies.</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Many foreign countries and governmental bodies, including China, the European Union and other relevant jurisdictions where we conduct business, have laws and regulations concerning the collection, use and other processing of personal information and other data obtained from their residents or by businesses operating within their jurisdictions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California has adopted a new law, the California Privacy Rights Act of 2020, or CPRA, that substantially expanded the CCPA as of January 1, 2023. The CCPA, as amended and modified by the CPRA, gives California residents the right to access, delete and opt out of certain sharing of their information, and imposes penalties for failure to comply. Numerous other U.S. states have proposed, and in certain cases enacted, similar general privacy legislation.</w:t>
      </w:r>
    </w:p>
    <w:p>
      <w:pPr>
        <w:spacing w:after="0" w:line="19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Significant uncertainty remains regarding how regulators will interpret and enforce these laws, but the Data Security Law contains provisions that allow substantial government oversight and include fines for failure to obtain required approval from China’s cyber and data protection regulators for cross-border personal information-related data transfers. PIPL authorizes enforcement by cybersecurity authorities and other regulators, and provides for fines and other remedies for noncompliance.</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Aspects of these laws remain unclear, resulting in further uncertainty and potentially requiring us to modify our data practices and policies and to incur substantial additional costs and expenses in an effort to comply. Because the interpretation and application of many laws and regulations relating to privacy, data protection, and data security, along with industry standards, are uncertain, it is possible that these laws and regulations may be interpreted and applied in a manner that is inconsistent with our data management practices or the features of our products or solutions, and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privacy and data protection concerns, or to comply with applicable laws, regulations, policies, industry standards, contractual obligations or other legal obligations, even if unfounded, could result in additional cost and liability to us, inhibit sales, damage our reputation and adversely affect our business.</w:t>
      </w:r>
    </w:p>
    <w:p>
      <w:pPr>
        <w:spacing w:after="0" w:line="188"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88" w:lineRule="exact"/>
        <w:rPr>
          <w:sz w:val="20"/>
          <w:szCs w:val="20"/>
          <w:color w:val="auto"/>
        </w:rPr>
      </w:pPr>
    </w:p>
    <w:p>
      <w:pPr>
        <w:ind w:right="6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76"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90"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Global Select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Failure to achieve and maintain effective internal control over financial reporting in accordance with Section 404 of the Sarbanes-Oxley Act of 2002 could materially and adversely affect our business, results of operations, financial condition, and stock price.</w:t>
      </w:r>
    </w:p>
    <w:p>
      <w:pPr>
        <w:spacing w:after="0" w:line="175"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dedication of internal resources.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2" w:name="page53"/>
    <w:bookmarkEnd w:id="52"/>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a material weakness was identified in our internal control over financial reporting as of January 31, 2024. We did not design and maintain effective controls over the accounting for income taxes. Specifically, we did not have tax personnel with the appropriate skills and level of experience to assess complicated tax matters, and we did not properly identify, risk assess, design and maintain effective controls related to the income tax provision, including controls related to the evaluation of tax deductions and recognition and measurement of deferred tax assets. This material weakness resulted in immaterial errors to the provision for income taxes, deferred tax assets, income taxes payable, and income tax disclosures which were adjusted in our consolidated financial statements for the fiscal year ended January 31, 2024. Additionally, this material weakness could result in a misstatement of the aforementioned account balances or disclosures that would result in a material misstatement in our annual or interim consolidated financial statements that would not be prevented or detected.</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material weakness did not result in a material misstatement to the fiscal year 2024 consolidated financial statements. As a result of this material weakness, our management concluded that our internal control over financial reporting was not effective based on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Committee of Sponsoring Organizations of the Treadway Commission. We are actively engaged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implementing a remediation plan designed to address this material weakness. If our remedial measures are insufficient to address the material weakness, or if additional material weaknesses or significant deficiencies in our internal control are discovered or occur in the future, our consolidated financial statements may contain material misstatements and we could be required to restate our financial results.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if this material weakness is quickly remedied, or if we or our auditors discover an additional material weakness in our internal controls, the market’s confidence in our financial statements could decline and our stock price may be harmed. In addition, our failure to maintain effective controls over financial reporting could subject us to sanctions or investigations by The Nasdaq Global Select Market, the SEC, or other regulatory authorities. Irrespective of compliance with Section 404, this and any other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tax returns could adversely affect our results.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 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In August 2022, the U.S. enacted the Inflation Reduction Act of 2022, or IRA, which includes a new 15% corporate minimum tax as well as a 1% excise tax on the fair value of corporate stock repurchases made by U.S. corporations and certain foreign corporations after December 31, 2022. We do not expect the IRA to have a material impact on our financial statements.</w:t>
      </w:r>
    </w:p>
    <w:p>
      <w:pPr>
        <w:spacing w:after="0" w:line="190" w:lineRule="exact"/>
        <w:rPr>
          <w:sz w:val="20"/>
          <w:szCs w:val="20"/>
          <w:color w:val="auto"/>
        </w:rPr>
      </w:pPr>
    </w:p>
    <w:p>
      <w:pPr>
        <w:ind w:right="240" w:firstLine="509"/>
        <w:spacing w:after="0" w:line="289" w:lineRule="auto"/>
        <w:rPr>
          <w:sz w:val="20"/>
          <w:szCs w:val="20"/>
          <w:color w:val="auto"/>
        </w:rPr>
      </w:pPr>
      <w:r>
        <w:rPr>
          <w:rFonts w:ascii="Times New Roman" w:cs="Times New Roman" w:eastAsia="Times New Roman" w:hAnsi="Times New Roman"/>
          <w:sz w:val="17"/>
          <w:szCs w:val="17"/>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54"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Cayman Islands, the United States, China, Hong Kong, Japan, Italy, Germany,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over the last several years, the Organization for Economic Co-operation and Development (OECD)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In 2021, more than 140 countries tentatively signed on to a framework that imposes a global minimum tax of 15%. The Council of the European Union has adopted this initiative, which has been implemented into the domestic laws of some jurisdictions for fiscal years starting on or after December 31, 2023 for multinationals that meet the annual threshold of at least EUR 750 million of consolidated revenues. Additional changes to global tax laws are likely to occur, and such changes may adversely affect our effective tax rate, operating results, and cash flow.</w:t>
      </w:r>
    </w:p>
    <w:p>
      <w:pPr>
        <w:spacing w:after="0" w:line="19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December 2018, the Cayman Islands passed the International Tax Co-Operation (Economic Substance) Law, 2018, which requires Cayman Islands companies carrying on one or more relevant activities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8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passive foreign investment company, or PFIC, for U.S. federal income tax purposes for our 2025 fiscal year or the foreseeable future. However, a separate determination must be made at the close of each taxable year as to whether we are a PFIC for that taxable year, and we cannot assure you that we will not be a PFIC for our 2026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15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Tax Act may have changed the consequences to U.S. shareholders that own, or are considered to own, as a result of certain attribution rules, 10% or more of the voting power or value of the stock of a non-U.S. corporation (a 10% U.S. shareholder) under the U.S. federal income tax law applicable to owners of U.S. controlled foreign corporations, or CFCs.</w:t>
      </w:r>
    </w:p>
    <w:p>
      <w:pPr>
        <w:spacing w:after="0" w:line="176"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Prior to the Tax Act, we did not believe that we, or any of our non-U.S. subsidiaries, were considered a CFC, which is a determination made daily based on whether the 10% U.S. shareholders together own, or are considered to own under the attribution rules, more than 50% of the voting power or value of a non-U.S. corporation. Under the Tax Act, however, because our group includes one or more U.S. subsidiaries, certain of our non-U.S. subsidiaries may be classified as CFCs with respect to any single 10% U.S. shareholder, even without regard to whether 10% U.S. shareholders together own, directly or indirectly, more than 50% of the voting power or value of the Company. Our 10% or greater U.S. shareholders should consult their individual tax advisors for advice regarding the Tax Act’s revision to the U.S. federal income tax law applicable to owners of CFCs.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5540" w:right="3080" w:hanging="5023"/>
        <w:spacing w:after="0" w:line="532" w:lineRule="auto"/>
        <w:tabs>
          <w:tab w:leader="none" w:pos="10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5" w:name="page56"/>
    <w:bookmarkEnd w:id="55"/>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1"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5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market price of our ordinary shares has historically been highly volatile, and has been particularly volatile in recent years. For example, since February 1, 2020, the trading price of our common stock ranged from a low of $36.02 to a high of $227.59 and was $56.19 at the close of trading on October 31, 2024. The trading price of our ordinary shares is likely to remain volatile and could be subject to wide fluctuations in price in response to various factors, some of which are beyond our control. These factors include:</w:t>
      </w:r>
    </w:p>
    <w:p>
      <w:pPr>
        <w:spacing w:after="0" w:line="7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related to the banking industry or caused by pandemics and high inflation, and slow or negative market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2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ind w:right="6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not meet or exceed our guidance and investor expectations, which would likely cause our stock price to decline.</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 Similarly, if our guidance does not meet or exceed expectations of investors or securities analysts, the trading price of our ordinary shares is likely to decline.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ordinary shares could decrease as a result of dilution of existing shareholders from new shares being sold in the market.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or the perception that these sales might occur, could cause the market price of our ordinary shares to decline. In the past, we have issued stock options to employees and we regularly issue restricted stock units (RSUs) to employees, which settle as ordinary shares upon vesting. These shares can be freely sold in the public market upon issuance and vesting, subject to restrictions provided under the terms of the applicable plan and/or the option agreements entered into with option holders. 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83"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79"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15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22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ind w:firstLine="509"/>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21"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pandemics, and regional health issues, earthquakes, fires, severe storms, floods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90"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5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our last fiscal quarter ended October 31, 2024, the following officer adopted a “Rule 10b5-1 trading arrangement” as defined in Regulation S-K Item 408, as follows:</w:t>
      </w:r>
    </w:p>
    <w:p>
      <w:pPr>
        <w:spacing w:after="0" w:line="162" w:lineRule="exact"/>
        <w:rPr>
          <w:sz w:val="20"/>
          <w:szCs w:val="20"/>
          <w:color w:val="auto"/>
        </w:rPr>
      </w:pPr>
    </w:p>
    <w:p>
      <w:pPr>
        <w:jc w:val="both"/>
        <w:ind w:right="40" w:firstLine="554"/>
        <w:spacing w:after="0" w:line="266" w:lineRule="auto"/>
        <w:rPr>
          <w:sz w:val="20"/>
          <w:szCs w:val="20"/>
          <w:color w:val="auto"/>
        </w:rPr>
      </w:pPr>
      <w:r>
        <w:rPr>
          <w:rFonts w:ascii="Times New Roman" w:cs="Times New Roman" w:eastAsia="Times New Roman" w:hAnsi="Times New Roman"/>
          <w:sz w:val="18"/>
          <w:szCs w:val="18"/>
          <w:color w:val="auto"/>
        </w:rPr>
        <w:t>On October 2, 2024, Chan Lee, our Chief Operating Officer, adopted a Rule 10b5-1 trading arrangement providing for the sale from time to time of up to an aggregate of 10,000 of our ordinary shares. The trading arrangement is intended to satisfy the affirmative defense in Rule 10b5-1(c). The duration of the trading arrangement is until October 15, 2025, or earlier if all transactions under the trading arrangement are completed.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ind w:firstLine="509"/>
        <w:spacing w:after="0" w:line="282" w:lineRule="auto"/>
        <w:rPr>
          <w:sz w:val="20"/>
          <w:szCs w:val="20"/>
          <w:color w:val="auto"/>
        </w:rPr>
      </w:pPr>
      <w:r>
        <w:rPr>
          <w:rFonts w:ascii="Times New Roman" w:cs="Times New Roman" w:eastAsia="Times New Roman" w:hAnsi="Times New Roman"/>
          <w:sz w:val="18"/>
          <w:szCs w:val="18"/>
          <w:color w:val="auto"/>
        </w:rPr>
        <w:t>No other officers, as defined in Rule 16a-1(f), or directors adopted or terminated a “Rule 10b5-1 trading arrangement” or a “non-Rule 10b5-1 trading arrangement,” as defined in Regulation S-K Item 408, during the last fiscal quarter ended October 31, 2024.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01" w:right="8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5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14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2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gridSpan w:val="8"/>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Amended and Restated Memorandum of Association and Second Amended and Restated Articles of Association of the Registrant.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598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 13a-14(a) and 15d-14(a) of the Securities Exchange Act of 1934, as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618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Under Rule 13a-14(a) and 15d-14(a) of the Securities Exchange Act of 1934, as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618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3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4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 Required Under Rule 13a-14(b) of the Securities Exchange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638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amended, and 18 U.S.C. §1350.</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2"/>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65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right="120" w:hanging="1139"/>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October 31, 2024,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8312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96" w:lineRule="exact"/>
        <w:rPr>
          <w:sz w:val="20"/>
          <w:szCs w:val="20"/>
          <w:color w:val="auto"/>
        </w:rPr>
      </w:pPr>
    </w:p>
    <w:p>
      <w:pPr>
        <w:ind w:left="1140" w:hanging="1139"/>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(No. 333-174838) Amendment No. 3 as filed with the</w:t>
      </w:r>
    </w:p>
    <w:p>
      <w:pPr>
        <w:spacing w:after="0" w:line="225" w:lineRule="exact"/>
        <w:rPr>
          <w:sz w:val="20"/>
          <w:szCs w:val="20"/>
          <w:color w:val="auto"/>
        </w:rPr>
      </w:pPr>
    </w:p>
    <w:p>
      <w:pPr>
        <w:ind w:left="1140" w:hanging="113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w:t>
      </w:r>
    </w:p>
    <w:p>
      <w:pPr>
        <w:spacing w:after="0" w:line="27" w:lineRule="exact"/>
        <w:rPr>
          <w:rFonts w:ascii="Times New Roman" w:cs="Times New Roman" w:eastAsia="Times New Roman" w:hAnsi="Times New Roman"/>
          <w:sz w:val="18"/>
          <w:szCs w:val="18"/>
          <w:color w:val="auto"/>
        </w:rPr>
      </w:pPr>
    </w:p>
    <w:p>
      <w:pPr>
        <w:ind w:left="1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81" w:right="379" w:bottom="1440" w:gutter="0" w:footer="0" w:header="0"/>
        </w:sectPr>
      </w:pPr>
    </w:p>
    <w:bookmarkStart w:id="61" w:name="page62"/>
    <w:bookmarkEnd w:id="61"/>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56" w:lineRule="exact"/>
        <w:rPr>
          <w:sz w:val="20"/>
          <w:szCs w:val="20"/>
          <w:color w:val="auto"/>
        </w:rPr>
      </w:pPr>
    </w:p>
    <w:p>
      <w:pPr>
        <w:ind w:left="20"/>
        <w:spacing w:after="0"/>
        <w:tabs>
          <w:tab w:leader="none" w:pos="5760" w:val="left"/>
          <w:tab w:leader="none" w:pos="7980" w:val="left"/>
        </w:tabs>
        <w:rPr>
          <w:sz w:val="20"/>
          <w:szCs w:val="20"/>
          <w:color w:val="auto"/>
        </w:rPr>
      </w:pPr>
      <w:r>
        <w:rPr>
          <w:rFonts w:ascii="Times New Roman" w:cs="Times New Roman" w:eastAsia="Times New Roman" w:hAnsi="Times New Roman"/>
          <w:sz w:val="18"/>
          <w:szCs w:val="18"/>
          <w:color w:val="auto"/>
        </w:rPr>
        <w:t>Date: December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1292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04"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Feng-Ming Wang</w:t>
      </w:r>
    </w:p>
    <w:p>
      <w:pPr>
        <w:spacing w:after="0" w:line="82"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37" w:lineRule="exact"/>
        <w:rPr>
          <w:sz w:val="20"/>
          <w:szCs w:val="20"/>
          <w:color w:val="auto"/>
        </w:rPr>
      </w:pPr>
    </w:p>
    <w:p>
      <w:pPr>
        <w:ind w:left="20"/>
        <w:spacing w:after="0"/>
        <w:tabs>
          <w:tab w:leader="none" w:pos="5760" w:val="left"/>
          <w:tab w:leader="none" w:pos="8080" w:val="left"/>
        </w:tabs>
        <w:rPr>
          <w:sz w:val="20"/>
          <w:szCs w:val="20"/>
          <w:color w:val="auto"/>
        </w:rPr>
      </w:pPr>
      <w:r>
        <w:rPr>
          <w:rFonts w:ascii="Times New Roman" w:cs="Times New Roman" w:eastAsia="Times New Roman" w:hAnsi="Times New Roman"/>
          <w:sz w:val="18"/>
          <w:szCs w:val="18"/>
          <w:color w:val="auto"/>
        </w:rPr>
        <w:t>Date: December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26035</wp:posOffset>
            </wp:positionV>
            <wp:extent cx="31292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04"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John A. Young</w:t>
      </w:r>
    </w:p>
    <w:p>
      <w:pPr>
        <w:spacing w:after="0" w:line="82"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7"/>
        <w:spacing w:after="0" w:line="282" w:lineRule="auto"/>
        <w:tabs>
          <w:tab w:leader="none" w:pos="7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7"/>
        <w:spacing w:after="0" w:line="266" w:lineRule="auto"/>
        <w:tabs>
          <w:tab w:leader="none" w:pos="7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2024</w:t>
      </w:r>
    </w:p>
    <w:p>
      <w:pPr>
        <w:spacing w:after="0" w:line="22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Feng-Ming Wang</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Young,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7"/>
        <w:spacing w:after="0" w:line="282"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7"/>
        <w:spacing w:after="0" w:line="266"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2024</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John A. Young</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Quarterly Report of Ambarella, Inc. on Form 10-Q for the fiscal quarter ended October 31, 2024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2024</w:t>
      </w:r>
    </w:p>
    <w:p>
      <w:pPr>
        <w:spacing w:after="0" w:line="252" w:lineRule="exact"/>
        <w:rPr>
          <w:sz w:val="20"/>
          <w:szCs w:val="20"/>
          <w:color w:val="auto"/>
        </w:rPr>
      </w:pPr>
    </w:p>
    <w:tbl>
      <w:tblPr>
        <w:tblLayout w:type="fixed"/>
        <w:tblInd w:w="64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191"/>
        </w:trPr>
        <w:tc>
          <w:tcPr>
            <w:tcW w:w="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Feng-Ming Wang</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John A. Young, certify, pursuant to 18 U.S.C. Section 1350, as adopted pursuant to Section 906 of the Sarbanes-Oxley Act of 2002, that the Quarterly Report of Ambarella, Inc. on Form 10-Q for the fiscal quarter ended October 31, 2024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Young</w:t>
            </w:r>
          </w:p>
        </w:tc>
      </w:tr>
      <w:tr>
        <w:trPr>
          <w:trHeight w:val="191"/>
        </w:trPr>
        <w:tc>
          <w:tcPr>
            <w:tcW w:w="7280" w:type="dxa"/>
            <w:vAlign w:val="bottom"/>
          </w:tcPr>
          <w:p>
            <w:pPr>
              <w:ind w:left="64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A. Young</w:t>
            </w:r>
          </w:p>
        </w:tc>
      </w:tr>
      <w:tr>
        <w:trPr>
          <w:trHeight w:val="234"/>
        </w:trPr>
        <w:tc>
          <w:tcPr>
            <w:tcW w:w="728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72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0"/>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4"/>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34" Type="http://schemas.openxmlformats.org/officeDocument/2006/relationships/hyperlink" Target="https://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2024-12-06T14:36:26Z</dcterms:created>
  <dcterms:modified xsi:type="dcterms:W3CDTF">2024-12-06T14:36:26Z</dcterms:modified>
</cp:coreProperties>
</file>