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Wang Feng-Ming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3001 TASMAN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AMBARELLA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AMBA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1"/>
        <w:gridCol w:w="904"/>
        <w:gridCol w:w="774"/>
        <w:gridCol w:w="600"/>
        <w:gridCol w:w="349"/>
        <w:gridCol w:w="931"/>
        <w:gridCol w:w="454"/>
        <w:gridCol w:w="755"/>
        <w:gridCol w:w="1163"/>
        <w:gridCol w:w="998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4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67.87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799,857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789,857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to pay tax obligations resulting from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were donated to a charitable donor advised fund (DAF).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Michael Morehead, Attorney-in-Fact For: Feng-Ming Wang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8686" TargetMode="External"/><Relationship Id="rId5" Type="http://schemas.openxmlformats.org/officeDocument/2006/relationships/hyperlink" Target="http://www.sec.gov/cgi-bin/browse-edgar?action=getcompany&amp;CIK=00012802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3235</Characters>
  <CharactersWithSpaces>3765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