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80" w:right="180" w:hanging="572"/>
        <w:spacing w:after="0" w:line="243"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r>
      <w:tr>
        <w:trPr>
          <w:trHeight w:val="344"/>
        </w:trPr>
        <w:tc>
          <w:tcPr>
            <w:tcW w:w="364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AMBARELLA,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00" w:type="dxa"/>
            <w:vAlign w:val="bottom"/>
            <w:gridSpan w:val="2"/>
          </w:tcPr>
          <w:p>
            <w:pPr>
              <w:jc w:val="center"/>
              <w:ind w:left="1096"/>
              <w:spacing w:after="0"/>
              <w:rPr>
                <w:sz w:val="20"/>
                <w:szCs w:val="20"/>
                <w:color w:val="auto"/>
              </w:rPr>
            </w:pPr>
            <w:r>
              <w:rPr>
                <w:rFonts w:ascii="Arial" w:cs="Arial" w:eastAsia="Arial" w:hAnsi="Arial"/>
                <w:sz w:val="18"/>
                <w:szCs w:val="18"/>
                <w:b w:val="1"/>
                <w:bCs w:val="1"/>
                <w:color w:val="auto"/>
                <w:w w:val="90"/>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Arial" w:cs="Arial" w:eastAsia="Arial" w:hAnsi="Arial"/>
                <w:sz w:val="18"/>
                <w:szCs w:val="18"/>
                <w:b w:val="1"/>
                <w:bCs w:val="1"/>
                <w:color w:val="auto"/>
              </w:rPr>
              <w:t>98-0459628</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9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96"/>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4500" w:type="dxa"/>
            <w:vAlign w:val="bottom"/>
            <w:gridSpan w:val="2"/>
          </w:tcPr>
          <w:p>
            <w:pPr>
              <w:jc w:val="center"/>
              <w:ind w:left="1116"/>
              <w:spacing w:after="0"/>
              <w:rPr>
                <w:sz w:val="20"/>
                <w:szCs w:val="20"/>
                <w:color w:val="auto"/>
              </w:rPr>
            </w:pPr>
            <w:r>
              <w:rPr>
                <w:rFonts w:ascii="Arial" w:cs="Arial" w:eastAsia="Arial" w:hAnsi="Arial"/>
                <w:sz w:val="18"/>
                <w:szCs w:val="18"/>
                <w:b w:val="1"/>
                <w:bCs w:val="1"/>
                <w:color w:val="auto"/>
                <w:w w:val="89"/>
              </w:rPr>
              <w:t>3101 Jay Street</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jc w:val="center"/>
              <w:ind w:left="1096"/>
              <w:spacing w:after="0"/>
              <w:rPr>
                <w:sz w:val="20"/>
                <w:szCs w:val="20"/>
                <w:color w:val="auto"/>
              </w:rPr>
            </w:pPr>
            <w:r>
              <w:rPr>
                <w:rFonts w:ascii="Arial" w:cs="Arial" w:eastAsia="Arial" w:hAnsi="Arial"/>
                <w:sz w:val="18"/>
                <w:szCs w:val="18"/>
                <w:b w:val="1"/>
                <w:bCs w:val="1"/>
                <w:color w:val="auto"/>
                <w:w w:val="93"/>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Arial" w:cs="Arial" w:eastAsia="Arial" w:hAnsi="Arial"/>
                <w:sz w:val="18"/>
                <w:szCs w:val="18"/>
                <w:b w:val="1"/>
                <w:bCs w:val="1"/>
                <w:color w:val="auto"/>
              </w:rPr>
              <w:t>95054</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11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6"/>
        </w:trPr>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Arial" w:cs="Arial" w:eastAsia="Arial" w:hAnsi="Arial"/>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$0.00045 Par Value Per Share</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8"/>
                <w:szCs w:val="18"/>
                <w:color w:val="auto"/>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7" w:lineRule="exact"/>
        <w:rPr>
          <w:sz w:val="24"/>
          <w:szCs w:val="24"/>
          <w:color w:val="auto"/>
        </w:rPr>
      </w:pPr>
    </w:p>
    <w:p>
      <w:pPr>
        <w:ind w:right="16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80"/>
        <w:spacing w:after="0" w:line="26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ordinary shares of the Registrant outstanding as of September 1, 2021 was 36,663,380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Page</w:t>
            </w:r>
          </w:p>
        </w:tc>
      </w:tr>
      <w:tr>
        <w:trPr>
          <w:trHeight w:val="412"/>
        </w:trPr>
        <w:tc>
          <w:tcPr>
            <w:tcW w:w="30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at July 31, 2021 and January 31, 2021</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86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Operations for the three and six months ended July 31, 2021 and 2020</w:t>
              </w:r>
            </w:hyperlink>
          </w:p>
        </w:tc>
        <w:tc>
          <w:tcPr>
            <w:tcW w:w="940" w:type="dxa"/>
            <w:vAlign w:val="bottom"/>
            <w:gridSpan w:val="3"/>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760" w:type="dxa"/>
            <w:vAlign w:val="bottom"/>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Comprehensive Loss for the three and six months ended July 31, 2021 and 2020</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7"/>
        </w:trPr>
        <w:tc>
          <w:tcPr>
            <w:tcW w:w="76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Shareholders’ Equity for the three and six months ended July 31, 2021 and 2020</w:t>
              </w:r>
            </w:hyperlink>
          </w:p>
        </w:tc>
        <w:tc>
          <w:tcPr>
            <w:tcW w:w="2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760" w:type="dxa"/>
            <w:vAlign w:val="bottom"/>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six months ended July 31, 2021 and 2020</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76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Unaudited Condensed Consolidated Financial Statements</w:t>
              </w:r>
            </w:hyperlink>
          </w:p>
        </w:tc>
        <w:tc>
          <w:tcPr>
            <w:tcW w:w="3260" w:type="dxa"/>
            <w:vAlign w:val="bottom"/>
            <w:tcBorders>
              <w:top w:val="single" w:sz="8" w:color="0000EE"/>
            </w:tcBorders>
            <w:gridSpan w:val="2"/>
          </w:tcPr>
          <w:p>
            <w:pPr>
              <w:spacing w:after="0"/>
              <w:rPr>
                <w:sz w:val="24"/>
                <w:szCs w:val="24"/>
                <w:color w:val="auto"/>
              </w:rPr>
            </w:pPr>
          </w:p>
        </w:tc>
        <w:tc>
          <w:tcPr>
            <w:tcW w:w="1600" w:type="dxa"/>
            <w:vAlign w:val="bottom"/>
            <w:gridSpan w:val="4"/>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3160" w:type="dxa"/>
            <w:vAlign w:val="bottom"/>
            <w:gridSpan w:val="5"/>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4320" w:type="dxa"/>
            <w:vAlign w:val="bottom"/>
            <w:tcBorders>
              <w:top w:val="single" w:sz="8" w:color="0000EE"/>
            </w:tcBorders>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300" w:type="dxa"/>
            <w:vAlign w:val="bottom"/>
            <w:gridSpan w:val="7"/>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439"/>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7600" w:type="dxa"/>
            <w:vAlign w:val="bottom"/>
            <w:gridSpan w:val="9"/>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8320" w:type="dxa"/>
            <w:vAlign w:val="bottom"/>
            <w:gridSpan w:val="12"/>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62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860" w:type="dxa"/>
            <w:vAlign w:val="bottom"/>
            <w:tcBorders>
              <w:top w:val="single" w:sz="8" w:color="0000EE"/>
            </w:tcBorders>
            <w:gridSpan w:val="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8760" w:type="dxa"/>
            <w:vAlign w:val="bottom"/>
            <w:gridSpan w:val="13"/>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10380" w:type="dxa"/>
            <w:vAlign w:val="bottom"/>
            <w:gridSpan w:val="1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452"/>
              <w:spacing w:after="0"/>
              <w:rPr>
                <w:sz w:val="20"/>
                <w:szCs w:val="20"/>
                <w:color w:val="auto"/>
              </w:rPr>
            </w:pPr>
            <w:r>
              <w:rPr>
                <w:rFonts w:ascii="Arial" w:cs="Arial" w:eastAsia="Arial" w:hAnsi="Arial"/>
                <w:sz w:val="14"/>
                <w:szCs w:val="14"/>
                <w:b w:val="1"/>
                <w:bCs w:val="1"/>
                <w:color w:val="auto"/>
              </w:rPr>
              <w:t>July 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15"/>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258,402</w:t>
            </w:r>
          </w:p>
        </w:tc>
        <w:tc>
          <w:tcPr>
            <w:tcW w:w="5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debt securities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190,757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38,295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534,021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10,699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610,058</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1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85,536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13,705</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107,004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Shareholders' equity:</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Preference shares, $0.00045 par value per share, 20,000,000 shares</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and no shares issued and outstanding at July 31, 2021 and</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January 31, 2021, respectively</w:t>
            </w: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00" w:type="dxa"/>
            <w:vAlign w:val="bottom"/>
          </w:tcPr>
          <w:p>
            <w:pPr>
              <w:ind w:left="260"/>
              <w:spacing w:after="0"/>
              <w:rPr>
                <w:sz w:val="20"/>
                <w:szCs w:val="20"/>
                <w:color w:val="auto"/>
              </w:rPr>
            </w:pPr>
            <w:r>
              <w:rPr>
                <w:rFonts w:ascii="Arial" w:cs="Arial" w:eastAsia="Arial" w:hAnsi="Arial"/>
                <w:sz w:val="18"/>
                <w:szCs w:val="18"/>
                <w:color w:val="auto"/>
              </w:rPr>
              <w:t>Ordinary shares, $0.00045 par value per share, 200,000,000 shares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80"/>
              <w:spacing w:after="0"/>
              <w:rPr>
                <w:sz w:val="20"/>
                <w:szCs w:val="20"/>
                <w:color w:val="auto"/>
              </w:rPr>
            </w:pPr>
            <w:r>
              <w:rPr>
                <w:rFonts w:ascii="Arial" w:cs="Arial" w:eastAsia="Arial" w:hAnsi="Arial"/>
                <w:sz w:val="18"/>
                <w:szCs w:val="18"/>
                <w:color w:val="auto"/>
              </w:rPr>
              <w:t>authorized at July 31, 2021 and January 31, 2021, respectively;</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80"/>
              <w:spacing w:after="0"/>
              <w:rPr>
                <w:sz w:val="20"/>
                <w:szCs w:val="20"/>
                <w:color w:val="auto"/>
              </w:rPr>
            </w:pPr>
            <w:r>
              <w:rPr>
                <w:rFonts w:ascii="Arial" w:cs="Arial" w:eastAsia="Arial" w:hAnsi="Arial"/>
                <w:sz w:val="18"/>
                <w:szCs w:val="18"/>
                <w:color w:val="auto"/>
              </w:rPr>
              <w:t>36,644,636 shares issued and outstanding at July 31, 2021; 35,547,440</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rPr>
                <w:sz w:val="20"/>
                <w:szCs w:val="20"/>
                <w:color w:val="auto"/>
              </w:rPr>
            </w:pPr>
            <w:r>
              <w:rPr>
                <w:rFonts w:ascii="Arial" w:cs="Arial" w:eastAsia="Arial" w:hAnsi="Arial"/>
                <w:sz w:val="18"/>
                <w:szCs w:val="18"/>
                <w:color w:val="auto"/>
              </w:rPr>
              <w:t>shares issued and outstanding at January 31, 2021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394,121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108,309</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1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503,054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610,058</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Three Months Ended July 31,</w:t>
            </w:r>
          </w:p>
        </w:tc>
        <w:tc>
          <w:tcPr>
            <w:tcW w:w="180" w:type="dxa"/>
            <w:vAlign w:val="bottom"/>
          </w:tcPr>
          <w:p>
            <w:pPr>
              <w:spacing w:after="0"/>
              <w:rPr>
                <w:sz w:val="14"/>
                <w:szCs w:val="14"/>
                <w:color w:val="auto"/>
              </w:rPr>
            </w:pPr>
          </w:p>
        </w:tc>
        <w:tc>
          <w:tcPr>
            <w:tcW w:w="23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55"/>
        </w:trPr>
        <w:tc>
          <w:tcPr>
            <w:tcW w:w="60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29,908</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19,155</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56,276</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49,419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93,184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13,445</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31,848</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55,379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46,247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109,280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(5,960)</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(15,289)</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(16,096)</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(30,904)</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(5,742)</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(14,009)</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(15,285)</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(28,346)</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0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(7,156)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(14,756)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(17,974)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(30,219)</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ordinary shareholders:</w:t>
            </w: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6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w w:val="99"/>
              </w:rPr>
              <w:t>Weighted-average shares used to compute net loss per share attributable to</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ordinary shareholders: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36,442,536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34,480,307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36,191,420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34,280,318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36,442,536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34,480,307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36,191,420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34,280,318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July 31,</w:t>
            </w:r>
          </w:p>
        </w:tc>
        <w:tc>
          <w:tcPr>
            <w:tcW w:w="260" w:type="dxa"/>
            <w:vAlign w:val="bottom"/>
          </w:tcPr>
          <w:p>
            <w:pPr>
              <w:spacing w:after="0"/>
              <w:rPr>
                <w:sz w:val="14"/>
                <w:szCs w:val="14"/>
                <w:color w:val="auto"/>
              </w:rPr>
            </w:pPr>
          </w:p>
        </w:tc>
        <w:tc>
          <w:tcPr>
            <w:tcW w:w="2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July 31,</w:t>
            </w:r>
          </w:p>
        </w:tc>
      </w:tr>
      <w:tr>
        <w:trPr>
          <w:trHeight w:val="155"/>
        </w:trPr>
        <w:tc>
          <w:tcPr>
            <w:tcW w:w="58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(30,219)</w:t>
            </w:r>
          </w:p>
        </w:tc>
        <w:tc>
          <w:tcPr>
            <w:tcW w:w="100" w:type="dxa"/>
            <w:vAlign w:val="bottom"/>
            <w:shd w:val="clear" w:color="auto" w:fill="CFF0FC"/>
          </w:tcPr>
          <w:p>
            <w:pPr>
              <w:spacing w:after="0"/>
              <w:rPr>
                <w:sz w:val="19"/>
                <w:szCs w:val="19"/>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investments</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780" w:type="dxa"/>
            <w:vAlign w:val="bottom"/>
            <w:gridSpan w:val="4"/>
          </w:tcPr>
          <w:p>
            <w:pPr>
              <w:jc w:val="center"/>
              <w:ind w:left="110"/>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tcPr>
          <w:p>
            <w:pPr>
              <w:spacing w:after="0"/>
              <w:rPr>
                <w:sz w:val="13"/>
                <w:szCs w:val="13"/>
                <w:color w:val="auto"/>
              </w:rPr>
            </w:pPr>
          </w:p>
        </w:tc>
        <w:tc>
          <w:tcPr>
            <w:tcW w:w="178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3"/>
                <w:szCs w:val="13"/>
                <w:b w:val="1"/>
                <w:bCs w:val="1"/>
                <w:color w:val="auto"/>
                <w:w w:val="88"/>
              </w:rPr>
              <w:t>Ordinary Shares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Paid-in</w:t>
            </w:r>
          </w:p>
        </w:tc>
        <w:tc>
          <w:tcPr>
            <w:tcW w:w="11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4"/>
              </w:rPr>
              <w:t>Retained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6"/>
              </w:rPr>
              <w:t>Earnings</w:t>
            </w:r>
          </w:p>
        </w:tc>
        <w:tc>
          <w:tcPr>
            <w:tcW w:w="1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7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Balance--January 31, 2021</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35,547,440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31"/>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347,458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1,219</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126,283</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474,976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tcPr>
          <w:p>
            <w:pPr>
              <w:jc w:val="right"/>
              <w:spacing w:after="0"/>
              <w:rPr>
                <w:sz w:val="20"/>
                <w:szCs w:val="20"/>
                <w:color w:val="auto"/>
              </w:rPr>
            </w:pPr>
            <w:r>
              <w:rPr>
                <w:rFonts w:ascii="Arial" w:cs="Arial" w:eastAsia="Arial" w:hAnsi="Arial"/>
                <w:sz w:val="14"/>
                <w:szCs w:val="14"/>
                <w:color w:val="auto"/>
              </w:rPr>
              <w:t>643,120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6,741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82,783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0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00" w:type="dxa"/>
            <w:vAlign w:val="bottom"/>
          </w:tcPr>
          <w:p>
            <w:pPr>
              <w:ind w:left="260"/>
              <w:spacing w:after="0"/>
              <w:rPr>
                <w:sz w:val="20"/>
                <w:szCs w:val="20"/>
                <w:color w:val="auto"/>
              </w:rPr>
            </w:pPr>
            <w:r>
              <w:rPr>
                <w:rFonts w:ascii="Arial" w:cs="Arial" w:eastAsia="Arial" w:hAnsi="Arial"/>
                <w:sz w:val="14"/>
                <w:szCs w:val="14"/>
                <w:color w:val="auto"/>
              </w:rPr>
              <w:t>employees and consultants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17,128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unrealized losses on investments - net of tax</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(427)</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(10,818)</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(10,818)</w:t>
            </w:r>
          </w:p>
        </w:tc>
        <w:tc>
          <w:tcPr>
            <w:tcW w:w="0" w:type="dxa"/>
            <w:vAlign w:val="bottom"/>
          </w:tcPr>
          <w:p>
            <w:pPr>
              <w:spacing w:after="0"/>
              <w:rPr>
                <w:sz w:val="1"/>
                <w:szCs w:val="1"/>
                <w:color w:val="auto"/>
              </w:rPr>
            </w:pPr>
          </w:p>
        </w:tc>
      </w:tr>
      <w:tr>
        <w:trPr>
          <w:trHeight w:val="156"/>
        </w:trPr>
        <w:tc>
          <w:tcPr>
            <w:tcW w:w="4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Balance--April 30, 2021</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36,273,343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375,021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115,465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491,294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260"/>
              <w:spacing w:after="0"/>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vMerge w:val="continue"/>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371,293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1,461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1,461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7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employees and consultants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17,639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Net unrealized losses on investments - net of tax</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(184)</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(7,156)</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(7,156)</w:t>
            </w:r>
          </w:p>
        </w:tc>
        <w:tc>
          <w:tcPr>
            <w:tcW w:w="0" w:type="dxa"/>
            <w:vAlign w:val="bottom"/>
          </w:tcPr>
          <w:p>
            <w:pPr>
              <w:spacing w:after="0"/>
              <w:rPr>
                <w:sz w:val="1"/>
                <w:szCs w:val="1"/>
                <w:color w:val="auto"/>
              </w:rPr>
            </w:pPr>
          </w:p>
        </w:tc>
      </w:tr>
      <w:tr>
        <w:trPr>
          <w:trHeight w:val="155"/>
        </w:trPr>
        <w:tc>
          <w:tcPr>
            <w:tcW w:w="4700" w:type="dxa"/>
            <w:vAlign w:val="bottom"/>
          </w:tcPr>
          <w:p>
            <w:pPr>
              <w:spacing w:after="0" w:line="155" w:lineRule="exact"/>
              <w:rPr>
                <w:sz w:val="20"/>
                <w:szCs w:val="20"/>
                <w:color w:val="auto"/>
              </w:rPr>
            </w:pPr>
            <w:r>
              <w:rPr>
                <w:rFonts w:ascii="Arial" w:cs="Arial" w:eastAsia="Arial" w:hAnsi="Arial"/>
                <w:sz w:val="14"/>
                <w:szCs w:val="14"/>
                <w:b w:val="1"/>
                <w:bCs w:val="1"/>
                <w:color w:val="auto"/>
              </w:rPr>
              <w:t>Balance--July 31, 2021</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36,644,636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394,121</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608</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108,309</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503,054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780" w:type="dxa"/>
            <w:vAlign w:val="bottom"/>
            <w:gridSpan w:val="4"/>
          </w:tcPr>
          <w:p>
            <w:pPr>
              <w:jc w:val="center"/>
              <w:ind w:left="110"/>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tcPr>
          <w:p>
            <w:pPr>
              <w:spacing w:after="0"/>
              <w:rPr>
                <w:sz w:val="13"/>
                <w:szCs w:val="13"/>
                <w:color w:val="auto"/>
              </w:rPr>
            </w:pPr>
          </w:p>
        </w:tc>
        <w:tc>
          <w:tcPr>
            <w:tcW w:w="178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3"/>
                <w:szCs w:val="13"/>
                <w:b w:val="1"/>
                <w:bCs w:val="1"/>
                <w:color w:val="auto"/>
                <w:w w:val="88"/>
              </w:rPr>
              <w:t>Ordinary Shares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Paid-in</w:t>
            </w:r>
          </w:p>
        </w:tc>
        <w:tc>
          <w:tcPr>
            <w:tcW w:w="11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4"/>
              </w:rPr>
              <w:t>Retained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6"/>
              </w:rPr>
              <w:t>Earnings</w:t>
            </w:r>
          </w:p>
        </w:tc>
        <w:tc>
          <w:tcPr>
            <w:tcW w:w="1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47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Balance--January 31, 2020</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33,805,609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31"/>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261,220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768</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186,069</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448,072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tcPr>
          <w:p>
            <w:pPr>
              <w:jc w:val="right"/>
              <w:spacing w:after="0"/>
              <w:rPr>
                <w:sz w:val="20"/>
                <w:szCs w:val="20"/>
                <w:color w:val="auto"/>
              </w:rPr>
            </w:pPr>
            <w:r>
              <w:rPr>
                <w:rFonts w:ascii="Arial" w:cs="Arial" w:eastAsia="Arial" w:hAnsi="Arial"/>
                <w:sz w:val="14"/>
                <w:szCs w:val="14"/>
                <w:color w:val="auto"/>
              </w:rPr>
              <w:t>478,643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83,564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Stock repurchase</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(25,719)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3"/>
        </w:trPr>
        <w:tc>
          <w:tcPr>
            <w:tcW w:w="47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employees and consultants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15,214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Net unrealized losses on investments - net of tax</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(363)</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(15,463)</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(15,463)</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Balance--April 30, 2020</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34,342,097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284,557</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405</w:t>
            </w:r>
          </w:p>
        </w:tc>
        <w:tc>
          <w:tcPr>
            <w:tcW w:w="2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170,606</w:t>
            </w:r>
          </w:p>
        </w:tc>
        <w:tc>
          <w:tcPr>
            <w:tcW w:w="2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455,583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268,739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344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70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00" w:type="dxa"/>
            <w:vAlign w:val="bottom"/>
          </w:tcPr>
          <w:p>
            <w:pPr>
              <w:ind w:left="260"/>
              <w:spacing w:after="0"/>
              <w:rPr>
                <w:sz w:val="20"/>
                <w:szCs w:val="20"/>
                <w:color w:val="auto"/>
              </w:rPr>
            </w:pPr>
            <w:r>
              <w:rPr>
                <w:rFonts w:ascii="Arial" w:cs="Arial" w:eastAsia="Arial" w:hAnsi="Arial"/>
                <w:sz w:val="14"/>
                <w:szCs w:val="14"/>
                <w:color w:val="auto"/>
              </w:rPr>
              <w:t>employees and consultants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unrealized gains on investments - net of tax</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(14,756)</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(14,756)</w:t>
            </w:r>
          </w:p>
        </w:tc>
        <w:tc>
          <w:tcPr>
            <w:tcW w:w="0" w:type="dxa"/>
            <w:vAlign w:val="bottom"/>
          </w:tcPr>
          <w:p>
            <w:pPr>
              <w:spacing w:after="0"/>
              <w:rPr>
                <w:sz w:val="1"/>
                <w:szCs w:val="1"/>
                <w:color w:val="auto"/>
              </w:rPr>
            </w:pPr>
          </w:p>
        </w:tc>
      </w:tr>
      <w:tr>
        <w:trPr>
          <w:trHeight w:val="155"/>
        </w:trPr>
        <w:tc>
          <w:tcPr>
            <w:tcW w:w="4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Balance--July 31, 2020</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34,610,836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31"/>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301,195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155,850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458,647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172"/>
              <w:spacing w:after="0"/>
              <w:rPr>
                <w:sz w:val="20"/>
                <w:szCs w:val="20"/>
                <w:color w:val="auto"/>
              </w:rPr>
            </w:pPr>
            <w:r>
              <w:rPr>
                <w:rFonts w:ascii="Arial" w:cs="Arial" w:eastAsia="Arial" w:hAnsi="Arial"/>
                <w:sz w:val="14"/>
                <w:szCs w:val="14"/>
                <w:b w:val="1"/>
                <w:bCs w:val="1"/>
                <w:color w:val="auto"/>
              </w:rPr>
              <w:t>Six Months Ended July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740" w:type="dxa"/>
            <w:vAlign w:val="bottom"/>
            <w:gridSpan w:val="2"/>
          </w:tcPr>
          <w:p>
            <w:pPr>
              <w:jc w:val="right"/>
              <w:ind w:right="747"/>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(17,974)</w:t>
            </w:r>
          </w:p>
        </w:tc>
        <w:tc>
          <w:tcPr>
            <w:tcW w:w="900" w:type="dxa"/>
            <w:vAlign w:val="bottom"/>
            <w:gridSpan w:val="2"/>
          </w:tcPr>
          <w:p>
            <w:pPr>
              <w:jc w:val="right"/>
              <w:ind w:right="772"/>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(30,219)</w:t>
            </w:r>
          </w:p>
        </w:tc>
      </w:tr>
      <w:tr>
        <w:trPr>
          <w:trHeight w:val="216"/>
        </w:trPr>
        <w:tc>
          <w:tcPr>
            <w:tcW w:w="6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5,803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5,786</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Amortization (accretion) of premium (discount) on marketable debt securities, net</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38,214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32,430</w:t>
            </w:r>
          </w:p>
        </w:tc>
        <w:tc>
          <w:tcPr>
            <w:tcW w:w="120" w:type="dxa"/>
            <w:vAlign w:val="bottom"/>
          </w:tcPr>
          <w:p>
            <w:pPr>
              <w:spacing w:after="0"/>
              <w:rPr>
                <w:sz w:val="18"/>
                <w:szCs w:val="18"/>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income taxes</w:t>
            </w:r>
          </w:p>
        </w:tc>
        <w:tc>
          <w:tcPr>
            <w:tcW w:w="8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Other non-cash items, net</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(72)</w:t>
            </w:r>
          </w:p>
        </w:tc>
      </w:tr>
      <w:tr>
        <w:trPr>
          <w:trHeight w:val="216"/>
        </w:trPr>
        <w:tc>
          <w:tcPr>
            <w:tcW w:w="6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(13,321)</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(4,788)</w:t>
            </w: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Inventories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(15,995)</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(936)</w:t>
            </w: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1,033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1,472</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non-current assets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11,992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(1,217)</w:t>
            </w: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and other current liabilities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(619)</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2,144</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Income taxes payable</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764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(180)</w:t>
            </w: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699</w:t>
            </w:r>
          </w:p>
        </w:tc>
        <w:tc>
          <w:tcPr>
            <w:tcW w:w="120" w:type="dxa"/>
            <w:vAlign w:val="bottom"/>
            <w:shd w:val="clear" w:color="auto" w:fill="CFF0FC"/>
          </w:tcPr>
          <w:p>
            <w:pPr>
              <w:spacing w:after="0"/>
              <w:rPr>
                <w:sz w:val="18"/>
                <w:szCs w:val="18"/>
                <w:color w:val="auto"/>
              </w:rPr>
            </w:pPr>
          </w:p>
        </w:tc>
      </w:tr>
      <w:tr>
        <w:trPr>
          <w:trHeight w:val="229"/>
        </w:trPr>
        <w:tc>
          <w:tcPr>
            <w:tcW w:w="6940" w:type="dxa"/>
            <w:vAlign w:val="bottom"/>
          </w:tcPr>
          <w:p>
            <w:pPr>
              <w:ind w:left="500"/>
              <w:spacing w:after="0"/>
              <w:rPr>
                <w:sz w:val="20"/>
                <w:szCs w:val="20"/>
                <w:color w:val="auto"/>
              </w:rPr>
            </w:pPr>
            <w:r>
              <w:rPr>
                <w:rFonts w:ascii="Arial" w:cs="Arial" w:eastAsia="Arial" w:hAnsi="Arial"/>
                <w:sz w:val="17"/>
                <w:szCs w:val="17"/>
                <w:color w:val="auto"/>
              </w:rPr>
              <w:t>Operating lease liabilities</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(1,763)</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(1,031)</w:t>
            </w: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long-term liabilities</w:t>
            </w:r>
          </w:p>
        </w:tc>
        <w:tc>
          <w:tcPr>
            <w:tcW w:w="84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529</w:t>
            </w:r>
          </w:p>
        </w:tc>
        <w:tc>
          <w:tcPr>
            <w:tcW w:w="120" w:type="dxa"/>
            <w:vAlign w:val="bottom"/>
            <w:shd w:val="clear" w:color="auto" w:fill="CFF0FC"/>
          </w:tcPr>
          <w:p>
            <w:pPr>
              <w:spacing w:after="0"/>
              <w:rPr>
                <w:sz w:val="18"/>
                <w:szCs w:val="18"/>
                <w:color w:val="auto"/>
              </w:rPr>
            </w:pPr>
          </w:p>
        </w:tc>
      </w:tr>
      <w:tr>
        <w:trPr>
          <w:trHeight w:val="210"/>
        </w:trPr>
        <w:tc>
          <w:tcPr>
            <w:tcW w:w="694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84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9,890</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5,222</w:t>
            </w:r>
          </w:p>
        </w:tc>
        <w:tc>
          <w:tcPr>
            <w:tcW w:w="120" w:type="dxa"/>
            <w:vAlign w:val="bottom"/>
            <w:tcBorders>
              <w:bottom w:val="single" w:sz="8" w:color="CFF0FC"/>
            </w:tcBorders>
          </w:tcPr>
          <w:p>
            <w:pPr>
              <w:spacing w:after="0"/>
              <w:rPr>
                <w:sz w:val="18"/>
                <w:szCs w:val="18"/>
                <w:color w:val="auto"/>
              </w:rPr>
            </w:pPr>
          </w:p>
        </w:tc>
      </w:tr>
      <w:tr>
        <w:trPr>
          <w:trHeight w:val="209"/>
        </w:trPr>
        <w:tc>
          <w:tcPr>
            <w:tcW w:w="69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7"/>
                <w:szCs w:val="17"/>
                <w:color w:val="auto"/>
              </w:rPr>
              <w:t>Purchase of investments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w w:val="90"/>
              </w:rPr>
              <w:t>(101,664)</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(109,161)</w:t>
            </w:r>
          </w:p>
        </w:tc>
      </w:tr>
      <w:tr>
        <w:trPr>
          <w:trHeight w:val="216"/>
        </w:trPr>
        <w:tc>
          <w:tcPr>
            <w:tcW w:w="6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Sales of investments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32,839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44,044</w:t>
            </w:r>
          </w:p>
        </w:tc>
        <w:tc>
          <w:tcPr>
            <w:tcW w:w="120" w:type="dxa"/>
            <w:vAlign w:val="bottom"/>
            <w:shd w:val="clear" w:color="auto" w:fill="CFF0FC"/>
          </w:tcPr>
          <w:p>
            <w:pPr>
              <w:spacing w:after="0"/>
              <w:rPr>
                <w:sz w:val="18"/>
                <w:szCs w:val="18"/>
                <w:color w:val="auto"/>
              </w:rPr>
            </w:pPr>
          </w:p>
        </w:tc>
      </w:tr>
      <w:tr>
        <w:trPr>
          <w:trHeight w:val="241"/>
        </w:trPr>
        <w:tc>
          <w:tcPr>
            <w:tcW w:w="6940" w:type="dxa"/>
            <w:vAlign w:val="bottom"/>
          </w:tcPr>
          <w:p>
            <w:pPr>
              <w:ind w:left="260"/>
              <w:spacing w:after="0"/>
              <w:rPr>
                <w:sz w:val="20"/>
                <w:szCs w:val="20"/>
                <w:color w:val="auto"/>
              </w:rPr>
            </w:pPr>
            <w:r>
              <w:rPr>
                <w:rFonts w:ascii="Arial" w:cs="Arial" w:eastAsia="Arial" w:hAnsi="Arial"/>
                <w:sz w:val="17"/>
                <w:szCs w:val="17"/>
                <w:color w:val="auto"/>
              </w:rPr>
              <w:t>Maturities of investments</w:t>
            </w: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75,490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49,227</w:t>
            </w:r>
          </w:p>
        </w:tc>
        <w:tc>
          <w:tcPr>
            <w:tcW w:w="120" w:type="dxa"/>
            <w:vAlign w:val="bottom"/>
          </w:tcPr>
          <w:p>
            <w:pPr>
              <w:spacing w:after="0"/>
              <w:rPr>
                <w:sz w:val="20"/>
                <w:szCs w:val="20"/>
                <w:color w:val="auto"/>
              </w:rPr>
            </w:pPr>
          </w:p>
        </w:tc>
      </w:tr>
      <w:tr>
        <w:trPr>
          <w:trHeight w:val="218"/>
        </w:trPr>
        <w:tc>
          <w:tcPr>
            <w:tcW w:w="6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tangible and intangible assets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(3,754)</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(665)</w:t>
            </w:r>
          </w:p>
        </w:tc>
      </w:tr>
      <w:tr>
        <w:trPr>
          <w:trHeight w:val="210"/>
        </w:trPr>
        <w:tc>
          <w:tcPr>
            <w:tcW w:w="694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(used in) investing activities</w:t>
            </w:r>
          </w:p>
        </w:tc>
        <w:tc>
          <w:tcPr>
            <w:tcW w:w="840" w:type="dxa"/>
            <w:vAlign w:val="bottom"/>
            <w:tcBorders>
              <w:bottom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2,911</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(16,555)</w:t>
            </w:r>
          </w:p>
        </w:tc>
        <w:tc>
          <w:tcPr>
            <w:tcW w:w="120" w:type="dxa"/>
            <w:vAlign w:val="bottom"/>
            <w:tcBorders>
              <w:bottom w:val="single" w:sz="8" w:color="CFF0FC"/>
            </w:tcBorders>
          </w:tcPr>
          <w:p>
            <w:pPr>
              <w:spacing w:after="0"/>
              <w:rPr>
                <w:sz w:val="18"/>
                <w:szCs w:val="18"/>
                <w:color w:val="auto"/>
              </w:rPr>
            </w:pPr>
          </w:p>
        </w:tc>
      </w:tr>
      <w:tr>
        <w:trPr>
          <w:trHeight w:val="210"/>
        </w:trPr>
        <w:tc>
          <w:tcPr>
            <w:tcW w:w="69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7"/>
                <w:szCs w:val="17"/>
                <w:color w:val="auto"/>
              </w:rPr>
              <w:t>Stock repurchase</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6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7,161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3,866</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7"/>
                <w:szCs w:val="17"/>
                <w:color w:val="auto"/>
              </w:rPr>
              <w:t>Payment for intangible assets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(2,834)</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(2,288)</w:t>
            </w:r>
          </w:p>
        </w:tc>
      </w:tr>
      <w:tr>
        <w:trPr>
          <w:trHeight w:val="210"/>
        </w:trPr>
        <w:tc>
          <w:tcPr>
            <w:tcW w:w="69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provided by financing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4,327</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17,128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(10,755)</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84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241,284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231,412</w:t>
            </w:r>
          </w:p>
        </w:tc>
        <w:tc>
          <w:tcPr>
            <w:tcW w:w="120" w:type="dxa"/>
            <w:vAlign w:val="bottom"/>
            <w:shd w:val="clear" w:color="auto" w:fill="CFF0FC"/>
          </w:tcPr>
          <w:p>
            <w:pPr>
              <w:spacing w:after="0"/>
              <w:rPr>
                <w:sz w:val="18"/>
                <w:szCs w:val="18"/>
                <w:color w:val="auto"/>
              </w:rPr>
            </w:pPr>
          </w:p>
        </w:tc>
      </w:tr>
      <w:tr>
        <w:trPr>
          <w:trHeight w:val="250"/>
        </w:trPr>
        <w:tc>
          <w:tcPr>
            <w:tcW w:w="6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84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258,412</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220,657</w:t>
            </w:r>
          </w:p>
        </w:tc>
        <w:tc>
          <w:tcPr>
            <w:tcW w:w="120" w:type="dxa"/>
            <w:vAlign w:val="bottom"/>
            <w:tcBorders>
              <w:bottom w:val="single" w:sz="8" w:color="CFF0FC"/>
            </w:tcBorders>
          </w:tcPr>
          <w:p>
            <w:pPr>
              <w:spacing w:after="0"/>
              <w:rPr>
                <w:sz w:val="21"/>
                <w:szCs w:val="21"/>
                <w:color w:val="auto"/>
              </w:rPr>
            </w:pPr>
          </w:p>
        </w:tc>
      </w:tr>
      <w:tr>
        <w:trPr>
          <w:trHeight w:val="196"/>
        </w:trPr>
        <w:tc>
          <w:tcPr>
            <w:tcW w:w="694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8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94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1740" w:type="dxa"/>
            <w:vAlign w:val="bottom"/>
            <w:gridSpan w:val="2"/>
          </w:tcPr>
          <w:p>
            <w:pPr>
              <w:jc w:val="right"/>
              <w:ind w:right="747"/>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1,085</w:t>
            </w:r>
          </w:p>
        </w:tc>
        <w:tc>
          <w:tcPr>
            <w:tcW w:w="280" w:type="dxa"/>
            <w:vAlign w:val="bottom"/>
          </w:tcPr>
          <w:p>
            <w:pPr>
              <w:spacing w:after="0"/>
              <w:rPr>
                <w:sz w:val="22"/>
                <w:szCs w:val="22"/>
                <w:color w:val="auto"/>
              </w:rPr>
            </w:pPr>
          </w:p>
        </w:tc>
        <w:tc>
          <w:tcPr>
            <w:tcW w:w="900" w:type="dxa"/>
            <w:vAlign w:val="bottom"/>
            <w:gridSpan w:val="2"/>
          </w:tcPr>
          <w:p>
            <w:pPr>
              <w:jc w:val="right"/>
              <w:ind w:right="77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842</w:t>
            </w:r>
          </w:p>
        </w:tc>
        <w:tc>
          <w:tcPr>
            <w:tcW w:w="120" w:type="dxa"/>
            <w:vAlign w:val="bottom"/>
          </w:tcPr>
          <w:p>
            <w:pPr>
              <w:spacing w:after="0"/>
              <w:rPr>
                <w:sz w:val="22"/>
                <w:szCs w:val="22"/>
                <w:color w:val="auto"/>
              </w:rPr>
            </w:pPr>
          </w:p>
        </w:tc>
      </w:tr>
      <w:tr>
        <w:trPr>
          <w:trHeight w:val="196"/>
        </w:trPr>
        <w:tc>
          <w:tcPr>
            <w:tcW w:w="694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8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7"/>
                <w:szCs w:val="17"/>
                <w:color w:val="auto"/>
              </w:rPr>
              <w:t>Unpaid liabilities related to tangible and intangible assets additions</w:t>
            </w:r>
          </w:p>
        </w:tc>
        <w:tc>
          <w:tcPr>
            <w:tcW w:w="1740" w:type="dxa"/>
            <w:vAlign w:val="bottom"/>
            <w:gridSpan w:val="2"/>
          </w:tcPr>
          <w:p>
            <w:pPr>
              <w:jc w:val="right"/>
              <w:ind w:right="747"/>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1,332</w:t>
            </w:r>
          </w:p>
        </w:tc>
        <w:tc>
          <w:tcPr>
            <w:tcW w:w="280" w:type="dxa"/>
            <w:vAlign w:val="bottom"/>
          </w:tcPr>
          <w:p>
            <w:pPr>
              <w:spacing w:after="0"/>
              <w:rPr>
                <w:sz w:val="18"/>
                <w:szCs w:val="18"/>
                <w:color w:val="auto"/>
              </w:rPr>
            </w:pPr>
          </w:p>
        </w:tc>
        <w:tc>
          <w:tcPr>
            <w:tcW w:w="900" w:type="dxa"/>
            <w:vAlign w:val="bottom"/>
            <w:gridSpan w:val="2"/>
          </w:tcPr>
          <w:p>
            <w:pPr>
              <w:jc w:val="right"/>
              <w:ind w:right="77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1,174</w:t>
            </w:r>
          </w:p>
        </w:tc>
        <w:tc>
          <w:tcPr>
            <w:tcW w:w="12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Ambarella, Inc. (the “Company”) was incorporated in the Cayman Islands on January 15, 2004. The Company is a leading developer of low-power semiconductor solutions offering high-definition (HD) and Ultra HD compression, image processing, and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delivering exceptional video and image quality, differentiated functionality and low power consumption. The Company is currently addressing a broad range of human and computer vision applications, including professional and consumer security cameras, automotive cameras such as advanced driver assistance systems (ADAS), electronic mirrors, drive recorders, driver/cabin monitoring systems, autonomous driving, and industrial and robotic applications.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sells its solutions to leading original design manufacturers, or ODMs, and original equipment manufacturers, or OEMs, globally.</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2021 fiscal year filed with the SEC on March 31, 2021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5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an ongoing basis, management evaluates its estimates and assumptions, including those related to (i) write down of excess and obsolete inventories; (ii) the estimated useful lives of long-lived assets; (iii) the valuation of stock-based compensation awards and financial instruments; (iv) the probability of performance objectives achievement; and (v) the realization of tax assets and estimates of tax liabilities, including reserves for uncertain tax positions.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40" w:firstLine="510"/>
        <w:spacing w:after="0" w:line="286" w:lineRule="auto"/>
        <w:rPr>
          <w:sz w:val="20"/>
          <w:szCs w:val="20"/>
          <w:color w:val="auto"/>
        </w:rPr>
      </w:pPr>
      <w:r>
        <w:rPr>
          <w:rFonts w:ascii="Arial" w:cs="Arial" w:eastAsia="Arial" w:hAnsi="Arial"/>
          <w:sz w:val="17"/>
          <w:szCs w:val="17"/>
          <w:color w:val="auto"/>
        </w:rPr>
        <w:t>The Company also assessed the impacts of COVID-19 on the above accounting matters as of July 31, 2021 and through the date of issuing this report. While it is difficult to quantify the impact of COVID-19, the future magnitude and duration of COVID-19, as well as other associated factors, could result in material negative impacts to the Company’s condensed consolidated financial statements in future reporting periods.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 substantial portion of the Company’s revenue is derived from sales through one of its distributors, WT Microelectronics Co., Ltd., formerly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8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asset-backed securities, commercial paper, U.S. government securities and debt securities of corporations which management assesses to be highly liquid. The Company does not hold or issue financial instruments for trading purposes.</w:t>
      </w:r>
    </w:p>
    <w:p>
      <w:pPr>
        <w:spacing w:after="0" w:line="178"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adopted Accounting Standards Update (ASU) No. 2016-13, Financial Instruments-Credit Losses (Topic 326): Measurement of Credit Losses on Financial Instruments in fiscal year 2021. As a result, the Company recognizes credit losses based on a forward-looking current expected credit losses (CECL) model, including accounts receivable. The Company’s accounts receivable are recorded at invoiced amount less an allowance for any potentially uncollectible amounts. Accordingly, the Company makes estimates of expected credit losses for the allowance for doubtful accounts based upon its assessment of various factors, including historical collection experience, the age of the accounts receivable balances, credit quality of its customers, current economic conditions, reasonable and supportable forecasts of future economic conditions, and other factors that may affect its ability to collect from customers.</w:t>
      </w:r>
    </w:p>
    <w:p>
      <w:pPr>
        <w:spacing w:after="0" w:line="19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these investments as “available-for-sale” (AFS) securities. The Company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 The credit-related losses from the financial instruments were not material for the three and six months ended July 31, 2021 and 2020, respectively, and the associated allowance amounts were not material as of July 31, 2021 and January 31, 2021, respectively.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44"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Amounts included in restricted cash represent those required to be set aside to secure certain transactions in a foreign entity. The following table presents cash, cash equivalents and restricted cash reported on the condensed consolidated balance sheets, and the sums are presented on the condensed consolidated statements of cash flows: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3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57"/>
              <w:spacing w:after="0" w:line="133" w:lineRule="exact"/>
              <w:rPr>
                <w:sz w:val="20"/>
                <w:szCs w:val="20"/>
                <w:color w:val="auto"/>
              </w:rPr>
            </w:pPr>
            <w:r>
              <w:rPr>
                <w:rFonts w:ascii="Arial" w:cs="Arial" w:eastAsia="Arial" w:hAnsi="Arial"/>
                <w:sz w:val="14"/>
                <w:szCs w:val="14"/>
                <w:b w:val="1"/>
                <w:bCs w:val="1"/>
                <w:color w:val="auto"/>
              </w:rPr>
              <w:t>July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w w:val="98"/>
              </w:rPr>
              <w:t>January 31,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277"/>
              <w:spacing w:after="0" w:line="133" w:lineRule="exact"/>
              <w:rPr>
                <w:sz w:val="20"/>
                <w:szCs w:val="20"/>
                <w:color w:val="auto"/>
              </w:rPr>
            </w:pPr>
            <w:r>
              <w:rPr>
                <w:rFonts w:ascii="Arial" w:cs="Arial" w:eastAsia="Arial" w:hAnsi="Arial"/>
                <w:sz w:val="14"/>
                <w:szCs w:val="14"/>
                <w:b w:val="1"/>
                <w:bCs w:val="1"/>
                <w:color w:val="auto"/>
              </w:rPr>
              <w:t>July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8"/>
              </w:rPr>
              <w:t>January 31,</w:t>
            </w:r>
          </w:p>
        </w:tc>
        <w:tc>
          <w:tcPr>
            <w:tcW w:w="80" w:type="dxa"/>
            <w:vAlign w:val="bottom"/>
          </w:tcPr>
          <w:p>
            <w:pPr>
              <w:spacing w:after="0"/>
              <w:rPr>
                <w:sz w:val="11"/>
                <w:szCs w:val="11"/>
                <w:color w:val="auto"/>
              </w:rPr>
            </w:pPr>
          </w:p>
        </w:tc>
      </w:tr>
      <w:tr>
        <w:trPr>
          <w:trHeight w:val="171"/>
        </w:trPr>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3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4"/>
          </w:tcPr>
          <w:p>
            <w:pPr>
              <w:jc w:val="right"/>
              <w:ind w:right="737"/>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258,402</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241,274</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220,647</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231,403</w:t>
            </w:r>
          </w:p>
        </w:tc>
        <w:tc>
          <w:tcPr>
            <w:tcW w:w="80" w:type="dxa"/>
            <w:vAlign w:val="bottom"/>
            <w:shd w:val="clear" w:color="auto" w:fill="CFF0FC"/>
          </w:tcPr>
          <w:p>
            <w:pPr>
              <w:spacing w:after="0"/>
              <w:rPr>
                <w:sz w:val="21"/>
                <w:szCs w:val="21"/>
                <w:color w:val="auto"/>
              </w:rPr>
            </w:pPr>
          </w:p>
        </w:tc>
      </w:tr>
      <w:tr>
        <w:trPr>
          <w:trHeight w:val="243"/>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21"/>
                <w:szCs w:val="21"/>
                <w:color w:val="auto"/>
              </w:rPr>
            </w:pPr>
          </w:p>
        </w:tc>
      </w:tr>
      <w:tr>
        <w:trPr>
          <w:trHeight w:val="209"/>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 presented in the condensed</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consolidated statements of cash flows</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258,412</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241,284</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220,657</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231,412</w:t>
            </w:r>
          </w:p>
        </w:tc>
        <w:tc>
          <w:tcPr>
            <w:tcW w:w="80" w:type="dxa"/>
            <w:vAlign w:val="bottom"/>
            <w:shd w:val="clear" w:color="auto" w:fill="CFF0FC"/>
          </w:tcPr>
          <w:p>
            <w:pPr>
              <w:spacing w:after="0"/>
              <w:rPr>
                <w:sz w:val="20"/>
                <w:szCs w:val="20"/>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three and six months ended July 31, 2021 and 2020, respectively.</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Software Licenses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Company expenses the cost of purchased software that is to be sold, leased or otherwise marketed as part of a product until the technological feasibility of the product has been established or where the software has an alternative future use. Once the technological feasibility of the product, to be externally marketed, has been established or where the software has an alternative future use, the Company capitalizes the cost of purchased software until the associated product is available for general release to customers, at which point the capitalized cost is amortized on a product by product basis over the remaining estimated economic life of the product.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Company adopted Accounting Standards Codification (“ASC”) Topic 842, Leases in fiscal year 2020. As a result,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and liability calculation if it is reasonably certain that the Company will exercise the option. The Company's finance leases were immaterial as of July 31, 2021 and January 31, 2021, respectively.</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accordance with ASC 606, Revenue from Contracts with Customers,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 w:name="page11"/>
    <w:bookmarkEnd w:id="10"/>
    <w:p>
      <w:pPr>
        <w:ind w:right="20" w:firstLine="510"/>
        <w:spacing w:after="0" w:line="286" w:lineRule="auto"/>
        <w:rPr>
          <w:sz w:val="20"/>
          <w:szCs w:val="20"/>
          <w:color w:val="auto"/>
        </w:rPr>
      </w:pPr>
      <w:r>
        <w:rPr>
          <w:rFonts w:ascii="Arial" w:cs="Arial" w:eastAsia="Arial" w:hAnsi="Arial"/>
          <w:sz w:val="16"/>
          <w:szCs w:val="16"/>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74"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three and six months ended July 31, 2021 and 2020, respectively.</w:t>
      </w:r>
    </w:p>
    <w:p>
      <w:pPr>
        <w:spacing w:after="0" w:line="18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Timing of revenue recognition may differ from the timing of invoicing to the Company’s customers. The Company records contract assets when revenue is recognized prior to invoicing. The Company’s contract assets are primarily related to satisfied but unbilled performance obligations associated with its engineering service agreements at the reporting date. As of July 31, 2021 and January 31, 2021, the contract assets for these unbilled receivables were not material. The Company’s contract liabilities consist of deferred revenue. The deferred revenue is primarily related to the portion of a transaction price that exceeds the weighted average selling price for products sold to date under tiered-pricing contracts which contain material rights. This deferred revenue is expected to be recognized over the course of the contract when products are delivered for future pricing below the weighted average selling price of the contract. For the three and six months ended July 31, 2021 and 2020, the Company did not recognize any material revenue adjustment, respectively, related to performance obligations satisfied in prior periods released from this deferred revenue. As of July 31, 2021 and January 31, 2021, the respective deferred revenues were not material. Additionally, the transaction price allocated to unsatisfied, or partially unsatisfied, purchase orders for contracts that are greater than a year was not material as of July 31, 2021 and January 31, 2021, respectively. The Company also elects not to disclose the value of unsatisfied or partially unsatisfied performance obligations due to an original expected contract duration of one year or less and elects to exclude amounts collected from customers for all sales taxes from the transaction price.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July 31, 2021, there was approximately $1.4 million of grants recorded in prepaid expenses and other current assets and approximately $1.2 million of grants recorded in other non-current assets in the condensed consolidated balance sheets.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8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As part of the process of preparing condensed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condensed consolidated balance sheets. In general, deferred tax assets represent future tax benefits to be received when certain expenses previously recognized in the condensed consolidated statements of operations become deductible expenses under applicable income tax laws, or loss or credit carryforwards are utilized.</w:t>
      </w:r>
    </w:p>
    <w:p>
      <w:pPr>
        <w:spacing w:after="0" w:line="84" w:lineRule="exact"/>
        <w:rPr>
          <w:sz w:val="20"/>
          <w:szCs w:val="20"/>
          <w:color w:val="auto"/>
        </w:rPr>
      </w:pPr>
    </w:p>
    <w:p>
      <w:pPr>
        <w:ind w:right="460" w:firstLine="510"/>
        <w:spacing w:after="0" w:line="342" w:lineRule="auto"/>
        <w:rPr>
          <w:sz w:val="20"/>
          <w:szCs w:val="20"/>
          <w:color w:val="auto"/>
        </w:rPr>
      </w:pPr>
      <w:r>
        <w:rPr>
          <w:rFonts w:ascii="Arial" w:cs="Arial" w:eastAsia="Arial" w:hAnsi="Arial"/>
          <w:sz w:val="16"/>
          <w:szCs w:val="16"/>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2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condensed consolidated statements of operations for the periods in which the adjustment is determined to be required.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and unvested restricted stock units. The dilutive effect of potentially dilutive securities is reflected in diluted earnings (losses) per share by application of the treasury stock method.</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Comprehensive income (loss) includes unrealized gains or losses, net from available-for-sale securities that are excluded from net income (loss).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Company invests a portion of its cash in debt securities that are denominated in United States dollars. The investment portfolio consists of money market funds, asset-backed securities, commercial paper, U.S. government securities, and debt securities of corporations. All of the investments are classified as available-for-sale securities and reported at fair value in the condensed consolidated balance sheets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July 31, 2021</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 Gains</w:t>
            </w: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65,298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65,298</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102,332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102,827</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13,724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28,344</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214,433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215,041</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January 31, 2021</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 Gains</w:t>
            </w: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Corporate bonds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102,108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103,081</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29,383</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29,465</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213,583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10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2021, there were no debt securities with unrealized losses for more than twelve months.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2021</w:t>
            </w: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2021</w:t>
            </w:r>
          </w:p>
        </w:tc>
      </w:tr>
      <w:tr>
        <w:trPr>
          <w:trHeight w:val="155"/>
        </w:trPr>
        <w:tc>
          <w:tcPr>
            <w:tcW w:w="4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Included in cash equivalents</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24,284</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15,368</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Included in marketable debt securities</w:t>
            </w: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190,757</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199,434</w:t>
            </w:r>
          </w:p>
        </w:tc>
        <w:tc>
          <w:tcPr>
            <w:tcW w:w="80" w:type="dxa"/>
            <w:vAlign w:val="bottom"/>
            <w:tcBorders>
              <w:bottom w:val="single" w:sz="8" w:color="CFF0FC"/>
            </w:tcBorders>
          </w:tcPr>
          <w:p>
            <w:pPr>
              <w:spacing w:after="0"/>
              <w:rPr>
                <w:sz w:val="21"/>
                <w:szCs w:val="21"/>
                <w:color w:val="auto"/>
              </w:rPr>
            </w:pPr>
          </w:p>
        </w:tc>
      </w:tr>
      <w:tr>
        <w:trPr>
          <w:trHeight w:val="237"/>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Total cash equivalents and marketable debt securities</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215,041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80" w:type="dxa"/>
            <w:vAlign w:val="bottom"/>
            <w:shd w:val="clear" w:color="auto" w:fill="CFF0FC"/>
          </w:tcPr>
          <w:p>
            <w:pPr>
              <w:spacing w:after="0"/>
              <w:rPr>
                <w:sz w:val="20"/>
                <w:szCs w:val="20"/>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the investments at July 31, 2021 and January 31, 2021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w w:val="91"/>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31, 2021</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2"/>
              </w:rPr>
              <w:t>January 31, 2021</w:t>
            </w:r>
          </w:p>
        </w:tc>
        <w:tc>
          <w:tcPr>
            <w:tcW w:w="80" w:type="dxa"/>
            <w:vAlign w:val="bottom"/>
          </w:tcPr>
          <w:p>
            <w:pPr>
              <w:spacing w:after="0"/>
              <w:rPr>
                <w:sz w:val="19"/>
                <w:szCs w:val="19"/>
                <w:color w:val="auto"/>
              </w:rPr>
            </w:pPr>
          </w:p>
        </w:tc>
      </w:tr>
      <w:tr>
        <w:trPr>
          <w:trHeight w:val="223"/>
        </w:trPr>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135,449</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135,899</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one to three years</w:t>
            </w: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79,592</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78,903</w:t>
            </w:r>
          </w:p>
        </w:tc>
        <w:tc>
          <w:tcPr>
            <w:tcW w:w="80" w:type="dxa"/>
            <w:vAlign w:val="bottom"/>
            <w:tcBorders>
              <w:bottom w:val="single" w:sz="8" w:color="CFF0FC"/>
            </w:tcBorders>
          </w:tcPr>
          <w:p>
            <w:pPr>
              <w:spacing w:after="0"/>
              <w:rPr>
                <w:sz w:val="21"/>
                <w:szCs w:val="21"/>
                <w:color w:val="auto"/>
              </w:rPr>
            </w:pPr>
          </w:p>
        </w:tc>
      </w:tr>
      <w:tr>
        <w:trPr>
          <w:trHeight w:val="237"/>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Total cash equivalents and marketable debt securities</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215,041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80" w:type="dxa"/>
            <w:vAlign w:val="bottom"/>
            <w:shd w:val="clear" w:color="auto" w:fill="CFF0FC"/>
          </w:tcPr>
          <w:p>
            <w:pPr>
              <w:spacing w:after="0"/>
              <w:rPr>
                <w:sz w:val="20"/>
                <w:szCs w:val="20"/>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60" w:firstLine="510"/>
        <w:spacing w:after="0" w:line="291" w:lineRule="auto"/>
        <w:rPr>
          <w:sz w:val="20"/>
          <w:szCs w:val="20"/>
          <w:color w:val="auto"/>
        </w:rPr>
      </w:pPr>
      <w:r>
        <w:rPr>
          <w:rFonts w:ascii="Arial" w:cs="Arial" w:eastAsia="Arial" w:hAnsi="Arial"/>
          <w:sz w:val="16"/>
          <w:szCs w:val="16"/>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 The credit-related losses were not material for the three and six months ended July 31, 2021, and 2020, respectively.</w:t>
      </w:r>
    </w:p>
    <w:p>
      <w:pPr>
        <w:spacing w:after="0" w:line="16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3" w:name="page14"/>
    <w:bookmarkEnd w:id="13"/>
    <w:p>
      <w:pPr>
        <w:ind w:right="20" w:firstLine="510"/>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8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tables present the fair value of the financial instruments measured on a recurring basis as of July 31, 2021 and January 31, 2021,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4"/>
                <w:szCs w:val="14"/>
                <w:b w:val="1"/>
                <w:bCs w:val="1"/>
                <w:color w:val="auto"/>
                <w:w w:val="90"/>
              </w:rPr>
              <w:t>As of July 31, 2021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9"/>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65,298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65,298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102,827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102,827</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13,787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28,344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28,344</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215,041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4"/>
                <w:szCs w:val="14"/>
                <w:b w:val="1"/>
                <w:bCs w:val="1"/>
                <w:color w:val="auto"/>
                <w:w w:val="94"/>
              </w:rPr>
              <w:t>As of January 31, 2021</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9"/>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0"/>
                <w:szCs w:val="20"/>
                <w:color w:val="auto"/>
              </w:rPr>
            </w:pPr>
          </w:p>
        </w:tc>
        <w:tc>
          <w:tcPr>
            <w:tcW w:w="180" w:type="dxa"/>
            <w:vAlign w:val="bottom"/>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103,081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103,081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U.S. government securities</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29,465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gridSpan w:val="4"/>
          </w:tcPr>
          <w:p>
            <w:pPr>
              <w:jc w:val="right"/>
              <w:spacing w:after="0"/>
              <w:rPr>
                <w:sz w:val="20"/>
                <w:szCs w:val="20"/>
                <w:color w:val="auto"/>
              </w:rPr>
            </w:pPr>
            <w:r>
              <w:rPr>
                <w:rFonts w:ascii="Arial" w:cs="Arial" w:eastAsia="Arial" w:hAnsi="Arial"/>
                <w:sz w:val="18"/>
                <w:szCs w:val="18"/>
                <w:color w:val="auto"/>
                <w:w w:val="99"/>
              </w:rPr>
              <w:t>Inventories at July 31, 2021 and January 31, 2021 consisted of the following:</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July 31, 2021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January 31, 2021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6"/>
          </w:tcPr>
          <w:p>
            <w:pPr>
              <w:jc w:val="right"/>
              <w:ind w:right="47"/>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34,432</w:t>
            </w: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18,219</w:t>
            </w: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7,862</w:t>
            </w:r>
          </w:p>
        </w:tc>
        <w:tc>
          <w:tcPr>
            <w:tcW w:w="8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42,076</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26,081</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33" w:right="5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Depreciation expense was approximately $0.6 million and $0.6 million for the three months ended July 31, 2021 and 2020, respectively, and was approximately $1.2 million and $1.3 million for the six months ended July 31, 2021 and 2020, respectively. Property and equipment at July 31, 2021 and January 31, 2021 consisted of the following:</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July 31, 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January 31, 2021</w:t>
            </w:r>
          </w:p>
        </w:tc>
      </w:tr>
      <w:tr>
        <w:trPr>
          <w:trHeight w:val="156"/>
        </w:trPr>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5"/>
          </w:tcPr>
          <w:p>
            <w:pPr>
              <w:jc w:val="right"/>
              <w:ind w:right="93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14,062</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11,525</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7,261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6,946</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2,237</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22,008</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(17,681)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(16,478)</w:t>
            </w: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5,530</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intangible assets primarily consist of $4.1 million of in-process research and development (“IPR&amp;D”) from the acquisition of VisLab S.r.l., or VisLab, in June 2015 and $11.7 million of software licenses, net of amortization expense. Acquired IPR&amp;D is capitalized at fair value and the amortization commences upon completion of the underlying projects. Once research and development efforts are completed, the corresponding amount of IPR&amp;D is reclassified as an amortizable purchased intangible asset and is amortized over its estimated useful life. As of July 31, 2021, there was no IPR&amp;D amortized. The Company will determine the project incorporating the VisLab IPR&amp;D to be completed when a related chip begins mass production to address the level 3 and above advanced driving assistance systems markets.</w:t>
      </w:r>
    </w:p>
    <w:p>
      <w:pPr>
        <w:spacing w:after="0" w:line="7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Company enters into certain software license agreements with third parties from time-to-time. The software licenses consist of noncancelable on 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July 31, 2021, $5.6 million was recorded in accrued and other current liabilities and $3.0 million was recorded in other long-term liabilities in the condensed consolidated balance sheets. The carrying amounts of intangible assets as of July 31, 2021 and January 31, 2021 were as follows:</w:t>
      </w:r>
    </w:p>
    <w:p>
      <w:pPr>
        <w:spacing w:after="0" w:line="3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As of July 31, 2021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9"/>
          </w:tcPr>
          <w:p>
            <w:pPr>
              <w:ind w:left="500"/>
              <w:spacing w:after="0"/>
              <w:rPr>
                <w:sz w:val="20"/>
                <w:szCs w:val="20"/>
                <w:color w:val="auto"/>
              </w:rPr>
            </w:pPr>
            <w:r>
              <w:rPr>
                <w:rFonts w:ascii="Arial" w:cs="Arial" w:eastAsia="Arial" w:hAnsi="Arial"/>
                <w:sz w:val="14"/>
                <w:szCs w:val="14"/>
                <w:b w:val="1"/>
                <w:bCs w:val="1"/>
                <w:color w:val="auto"/>
              </w:rPr>
              <w:t>As of January 31, 2021</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7"/>
              <w:spacing w:after="0" w:line="133" w:lineRule="exact"/>
              <w:rPr>
                <w:sz w:val="20"/>
                <w:szCs w:val="20"/>
                <w:color w:val="auto"/>
              </w:rPr>
            </w:pPr>
            <w:r>
              <w:rPr>
                <w:rFonts w:ascii="Arial" w:cs="Arial" w:eastAsia="Arial" w:hAnsi="Arial"/>
                <w:sz w:val="14"/>
                <w:szCs w:val="14"/>
                <w:b w:val="1"/>
                <w:bCs w:val="1"/>
                <w:color w:val="auto"/>
                <w:w w:val="83"/>
              </w:rPr>
              <w:t>Gross</w:t>
            </w:r>
          </w:p>
        </w:tc>
        <w:tc>
          <w:tcPr>
            <w:tcW w:w="1160" w:type="dxa"/>
            <w:vAlign w:val="bottom"/>
            <w:tcBorders>
              <w:top w:val="single" w:sz="8" w:color="auto"/>
            </w:tcBorders>
            <w:gridSpan w:val="4"/>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83"/>
              </w:rPr>
              <w:t>Gross</w:t>
            </w:r>
          </w:p>
        </w:tc>
        <w:tc>
          <w:tcPr>
            <w:tcW w:w="1120" w:type="dxa"/>
            <w:vAlign w:val="bottom"/>
            <w:tcBorders>
              <w:top w:val="single" w:sz="8" w:color="auto"/>
            </w:tcBorders>
            <w:gridSpan w:val="4"/>
            <w:vMerge w:val="restart"/>
          </w:tcPr>
          <w:p>
            <w:pPr>
              <w:jc w:val="right"/>
              <w:ind w:right="61"/>
              <w:spacing w:after="0"/>
              <w:rPr>
                <w:sz w:val="20"/>
                <w:szCs w:val="20"/>
                <w:color w:val="auto"/>
              </w:rPr>
            </w:pPr>
            <w:r>
              <w:rPr>
                <w:rFonts w:ascii="Arial" w:cs="Arial" w:eastAsia="Arial" w:hAnsi="Arial"/>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160" w:type="dxa"/>
            <w:vAlign w:val="bottom"/>
            <w:gridSpan w:val="4"/>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299"/>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Software licenses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21,043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acquired intangible assets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(9,411</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amortization expense related to the software licenses was approximately $1.5 million and $1.6 million for the three months ended July 31, 2021 and 2020, respectively, and was approximately $3.0 million and $3.1 million for the six months ended July 31, 2021 and 2020, respectively. The expected future amortization expense related to these software licenses as of July 31, 2021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Fiscal Year</w:t>
            </w: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July 31,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5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2022 (6 months remaining)</w:t>
            </w:r>
          </w:p>
        </w:tc>
        <w:tc>
          <w:tcPr>
            <w:tcW w:w="38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3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6,299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304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2025</w:t>
            </w:r>
          </w:p>
        </w:tc>
        <w:tc>
          <w:tcPr>
            <w:tcW w:w="3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2026</w:t>
            </w:r>
          </w:p>
        </w:tc>
        <w:tc>
          <w:tcPr>
            <w:tcW w:w="304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amortization expenses:</w:t>
            </w:r>
          </w:p>
        </w:tc>
        <w:tc>
          <w:tcPr>
            <w:tcW w:w="36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vMerge w:val="restart"/>
          </w:tcPr>
          <w:p>
            <w:pPr>
              <w:jc w:val="right"/>
              <w:ind w:right="271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right="200" w:firstLine="510"/>
        <w:spacing w:after="0" w:line="263" w:lineRule="auto"/>
        <w:rPr>
          <w:sz w:val="20"/>
          <w:szCs w:val="20"/>
          <w:color w:val="auto"/>
        </w:rPr>
      </w:pPr>
      <w:r>
        <w:rPr>
          <w:rFonts w:ascii="Arial" w:cs="Arial" w:eastAsia="Arial" w:hAnsi="Arial"/>
          <w:sz w:val="18"/>
          <w:szCs w:val="18"/>
          <w:color w:val="auto"/>
        </w:rPr>
        <w:t>IPR&amp;D is required to be tested for impairment at least annually in the fourth fiscal quarter or sooner whenever events or changes in circumstances indicate that the assets may be impaired. There were no intangible asset impairments for the three and six months ended July 31, 2021 and 2020, respectively.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July 31, 2021 and January 31, 2021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2021</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2021</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18,105</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Accrued rebates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product development costs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21,157</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Software license liabilities, current</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5,582</w:t>
            </w:r>
          </w:p>
        </w:tc>
        <w:tc>
          <w:tcPr>
            <w:tcW w:w="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80" w:type="dxa"/>
            <w:vAlign w:val="bottom"/>
            <w:shd w:val="clear" w:color="auto" w:fill="CFF0FC"/>
          </w:tcPr>
          <w:p>
            <w:pPr>
              <w:spacing w:after="0"/>
              <w:rPr>
                <w:sz w:val="19"/>
                <w:szCs w:val="19"/>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46,906</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48,126</w:t>
            </w: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20" w:firstLine="468"/>
        <w:spacing w:after="0" w:line="272" w:lineRule="auto"/>
        <w:rPr>
          <w:sz w:val="20"/>
          <w:szCs w:val="20"/>
          <w:color w:val="auto"/>
        </w:rPr>
      </w:pPr>
      <w:r>
        <w:rPr>
          <w:rFonts w:ascii="Arial" w:cs="Arial" w:eastAsia="Arial" w:hAnsi="Arial"/>
          <w:sz w:val="17"/>
          <w:szCs w:val="17"/>
          <w:color w:val="auto"/>
        </w:rPr>
        <w:t>The Company has entered into various operating leases for its worldwide office facilities. In the first quarter of fiscal year 2022, the Company extended its Shanghai office lease for an additional three years beginning December 1, 2021 to November 30, 2024. The Company accounted for this extension as a lease modification and recorded an increase to the operating lease right-of-use assets and corresponding operating lease liabilities of approximately $1.7 million, respectively, in the condensed consolidated balance sheets. The Company also signed a separate lease for additional space for its Shanghai office for a period of 40 months starting from August 1, 2021 through November 30, 2024 and will record an operating lease right-of-use asset and corresponding operating lease liability in the condensed consolidated balance sheets upon commencement on August 1, 2021. The total estimated future undiscounted cash payments for this additional lease are approximately $1.7 million.</w:t>
      </w:r>
    </w:p>
    <w:p>
      <w:pPr>
        <w:spacing w:after="0" w:line="177" w:lineRule="exact"/>
        <w:rPr>
          <w:sz w:val="20"/>
          <w:szCs w:val="20"/>
          <w:color w:val="auto"/>
        </w:rPr>
      </w:pPr>
    </w:p>
    <w:p>
      <w:pPr>
        <w:ind w:right="140" w:firstLine="468"/>
        <w:spacing w:after="0" w:line="286" w:lineRule="auto"/>
        <w:rPr>
          <w:sz w:val="20"/>
          <w:szCs w:val="20"/>
          <w:color w:val="auto"/>
        </w:rPr>
      </w:pPr>
      <w:r>
        <w:rPr>
          <w:rFonts w:ascii="Arial" w:cs="Arial" w:eastAsia="Arial" w:hAnsi="Arial"/>
          <w:sz w:val="17"/>
          <w:szCs w:val="17"/>
          <w:color w:val="auto"/>
        </w:rPr>
        <w:t>The operating lease expense was approximately $0.8 million and $0.7 million for the three months ended July 31, 2021 and 2020, respectively. The operating lease expense was approximately $1.6 million and $1.4 million for the six months ended July 31, 2021 and 2020, respectively. The Company's short-term leases and finance leases were not material as of July 31, 2021 and January 31, 2021, respectively.</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179"/>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Six Months Ended</w:t>
            </w:r>
          </w:p>
        </w:tc>
        <w:tc>
          <w:tcPr>
            <w:tcW w:w="11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419"/>
              <w:spacing w:after="0"/>
              <w:rPr>
                <w:sz w:val="20"/>
                <w:szCs w:val="20"/>
                <w:color w:val="auto"/>
              </w:rPr>
            </w:pPr>
            <w:r>
              <w:rPr>
                <w:rFonts w:ascii="Arial" w:cs="Arial" w:eastAsia="Arial" w:hAnsi="Arial"/>
                <w:sz w:val="14"/>
                <w:szCs w:val="14"/>
                <w:b w:val="1"/>
                <w:bCs w:val="1"/>
                <w:color w:val="auto"/>
              </w:rPr>
              <w:t>July 31, 2021</w:t>
            </w:r>
          </w:p>
        </w:tc>
        <w:tc>
          <w:tcPr>
            <w:tcW w:w="26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July 31, 2021</w:t>
            </w:r>
          </w:p>
        </w:tc>
        <w:tc>
          <w:tcPr>
            <w:tcW w:w="112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320" w:type="dxa"/>
            <w:vAlign w:val="bottom"/>
            <w:tcBorders>
              <w:top w:val="single" w:sz="8" w:color="auto"/>
            </w:tcBorders>
            <w:gridSpan w:val="3"/>
          </w:tcPr>
          <w:p>
            <w:pPr>
              <w:jc w:val="right"/>
              <w:ind w:right="1197"/>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9"/>
        </w:trPr>
        <w:tc>
          <w:tcPr>
            <w:tcW w:w="114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 cash flows</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907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7"/>
              </w:rPr>
              <w:t>Supplemental non-cash information related to lease liabilities arising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460" w:type="dxa"/>
            <w:vAlign w:val="bottom"/>
            <w:gridSpan w:val="2"/>
          </w:tcPr>
          <w:p>
            <w:pPr>
              <w:ind w:left="1140"/>
              <w:spacing w:after="0"/>
              <w:rPr>
                <w:sz w:val="20"/>
                <w:szCs w:val="20"/>
                <w:color w:val="auto"/>
              </w:rPr>
            </w:pPr>
            <w:r>
              <w:rPr>
                <w:rFonts w:ascii="Arial" w:cs="Arial" w:eastAsia="Arial" w:hAnsi="Arial"/>
                <w:sz w:val="18"/>
                <w:szCs w:val="18"/>
                <w:color w:val="auto"/>
              </w:rPr>
              <w:t>from obtaining right-of-use assets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5"/>
        </w:trPr>
        <w:tc>
          <w:tcPr>
            <w:tcW w:w="114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w w:val="91"/>
              </w:rPr>
              <w:t>Leased assets obtained in exchange for operating lease liabilities arising</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from lease modifications</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48"/>
        </w:trPr>
        <w:tc>
          <w:tcPr>
            <w:tcW w:w="6460" w:type="dxa"/>
            <w:vAlign w:val="bottom"/>
            <w:gridSpan w:val="2"/>
          </w:tcPr>
          <w:p>
            <w:pPr>
              <w:jc w:val="right"/>
              <w:ind w:right="65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640" w:firstLine="510"/>
        <w:spacing w:after="0" w:line="277" w:lineRule="auto"/>
        <w:rPr>
          <w:sz w:val="20"/>
          <w:szCs w:val="20"/>
          <w:color w:val="auto"/>
        </w:rPr>
      </w:pPr>
      <w:r>
        <w:rPr>
          <w:rFonts w:ascii="Arial" w:cs="Arial" w:eastAsia="Arial" w:hAnsi="Arial"/>
          <w:sz w:val="18"/>
          <w:szCs w:val="18"/>
          <w:color w:val="auto"/>
        </w:rPr>
        <w:t>As of July 31, 2021, the weighted average remaining lease term is 3.99 years, and the weighted average discount rate is 3.83 percent. Future minimum lease payments for the lease liabilities are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9"/>
              </w:rPr>
              <w:t>Fiscal Year</w:t>
            </w:r>
          </w:p>
        </w:tc>
        <w:tc>
          <w:tcPr>
            <w:tcW w:w="426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July 31, 2021</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center"/>
              <w:ind w:right="435"/>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2022 (6 months remaining)</w:t>
            </w:r>
          </w:p>
        </w:tc>
        <w:tc>
          <w:tcPr>
            <w:tcW w:w="17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Arial" w:cs="Arial" w:eastAsia="Arial" w:hAnsi="Arial"/>
                <w:sz w:val="18"/>
                <w:szCs w:val="18"/>
                <w:color w:val="auto"/>
              </w:rPr>
              <w:t>2025</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2026</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1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annual minimum lease payments</w:t>
            </w: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Less: interest</w:t>
            </w: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lease liabilities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at July 31, 2021 and January 31, 2021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2021</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2021</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right="9380" w:hanging="512"/>
        <w:spacing w:after="0" w:line="453" w:lineRule="auto"/>
        <w:tabs>
          <w:tab w:leader="none" w:pos="19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b w:val="1"/>
          <w:bCs w:val="1"/>
          <w:i w:val="1"/>
          <w:iCs w:val="1"/>
          <w:color w:val="auto"/>
        </w:rPr>
        <w:t>Preference shares</w:t>
      </w:r>
    </w:p>
    <w:p>
      <w:pPr>
        <w:spacing w:after="0" w:line="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After completion of the Company’s initial public offering in 2012, a total of 20,000,000 preference shares, with a $0.00045 par value per share, were authorized. There were no preference shares issued and outstanding as of July 31, 2021 and January 31, 2021, respectively.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July 31, 2021 and January 31, 2021, a total of 200,000,000 ordinary shares were authorized.</w:t>
      </w:r>
    </w:p>
    <w:p>
      <w:pPr>
        <w:spacing w:after="0" w:line="22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June 2021, the Company’s shareholders approved the 2021 Equity Incentive Plan, or 2021 EIP. The 2021 EIP permits the grant of incentive stock options, or ISOs, within the meaning of Section 422 of the Code, to employees of the Company and any of the Company’s subsidiary or parent corporations, and the grant of nonstatutory stock options, or NSOs, stock appreciation rights, restricted stock, restricted stock units, and performance awards to employees, directors and consultants of the Company and any of the Company’s subsidiary or parent corporations’ employees and consultants. Upon adoption of the 2021 EIP, the total number of ordinary shares of the Company reserved for issuance under the 2021 Plan was equal to, subject to adjustments upon changes in capitalization as provided under the 2021 EIP, 1,350,000 ordinary shares, plus (i) any ordinary shares subject to outstanding awards granted under the 2012 Equity Incentive Plan, or 2012 EIP, that, after the date the 2012 EIP is terminated, are cancelled, expire or otherwise terminate without having been exercised in full or are forfeited to or repurchased by the Company due to failure to vest, and (ii) any ordinary shares that, as of immediately prior to the termination of the 2012 EIP, were available for grant under the 2012 EIP, up to a maximum of 6,834,208 ordinary shares pursuant to clauses (i) and (ii).</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140" w:firstLine="510"/>
        <w:spacing w:after="0" w:line="301" w:lineRule="auto"/>
        <w:rPr>
          <w:sz w:val="20"/>
          <w:szCs w:val="20"/>
          <w:color w:val="auto"/>
        </w:rPr>
      </w:pPr>
      <w:r>
        <w:rPr>
          <w:rFonts w:ascii="Arial" w:cs="Arial" w:eastAsia="Arial" w:hAnsi="Arial"/>
          <w:sz w:val="16"/>
          <w:szCs w:val="16"/>
          <w:color w:val="auto"/>
        </w:rPr>
        <w:t>In the first quarter of fiscal year 2022, the Company added 1,599,634 ordinary shares to the ordinary shares reserved for issuance, pursuant to an “evergreen” provision contained in the 2012 EIP. Upon the approval of the 2021 EIP, the 2012 EIP was terminated. No additional awards will be granted under the 2012 EIP and any shares that were reserved but not issued under the 2012 EIP became available for future grant or sale under the 2021 EIP. However, all outstanding stock options and other awards previously granted under the 2012 EIP will remain subject to the terms of the 2012 EIP.</w:t>
      </w:r>
    </w:p>
    <w:p>
      <w:pPr>
        <w:spacing w:after="0" w:line="157"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In the first quarter of fiscal year 2022, the Company added 444,343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July 31, 2021 and January 31, 2021, the following ordinary shares were reserved for future issuance under the EIP and ESPP:</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7"/>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900" w:type="dxa"/>
            <w:vAlign w:val="bottom"/>
          </w:tcPr>
          <w:p>
            <w:pPr>
              <w:spacing w:after="0"/>
              <w:rPr>
                <w:sz w:val="13"/>
                <w:szCs w:val="13"/>
                <w:color w:val="auto"/>
              </w:rPr>
            </w:pPr>
          </w:p>
        </w:tc>
        <w:tc>
          <w:tcPr>
            <w:tcW w:w="164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rPr>
              <w:t>July 31, 2021</w:t>
            </w:r>
          </w:p>
        </w:tc>
        <w:tc>
          <w:tcPr>
            <w:tcW w:w="124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w w:val="96"/>
              </w:rPr>
              <w:t>January 31, 2021</w:t>
            </w:r>
          </w:p>
        </w:tc>
        <w:tc>
          <w:tcPr>
            <w:tcW w:w="80" w:type="dxa"/>
            <w:vAlign w:val="bottom"/>
          </w:tcPr>
          <w:p>
            <w:pPr>
              <w:spacing w:after="0"/>
              <w:rPr>
                <w:sz w:val="13"/>
                <w:szCs w:val="13"/>
                <w:color w:val="auto"/>
              </w:rPr>
            </w:pPr>
          </w:p>
        </w:tc>
      </w:tr>
      <w:tr>
        <w:trPr>
          <w:trHeight w:val="209"/>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reserved for options, restricted stock and</w:t>
            </w: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under EIP</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7,916,962</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5,981,741</w:t>
            </w:r>
          </w:p>
        </w:tc>
        <w:tc>
          <w:tcPr>
            <w:tcW w:w="80" w:type="dxa"/>
            <w:vAlign w:val="bottom"/>
            <w:shd w:val="clear" w:color="auto" w:fill="CFF0FC"/>
          </w:tcPr>
          <w:p>
            <w:pPr>
              <w:spacing w:after="0"/>
              <w:rPr>
                <w:sz w:val="20"/>
                <w:szCs w:val="20"/>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Shares reserved for ESPP</w:t>
            </w:r>
          </w:p>
        </w:tc>
        <w:tc>
          <w:tcPr>
            <w:tcW w:w="1460" w:type="dxa"/>
            <w:vAlign w:val="bottom"/>
          </w:tcPr>
          <w:p>
            <w:pPr>
              <w:jc w:val="right"/>
              <w:spacing w:after="0"/>
              <w:rPr>
                <w:sz w:val="20"/>
                <w:szCs w:val="20"/>
                <w:color w:val="auto"/>
              </w:rPr>
            </w:pPr>
            <w:r>
              <w:rPr>
                <w:rFonts w:ascii="Arial" w:cs="Arial" w:eastAsia="Arial" w:hAnsi="Arial"/>
                <w:sz w:val="18"/>
                <w:szCs w:val="18"/>
                <w:color w:val="auto"/>
              </w:rPr>
              <w:t>2,660,703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2,299,143</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repurchased</w:t>
      </w:r>
    </w:p>
    <w:p>
      <w:pPr>
        <w:spacing w:after="0" w:line="225"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On May 29, 2019, the Company’s Board of Directors authorized a program to repurchase up to $50.0 million of the Company’s ordinary shares through June 30, 2020. On March 16, 2020, the Company repurchased a total of 25,719 shares for approximately $1.0 million in cash. On May 29, 2020, the Board approved an extension of this program for an additional twelve months ending June 30, 2021. On May 25, 2021, the Board extended the repurchase program for another 12 months through June 30, 2022.There were no ordinary shares repurchased in the six months ended July 31, 2021.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As of July 31, 2021, there was approximately $49.0 million available for repurchases under the repurchase program through June 30,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July</w:t>
            </w:r>
          </w:p>
        </w:tc>
        <w:tc>
          <w:tcPr>
            <w:tcW w:w="188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31,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359</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1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14,813</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19,372</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38,214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During the three and six months ended July 31, 2021, approximately $1.7 million and $3.4 million of stock-based compensation expense was accrued in accrued and other current liabilities in the condensed consolidated balance sheets, respectively. As of July 31, 2021, total unrecognized compensation cost related to unvested stock options was $2.9 million and is expected to be recognized over a weighted-average period of 2.29 years. Total unrecognized compensation cost related to unvested restricted stock units was $129.7 million and is expected to be recognized over a weighted-average period of 2.20 years.</w:t>
      </w:r>
    </w:p>
    <w:p>
      <w:pPr>
        <w:spacing w:after="0" w:line="18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stock options and employee stock purchase plan awards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18" w:name="page19"/>
    <w:bookmarkEnd w:id="18"/>
    <w:tbl>
      <w:tblPr>
        <w:tblLayout w:type="fixed"/>
        <w:tblInd w:w="11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2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400" w:type="dxa"/>
            <w:vAlign w:val="bottom"/>
          </w:tcPr>
          <w:p>
            <w:pPr>
              <w:spacing w:after="0"/>
              <w:rPr>
                <w:sz w:val="14"/>
                <w:szCs w:val="14"/>
                <w:color w:val="auto"/>
              </w:rPr>
            </w:pPr>
          </w:p>
        </w:tc>
        <w:tc>
          <w:tcPr>
            <w:tcW w:w="136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w w:val="93"/>
              </w:rPr>
              <w:t>July 31,</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93"/>
              </w:rPr>
              <w:t>July 31,</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43"/>
        </w:trPr>
        <w:tc>
          <w:tcPr>
            <w:tcW w:w="4400" w:type="dxa"/>
            <w:vAlign w:val="bottom"/>
          </w:tcPr>
          <w:p>
            <w:pPr>
              <w:ind w:left="240"/>
              <w:spacing w:after="0"/>
              <w:rPr>
                <w:sz w:val="20"/>
                <w:szCs w:val="20"/>
                <w:color w:val="auto"/>
              </w:rPr>
            </w:pPr>
            <w:r>
              <w:rPr>
                <w:rFonts w:ascii="Arial" w:cs="Arial" w:eastAsia="Arial" w:hAnsi="Arial"/>
                <w:sz w:val="18"/>
                <w:szCs w:val="18"/>
                <w:color w:val="auto"/>
              </w:rPr>
              <w:t>Volatility</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0.52%</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0.59%</w:t>
            </w:r>
          </w:p>
        </w:tc>
      </w:tr>
      <w:tr>
        <w:trPr>
          <w:trHeight w:val="243"/>
        </w:trPr>
        <w:tc>
          <w:tcPr>
            <w:tcW w:w="4400" w:type="dxa"/>
            <w:vAlign w:val="bottom"/>
          </w:tcPr>
          <w:p>
            <w:pPr>
              <w:ind w:left="240"/>
              <w:spacing w:after="0"/>
              <w:rPr>
                <w:sz w:val="20"/>
                <w:szCs w:val="20"/>
                <w:color w:val="auto"/>
              </w:rPr>
            </w:pPr>
            <w:r>
              <w:rPr>
                <w:rFonts w:ascii="Arial" w:cs="Arial" w:eastAsia="Arial" w:hAnsi="Arial"/>
                <w:sz w:val="18"/>
                <w:szCs w:val="18"/>
                <w:color w:val="auto"/>
              </w:rPr>
              <w:t>Expected term (years)</w:t>
            </w:r>
          </w:p>
        </w:tc>
        <w:tc>
          <w:tcPr>
            <w:tcW w:w="1060" w:type="dxa"/>
            <w:vAlign w:val="bottom"/>
          </w:tcPr>
          <w:p>
            <w:pPr>
              <w:jc w:val="right"/>
              <w:ind w:right="12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w:t>
            </w:r>
          </w:p>
        </w:tc>
        <w:tc>
          <w:tcPr>
            <w:tcW w:w="280" w:type="dxa"/>
            <w:vAlign w:val="bottom"/>
          </w:tcPr>
          <w:p>
            <w:pPr>
              <w:spacing w:after="0"/>
              <w:rPr>
                <w:sz w:val="21"/>
                <w:szCs w:val="21"/>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21"/>
                <w:szCs w:val="21"/>
                <w:color w:val="auto"/>
              </w:rPr>
            </w:pP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Employee stock purchase plan awards: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Volatility</w:t>
            </w:r>
          </w:p>
        </w:tc>
        <w:tc>
          <w:tcPr>
            <w:tcW w:w="13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r>
      <w:tr>
        <w:trPr>
          <w:trHeight w:val="243"/>
        </w:trPr>
        <w:tc>
          <w:tcPr>
            <w:tcW w:w="4400" w:type="dxa"/>
            <w:vAlign w:val="bottom"/>
          </w:tcPr>
          <w:p>
            <w:pPr>
              <w:ind w:left="240"/>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term (years)</w:t>
            </w:r>
          </w:p>
        </w:tc>
        <w:tc>
          <w:tcPr>
            <w:tcW w:w="13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r>
      <w:tr>
        <w:trPr>
          <w:trHeight w:val="258"/>
        </w:trPr>
        <w:tc>
          <w:tcPr>
            <w:tcW w:w="4400" w:type="dxa"/>
            <w:vAlign w:val="bottom"/>
          </w:tcPr>
          <w:p>
            <w:pPr>
              <w:ind w:left="240"/>
              <w:spacing w:after="0"/>
              <w:rPr>
                <w:sz w:val="20"/>
                <w:szCs w:val="20"/>
                <w:color w:val="auto"/>
              </w:rPr>
            </w:pPr>
            <w:r>
              <w:rPr>
                <w:rFonts w:ascii="Arial" w:cs="Arial" w:eastAsia="Arial" w:hAnsi="Arial"/>
                <w:sz w:val="18"/>
                <w:szCs w:val="18"/>
                <w:color w:val="auto"/>
              </w:rPr>
              <w:t>Dividend yield</w:t>
            </w:r>
          </w:p>
        </w:tc>
        <w:tc>
          <w:tcPr>
            <w:tcW w:w="13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activities for the period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Option Outstanding</w:t>
            </w: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80"/>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0"/>
        </w:trPr>
        <w:tc>
          <w:tcPr>
            <w:tcW w:w="4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Total Intrinsic</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62"/>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65"/>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Value Of</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920" w:type="dxa"/>
            <w:vAlign w:val="bottom"/>
          </w:tcPr>
          <w:p>
            <w:pPr>
              <w:jc w:val="center"/>
              <w:ind w:right="145"/>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99"/>
              </w:rPr>
              <w:t>Intrinsic</w:t>
            </w:r>
          </w:p>
        </w:tc>
      </w:tr>
      <w:tr>
        <w:trPr>
          <w:trHeight w:val="186"/>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6"/>
                <w:szCs w:val="16"/>
                <w:color w:val="auto"/>
              </w:rPr>
            </w:pPr>
          </w:p>
        </w:tc>
        <w:tc>
          <w:tcPr>
            <w:tcW w:w="920" w:type="dxa"/>
            <w:vAlign w:val="bottom"/>
          </w:tcPr>
          <w:p>
            <w:pPr>
              <w:jc w:val="center"/>
              <w:ind w:right="165"/>
              <w:spacing w:after="0"/>
              <w:rPr>
                <w:sz w:val="20"/>
                <w:szCs w:val="20"/>
                <w:color w:val="auto"/>
              </w:rPr>
            </w:pPr>
            <w:r>
              <w:rPr>
                <w:rFonts w:ascii="Arial" w:cs="Arial" w:eastAsia="Arial" w:hAnsi="Arial"/>
                <w:sz w:val="14"/>
                <w:szCs w:val="14"/>
                <w:b w:val="1"/>
                <w:bCs w:val="1"/>
                <w:color w:val="auto"/>
                <w:w w:val="95"/>
              </w:rPr>
              <w:t>Grant-date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Exercised</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r>
      <w:tr>
        <w:trPr>
          <w:trHeight w:val="228"/>
        </w:trPr>
        <w:tc>
          <w:tcPr>
            <w:tcW w:w="46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9"/>
                <w:szCs w:val="19"/>
                <w:color w:val="auto"/>
              </w:rPr>
            </w:pPr>
          </w:p>
        </w:tc>
        <w:tc>
          <w:tcPr>
            <w:tcW w:w="920" w:type="dxa"/>
            <w:vAlign w:val="bottom"/>
          </w:tcPr>
          <w:p>
            <w:pPr>
              <w:jc w:val="center"/>
              <w:ind w:right="165"/>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06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31, 2021</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719,143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38.33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14,700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110.19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5"/>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(179,188)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14,665</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46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(5,076)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Outstanding at July 31,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41"/>
              <w:spacing w:after="0"/>
              <w:rPr>
                <w:sz w:val="20"/>
                <w:szCs w:val="20"/>
                <w:color w:val="auto"/>
              </w:rPr>
            </w:pPr>
            <w:r>
              <w:rPr>
                <w:rFonts w:ascii="Arial" w:cs="Arial" w:eastAsia="Arial" w:hAnsi="Arial"/>
                <w:sz w:val="18"/>
                <w:szCs w:val="18"/>
                <w:color w:val="auto"/>
              </w:rPr>
              <w:t>29,025</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July 31, 2021</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447,533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25,115</w:t>
            </w:r>
          </w:p>
        </w:tc>
      </w:tr>
    </w:tbl>
    <w:p>
      <w:pPr>
        <w:spacing w:after="0" w:line="20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July 31, 2021 was $98.49, as reported by The NASDAQ Global Market. The intrinsic value of exercised options is calculated based on the difference between the fair market value of the Company’s ordinary shares on the exercise date and the exercise price.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units activities for the period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Grant-Date</w:t>
            </w: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2,871,801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424,616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105.71</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(835,225)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51.04</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(30,844)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55.96</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July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2,430,348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61.35</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July 31, 2021, the aggregate intrinsic value of unvested restricted stock units was $239.4 million.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loss per ordinary share for the periods indicated:</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Three Months Ended July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7"/>
              </w:rPr>
              <w:t>Six Months Ended July 31,</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gridSpan w:val="11"/>
          </w:tcPr>
          <w:p>
            <w:pPr>
              <w:jc w:val="right"/>
              <w:ind w:right="593"/>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(14,756)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(30,219)</w:t>
            </w:r>
          </w:p>
        </w:tc>
        <w:tc>
          <w:tcPr>
            <w:tcW w:w="0" w:type="dxa"/>
            <w:vAlign w:val="bottom"/>
          </w:tcPr>
          <w:p>
            <w:pPr>
              <w:spacing w:after="0"/>
              <w:rPr>
                <w:sz w:val="1"/>
                <w:szCs w:val="1"/>
                <w:color w:val="auto"/>
              </w:rPr>
            </w:pPr>
          </w:p>
        </w:tc>
      </w:tr>
      <w:tr>
        <w:trPr>
          <w:trHeight w:val="210"/>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8"/>
              </w:rPr>
              <w:t>Weighted-average ordinary shares - basic</w:t>
            </w:r>
          </w:p>
        </w:tc>
        <w:tc>
          <w:tcPr>
            <w:tcW w:w="2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36,442,536</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34,480,307</w:t>
            </w:r>
          </w:p>
        </w:tc>
        <w:tc>
          <w:tcPr>
            <w:tcW w:w="1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36,191,420</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34,280,318</w:t>
            </w:r>
          </w:p>
        </w:tc>
        <w:tc>
          <w:tcPr>
            <w:tcW w:w="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Weighted-average ordinary shares - diluted</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36,442,536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34,480,307</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36,191,420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34,280,318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Net loss per ordinary share:</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(0.43)</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loss per ordinary share as their effect would have been antidilutive:</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0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80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July 31,</w:t>
            </w:r>
          </w:p>
        </w:tc>
        <w:tc>
          <w:tcPr>
            <w:tcW w:w="120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93"/>
              </w:rPr>
              <w:t>July 31,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367,880</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730,635</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397,871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751,202</w:t>
            </w:r>
          </w:p>
        </w:tc>
        <w:tc>
          <w:tcPr>
            <w:tcW w:w="80" w:type="dxa"/>
            <w:vAlign w:val="bottom"/>
            <w:shd w:val="clear" w:color="auto" w:fill="CFF0FC"/>
          </w:tcPr>
          <w:p>
            <w:pPr>
              <w:spacing w:after="0"/>
              <w:rPr>
                <w:sz w:val="19"/>
                <w:szCs w:val="19"/>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1,528,946</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1,274,907</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1,657,599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1,358,184</w:t>
            </w:r>
          </w:p>
        </w:tc>
        <w:tc>
          <w:tcPr>
            <w:tcW w:w="80" w:type="dxa"/>
            <w:vAlign w:val="bottom"/>
          </w:tcPr>
          <w:p>
            <w:pPr>
              <w:spacing w:after="0"/>
              <w:rPr>
                <w:sz w:val="21"/>
                <w:szCs w:val="2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25,245</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11,792</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28,169</w:t>
            </w:r>
          </w:p>
        </w:tc>
        <w:tc>
          <w:tcPr>
            <w:tcW w:w="80" w:type="dxa"/>
            <w:vAlign w:val="bottom"/>
            <w:shd w:val="clear" w:color="auto" w:fill="CFF0FC"/>
          </w:tcPr>
          <w:p>
            <w:pPr>
              <w:spacing w:after="0"/>
              <w:rPr>
                <w:sz w:val="19"/>
                <w:szCs w:val="19"/>
                <w:color w:val="auto"/>
              </w:rPr>
            </w:pPr>
          </w:p>
        </w:tc>
      </w:tr>
      <w:tr>
        <w:trPr>
          <w:trHeight w:val="237"/>
        </w:trPr>
        <w:tc>
          <w:tcPr>
            <w:tcW w:w="38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1,897,540</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2,030,787</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2,067,262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2,137,555</w:t>
            </w:r>
          </w:p>
        </w:tc>
        <w:tc>
          <w:tcPr>
            <w:tcW w:w="80" w:type="dxa"/>
            <w:vAlign w:val="bottom"/>
          </w:tcPr>
          <w:p>
            <w:pPr>
              <w:spacing w:after="0"/>
              <w:rPr>
                <w:sz w:val="20"/>
                <w:szCs w:val="20"/>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income taxes for the periods indicated:</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9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Three Months Ended July</w:t>
            </w:r>
          </w:p>
        </w:tc>
        <w:tc>
          <w:tcPr>
            <w:tcW w:w="192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7"/>
              </w:rPr>
              <w:t>Six Months Ended July 31,</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3"/>
          </w:tcPr>
          <w:p>
            <w:pPr>
              <w:jc w:val="right"/>
              <w:ind w:right="517"/>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   (5,742)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(14,009)</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(15,285)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(28,346)</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Pr>
          <w:p>
            <w:pPr>
              <w:jc w:val="right"/>
              <w:ind w:right="99"/>
              <w:spacing w:after="0"/>
              <w:rPr>
                <w:sz w:val="20"/>
                <w:szCs w:val="20"/>
                <w:color w:val="auto"/>
              </w:rPr>
            </w:pPr>
            <w:r>
              <w:rPr>
                <w:rFonts w:ascii="Arial" w:cs="Arial" w:eastAsia="Arial" w:hAnsi="Arial"/>
                <w:sz w:val="18"/>
                <w:szCs w:val="18"/>
                <w:color w:val="auto"/>
              </w:rPr>
              <w:t>1,414</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2,689</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Company recorded an income tax provision of $1.4 million and $0.7 million for the three months ended July 31, 2021 and 2020, and $2.7 million and $1.9 million for the six months ended July 31, 2021 and 2020, respectively. The increase in income tax expense was primarily due to an increase in the proportion of profits generated in higher tax jurisdictions, partially offset by an increase in the U.S. federal research tax credit as well as an increase in tax benefits from excess stock-based compensation deductions.</w:t>
      </w:r>
    </w:p>
    <w:p>
      <w:pPr>
        <w:spacing w:after="0" w:line="18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Company files federal and state income tax returns in the United States and in various foreign jurisdictions. The Internal Revenue Service is currently examining the Company’s U.S. federal income tax return for the fiscal year ended January 31, 2017. The tax years 2013 to 2020 remain open to examination by U.S. federal tax authorities. The tax years 2009 to 2020 remain open to examination by U.S. state tax authorities. The tax years 2015 to 2020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0" w:name="page21"/>
    <w:bookmarkEnd w:id="20"/>
    <w:p>
      <w:pPr>
        <w:ind w:firstLine="510"/>
        <w:spacing w:after="0" w:line="273" w:lineRule="auto"/>
        <w:rPr>
          <w:sz w:val="20"/>
          <w:szCs w:val="20"/>
          <w:color w:val="auto"/>
        </w:rPr>
      </w:pPr>
      <w:r>
        <w:rPr>
          <w:rFonts w:ascii="Arial" w:cs="Arial" w:eastAsia="Arial" w:hAnsi="Arial"/>
          <w:sz w:val="17"/>
          <w:szCs w:val="17"/>
          <w:color w:val="auto"/>
        </w:rPr>
        <w:t>The Company regularly assesses the likelihood of adverse outcomes resulting from potential tax examinations to determine the adequacy of its provision for income taxes. These assessments can require considerable estimates and judgments. As of July 31, 2021, the gross amount of unrecognized tax benefits was approximately $27.9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390" w:lineRule="exact"/>
        <w:rPr>
          <w:sz w:val="20"/>
          <w:szCs w:val="20"/>
          <w:color w:val="auto"/>
        </w:rPr>
      </w:pPr>
    </w:p>
    <w:p>
      <w:pPr>
        <w:ind w:left="520" w:right="7900" w:hanging="512"/>
        <w:spacing w:after="0" w:line="603" w:lineRule="auto"/>
        <w:tabs>
          <w:tab w:leader="none" w:pos="28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Contract Manufacturer Commitments</w:t>
      </w:r>
    </w:p>
    <w:p>
      <w:pPr>
        <w:spacing w:after="0" w:line="1"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July 31, 2021 and January 31, 2021, total manufacturing purchase commitments were approximately $72.3 million and $48.2 million, respectively. The Company also reviews and assesses the need for any expected loss liabilities on quarterly basis for all products that it does not expect to sell for which it has committed purchases from suppliers. As of July 31, 2021, there was no material loss recognized in the condensed consolidated balance sheets from adverse purchase commitments.</w:t>
      </w: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July 31, 2021 and January 31, 2021, respectively.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300" w:firstLine="510"/>
        <w:spacing w:after="0" w:line="301" w:lineRule="auto"/>
        <w:rPr>
          <w:sz w:val="20"/>
          <w:szCs w:val="20"/>
          <w:color w:val="auto"/>
        </w:rPr>
      </w:pPr>
      <w:r>
        <w:rPr>
          <w:rFonts w:ascii="Arial" w:cs="Arial" w:eastAsia="Arial" w:hAnsi="Arial"/>
          <w:sz w:val="16"/>
          <w:szCs w:val="16"/>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8"/>
              </w:rPr>
              <w:t>Three Months Ended July 31,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July 31,</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49,136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27,313</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93,723</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61,773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4560" w:type="dxa"/>
            <w:vAlign w:val="bottom"/>
            <w:gridSpan w:val="2"/>
          </w:tcPr>
          <w:p>
            <w:pPr>
              <w:ind w:left="1140"/>
              <w:spacing w:after="0"/>
              <w:rPr>
                <w:sz w:val="20"/>
                <w:szCs w:val="20"/>
                <w:color w:val="auto"/>
              </w:rPr>
            </w:pPr>
            <w:r>
              <w:rPr>
                <w:rFonts w:ascii="Arial" w:cs="Arial" w:eastAsia="Arial" w:hAnsi="Arial"/>
                <w:sz w:val="18"/>
                <w:szCs w:val="18"/>
                <w:color w:val="auto"/>
              </w:rPr>
              <w:t>Asia Pacific</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20,162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14,965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38,799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28,993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114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4560" w:type="dxa"/>
            <w:vAlign w:val="bottom"/>
            <w:gridSpan w:val="2"/>
          </w:tcPr>
          <w:p>
            <w:pPr>
              <w:ind w:left="1140"/>
              <w:spacing w:after="0"/>
              <w:rPr>
                <w:sz w:val="20"/>
                <w:szCs w:val="20"/>
                <w:color w:val="auto"/>
              </w:rPr>
            </w:pPr>
            <w:r>
              <w:rPr>
                <w:rFonts w:ascii="Arial" w:cs="Arial" w:eastAsia="Arial" w:hAnsi="Arial"/>
                <w:sz w:val="18"/>
                <w:szCs w:val="18"/>
                <w:color w:val="auto"/>
              </w:rPr>
              <w:t>North America other than United States</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3,343</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7,133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114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79,327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50,113</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149,460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104,758</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394"/>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340" w:firstLine="510"/>
        <w:spacing w:after="0" w:line="277" w:lineRule="auto"/>
        <w:rPr>
          <w:sz w:val="20"/>
          <w:szCs w:val="20"/>
          <w:color w:val="auto"/>
        </w:rPr>
      </w:pPr>
      <w:r>
        <w:rPr>
          <w:rFonts w:ascii="Arial" w:cs="Arial" w:eastAsia="Arial" w:hAnsi="Arial"/>
          <w:sz w:val="18"/>
          <w:szCs w:val="18"/>
          <w:color w:val="auto"/>
        </w:rPr>
        <w:t>As of July 31, 2021, substantially all of the Company’s property and equipment, net, was located in the United States, Asia Pacific region and Europe with approximate net amounts of $2.8 million, $4.0 million and $1.5 million,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For the three and six months ended July 31, 2021, the customers representing 10% or more of revenue and accounts receivable were Wintech and Chicony, which accounted for approximately 61.6% and 15.8% of total revenue for the three months ended July 31, 2021, respectively, and accounted for approximately 62.4% and 15.8% of total revenue for the six months ended July 31, 2021, respectively. For the three and six months ended July 31, 2020, the customers representing 10% or more of revenue and accounts receivable were Wintech and Chicony, which accounted for approximately 55.6% and 19.6% of total revenue for the three months ended July 31, 2020, respectively, and accounted for approximately 59.5% and 17.4% of total revenue for the six months ended July 31, 2020, respectively. Accounts receivable with Wintech and Chicony were approximately $17.7 million and $12.6 million as of July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2021 and management’s discussion and analysis of our financial condition and results of operations included in our Annual Report on Form 10-K for the 2021 fiscal year filed with the Securities and Exchange Commission, or SEC, on March 31, 2021.</w:t>
      </w:r>
    </w:p>
    <w:p>
      <w:pPr>
        <w:spacing w:after="0" w:line="188"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and operating expenses,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ongoing and potential impact of the COVID-19 pandemic on our operations or the operations of our supply chain or our customers; risks associated with the overall economy, including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In the last several years, our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recently developed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markets and applications. We anticipate that our CV technology will also enable us to capture more content per electronic system.</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60" w:firstLine="510"/>
        <w:spacing w:after="0" w:line="291" w:lineRule="auto"/>
        <w:rPr>
          <w:sz w:val="20"/>
          <w:szCs w:val="20"/>
          <w:color w:val="auto"/>
        </w:rPr>
      </w:pPr>
      <w:r>
        <w:rPr>
          <w:rFonts w:ascii="Arial" w:cs="Arial" w:eastAsia="Arial" w:hAnsi="Arial"/>
          <w:sz w:val="16"/>
          <w:szCs w:val="16"/>
          <w:color w:val="auto"/>
        </w:rPr>
        <w:t>Our development efforts are focused on SoCs that provide both human viewing and computer vision functionality. As a result, we believe that our future revenue growth, if any, will significantly depend upon our ability to expand within camera markets with our AI and computer vision technology, particularly in the professional IP security and home security and monitoring camera markets, as well as emerging markets such as AI-enabled security cameras, AI-based driving applications, including driver monitoring systems, advanced blind spot detection, object detection, and deep learning algorithms for HD mapping solutions, OEM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6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sell our SoC solutions to leading original design manufacturers, or ODMs, and OEMs globally, and in the automotive market, we also sell to Tier-1 suppliers. We refer to ODMs and Tier-1 automotive suppliers as our customers and OEMs as our end customers, except as otherwise indicated or as the context otherwise requires.</w:t>
      </w:r>
    </w:p>
    <w:p>
      <w:pPr>
        <w:spacing w:after="0" w:line="184"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92"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Volume production may begin within 9 to 18 months after a design win, depending on the complexity of our customer’s product and other factors upon which we may have little or no influence. In general, design cycles will be longer in the OEM automotive and industrial and robotics markets than in the IP security and consumer device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6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Highlights and Trends</w:t>
      </w:r>
    </w:p>
    <w:p>
      <w:pPr>
        <w:spacing w:after="0" w:line="117" w:lineRule="exact"/>
        <w:rPr>
          <w:sz w:val="20"/>
          <w:szCs w:val="20"/>
          <w:color w:val="auto"/>
        </w:rPr>
      </w:pPr>
    </w:p>
    <w:p>
      <w:pPr>
        <w:ind w:left="1520" w:hanging="500"/>
        <w:spacing w:after="0" w:line="269" w:lineRule="auto"/>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recorded revenue of $79.3 million and $149.5 million for the three and six months ended July 31, 2021, respectively. This represented increases of 58.3% and 42.7% for the three and six months ended July 31, 2021, respectively, as compared to the same periods in the prior fiscal year. The increases in revenue were primarily attributable to higher revenue and continued demand for our CV-based solutions in the IP security and automotive camera markets. In the professional IP security camera market, continued growth in the Asia region and demand recovery from our two largest China customers, together with continued sales penetration into the North America and Europe regions, resulted in a significant revenue increase in this market. In the home IP security camera market, revenue growth continued to be led by the North America region. A recovery in the automotive OEM and aftermarket applications in the Asia region, as well as the adoption of our SoCs in the automotive fleet market, contributed an increase in revenue in the automotive markets. The increased revenues from the IP security and automotive camera markets were partially offset by decreased revenue in the consumer aerial drone market.</w:t>
      </w:r>
    </w:p>
    <w:p>
      <w:pPr>
        <w:spacing w:after="0" w:line="77" w:lineRule="exact"/>
        <w:rPr>
          <w:rFonts w:ascii="Arial" w:cs="Arial" w:eastAsia="Arial" w:hAnsi="Arial"/>
          <w:sz w:val="17"/>
          <w:szCs w:val="17"/>
          <w:color w:val="auto"/>
        </w:rPr>
      </w:pPr>
    </w:p>
    <w:p>
      <w:pPr>
        <w:ind w:left="1520" w:right="120" w:hanging="500"/>
        <w:spacing w:after="0" w:line="255"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operating losses of $6.0 million and $16.1 million for the three and six months ended July 31, 2021, respectively, as compared to operating losses of $15.3 million and $30.9 million for the three and six months ended July 31, 2020, respectively. The decreased operating losses were primarily due to increases in revenue and gross profit, partially offset by increased operating expenses. The increased operating expenses, mainly in support of development of automotive markets and computer vision-based solutions, related primarily to increased marketing and engineering headcount, increased stock-based compensation expenses, as well as increased engineering related costs.</w:t>
      </w:r>
    </w:p>
    <w:p>
      <w:pPr>
        <w:spacing w:after="0" w:line="84" w:lineRule="exact"/>
        <w:rPr>
          <w:rFonts w:ascii="Arial" w:cs="Arial" w:eastAsia="Arial" w:hAnsi="Arial"/>
          <w:sz w:val="18"/>
          <w:szCs w:val="18"/>
          <w:color w:val="auto"/>
        </w:rPr>
      </w:pPr>
    </w:p>
    <w:p>
      <w:pPr>
        <w:ind w:left="1520" w:right="60" w:hanging="500"/>
        <w:spacing w:after="0" w:line="301" w:lineRule="auto"/>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generated cash flows from operating activities of $9.9 million for the six months ended July 31, 2021, as compared to $5.2 million for the six months ended July 31, 2020. The increased cash flows from operating activities were primarily due to decreased net loss and increased liabilities associated with the timing of payments to our suppliers, partially offset by increased inventory purchases associated with longer supply chain lead times and increased accounts receivable associated with the amount and timing of sales.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i w:val="1"/>
          <w:iCs w:val="1"/>
          <w:color w:val="auto"/>
        </w:rPr>
        <w:t xml:space="preserve">Spread of COVID-19 Could Adversely Affect our Business in a Material Way. </w:t>
      </w:r>
      <w:r>
        <w:rPr>
          <w:rFonts w:ascii="Arial" w:cs="Arial" w:eastAsia="Arial" w:hAnsi="Arial"/>
          <w:sz w:val="16"/>
          <w:szCs w:val="16"/>
          <w:color w:val="auto"/>
        </w:rPr>
        <w:t>The COVID-19 pandemic has resulted in significant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being implemented to control the spread of the virus, including, among others, restrictions on travel and the imposition of remote or work from home conditions in many of the locations where we have offices. While we have not yet experienced a significant disruption of our operations as a result of the COVID-19 pandemic, if the remote or work from home conditions in any of our offices continues for an extended period of time, we may experience delays in product development, a decreased ability to support our customers, reduced design win activity, and overall lack of productivity. Similarly, while we have not yet experienced a major disruption in our supply chain as a result of the COVID-19 pandemic, we are experiencing significantly longer manufacturing times that, if they persist or worsen, could impact our ability to meet our customers’ demand for our solutions and negatively impact our revenue. As a result of these factors we have increased our inventory levels in the near term.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For example, Taiwan recently experienced a significant rise in cases of COVID-19 that, if such conditions persist or worsen, could impact our third-party contractors’ ability to assemble, test and ship our products and negatively impair our operations and financial results. The pandemic may also impact our customers’ ability to manufacture their products, support their customers or reduce or delay demand for their products, which could, in turn, reduce such demand for our solutions. While we cannot quantify specific impacts of the COVID-19 pandemic or actions taken by governments and businesses in response thereto, our results of operations and financial condition may be negatively affected if we encounter significant supply chain problems, reductions in demand due to our customers or end customers having problems, or other unexpected COVID-19 ramifications.</w:t>
      </w:r>
    </w:p>
    <w:p>
      <w:pPr>
        <w:spacing w:after="0" w:line="1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i w:val="1"/>
          <w:iCs w:val="1"/>
          <w:color w:val="auto"/>
        </w:rPr>
        <w:t>Ability to Capitalize on AI and Computer Vision Trends</w:t>
      </w:r>
      <w:r>
        <w:rPr>
          <w:rFonts w:ascii="Arial" w:cs="Arial" w:eastAsia="Arial" w:hAnsi="Arial"/>
          <w:sz w:val="17"/>
          <w:szCs w:val="17"/>
          <w:color w:val="auto"/>
        </w:rPr>
        <w:t>. We expect that AI and computer vision functionality will become an increasingly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in many of our current and future markets, including IP security, automotive, industrial and robotics, and certain consumer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industrial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7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i w:val="1"/>
          <w:iCs w:val="1"/>
          <w:color w:val="auto"/>
        </w:rPr>
        <w:t>Ability to Develop and Introduce New or Enhanced Solutions</w:t>
      </w:r>
      <w:r>
        <w:rPr>
          <w:rFonts w:ascii="Arial" w:cs="Arial" w:eastAsia="Arial" w:hAnsi="Arial"/>
          <w:sz w:val="18"/>
          <w:szCs w:val="18"/>
          <w:color w:val="auto"/>
        </w:rPr>
        <w:t>. We operate in a dynamic environment characterized by rapidly changing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9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7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i w:val="1"/>
          <w:iCs w:val="1"/>
          <w:color w:val="auto"/>
        </w:rPr>
        <w:t xml:space="preserve">Shifting Consumer Preferences. </w:t>
      </w:r>
      <w:r>
        <w:rPr>
          <w:rFonts w:ascii="Arial" w:cs="Arial" w:eastAsia="Arial" w:hAnsi="Arial"/>
          <w:sz w:val="17"/>
          <w:szCs w:val="17"/>
          <w:color w:val="auto"/>
        </w:rPr>
        <w:t>Our revenue is also subject to consumer preferences, regarding form factor and functionality, and how those</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aerial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right="40" w:firstLine="510"/>
        <w:spacing w:after="0" w:line="268" w:lineRule="auto"/>
        <w:rPr>
          <w:sz w:val="20"/>
          <w:szCs w:val="20"/>
          <w:color w:val="auto"/>
        </w:rPr>
      </w:pPr>
      <w:r>
        <w:rPr>
          <w:rFonts w:ascii="Arial" w:cs="Arial" w:eastAsia="Arial" w:hAnsi="Arial"/>
          <w:sz w:val="17"/>
          <w:szCs w:val="17"/>
          <w:i w:val="1"/>
          <w:iCs w:val="1"/>
          <w:color w:val="auto"/>
        </w:rPr>
        <w:t>Continued Concentration of Revenue by End Market</w:t>
      </w:r>
      <w:r>
        <w:rPr>
          <w:rFonts w:ascii="Arial" w:cs="Arial" w:eastAsia="Arial" w:hAnsi="Arial"/>
          <w:sz w:val="17"/>
          <w:szCs w:val="17"/>
          <w:color w:val="auto"/>
        </w:rPr>
        <w:t>. Historically, our revenue has been significantly concentrated in a small number of end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and we developed technologies to provide solutions for new markets as they emerged, such as the sports camera, IP security, aerial drone and automotive video recorder camera markets. Since fiscal year 2018, the professional and consumer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8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i w:val="1"/>
          <w:iCs w:val="1"/>
          <w:color w:val="auto"/>
        </w:rPr>
        <w:t>Ability to Capitalize on Connectivity Trends</w:t>
      </w:r>
      <w:r>
        <w:rPr>
          <w:rFonts w:ascii="Arial" w:cs="Arial" w:eastAsia="Arial" w:hAnsi="Arial"/>
          <w:sz w:val="16"/>
          <w:szCs w:val="16"/>
          <w:color w:val="auto"/>
        </w:rPr>
        <w:t>. Mobile connected devices are ubiquitous today and play an increasingly prominent role in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aerial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aerial drone cameras allow consumers to quickly stream or upload video and images to social media platforms.</w:t>
      </w:r>
    </w:p>
    <w:p>
      <w:pPr>
        <w:spacing w:after="0" w:line="165"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i w:val="1"/>
          <w:iCs w:val="1"/>
          <w:color w:val="auto"/>
        </w:rPr>
        <w:t>Sales Volume</w:t>
      </w:r>
      <w:r>
        <w:rPr>
          <w:rFonts w:ascii="Arial" w:cs="Arial" w:eastAsia="Arial" w:hAnsi="Arial"/>
          <w:sz w:val="17"/>
          <w:szCs w:val="17"/>
          <w:color w:val="auto"/>
        </w:rPr>
        <w:t>. A typical design win that successfully launches into the marketplace can generate a wide range of sales volumes for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7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i w:val="1"/>
          <w:iCs w:val="1"/>
          <w:color w:val="auto"/>
        </w:rPr>
        <w:t xml:space="preserve">Customer Product Life Cycle. </w:t>
      </w:r>
      <w:r>
        <w:rPr>
          <w:rFonts w:ascii="Arial" w:cs="Arial" w:eastAsia="Arial" w:hAnsi="Arial"/>
          <w:sz w:val="18"/>
          <w:szCs w:val="18"/>
          <w:color w:val="auto"/>
        </w:rPr>
        <w:t>We estimate our customers’ product life cycles based on the customer, type of product and end market.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commercial shipments from 9 to 18 months following a design win; however, in some markets, lengthier product and development cycles are possible, depending on the scope and nature of the project, such as in the automotive OEM market. A portable consumer device typically has a product life cycle of 6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statement of operations for the periods indicated:</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Three Months Ended July</w:t>
            </w:r>
          </w:p>
        </w:tc>
        <w:tc>
          <w:tcPr>
            <w:tcW w:w="1920" w:type="dxa"/>
            <w:vAlign w:val="bottom"/>
            <w:gridSpan w:val="6"/>
            <w:vMerge w:val="restart"/>
          </w:tcPr>
          <w:p>
            <w:pPr>
              <w:jc w:val="right"/>
              <w:ind w:right="180"/>
              <w:spacing w:after="0"/>
              <w:rPr>
                <w:sz w:val="20"/>
                <w:szCs w:val="20"/>
                <w:color w:val="auto"/>
              </w:rPr>
            </w:pPr>
            <w:r>
              <w:rPr>
                <w:rFonts w:ascii="Arial" w:cs="Arial" w:eastAsia="Arial" w:hAnsi="Arial"/>
                <w:sz w:val="14"/>
                <w:szCs w:val="14"/>
                <w:b w:val="1"/>
                <w:bCs w:val="1"/>
                <w:color w:val="auto"/>
                <w:w w:val="97"/>
              </w:rPr>
              <w:t>Six Months Ended July 31,</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right"/>
              <w:ind w:right="42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79,327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149,460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104,758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29,908</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19,155</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56,276</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41,780</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49,419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93,184</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32,802</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77,432</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13,445</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31,848</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26,880</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55,379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46,247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109,280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(5,960)</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(15,289)</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(16,096)</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(30,904)</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(5,742)</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(14,009)</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(15,285)</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(28,346)</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tcPr>
          <w:p>
            <w:pPr>
              <w:ind w:left="48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(17,974)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(30,219)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operating results as a percentage of revenue of each line item for the periods indicated:</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8"/>
              </w:rPr>
              <w:t>Three Months Ended July</w:t>
            </w:r>
          </w:p>
        </w:tc>
        <w:tc>
          <w:tcPr>
            <w:tcW w:w="180" w:type="dxa"/>
            <w:vAlign w:val="bottom"/>
          </w:tcPr>
          <w:p>
            <w:pPr>
              <w:spacing w:after="0"/>
              <w:rPr>
                <w:sz w:val="14"/>
                <w:szCs w:val="14"/>
                <w:color w:val="auto"/>
              </w:rPr>
            </w:pPr>
          </w:p>
        </w:tc>
        <w:tc>
          <w:tcPr>
            <w:tcW w:w="186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6"/>
              </w:rPr>
              <w:t>Six Months Ended July 31,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31,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4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480"/>
              <w:spacing w:after="0"/>
              <w:rPr>
                <w:sz w:val="20"/>
                <w:szCs w:val="20"/>
                <w:color w:val="auto"/>
              </w:rPr>
            </w:pPr>
            <w:r>
              <w:rPr>
                <w:rFonts w:ascii="Arial" w:cs="Arial" w:eastAsia="Arial" w:hAnsi="Arial"/>
                <w:sz w:val="18"/>
                <w:szCs w:val="18"/>
                <w:color w:val="auto"/>
              </w:rPr>
              <w:t>Net loss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derive substantially all of our revenue from the sale of HD and Ultra HD video and image processing SoC solutions to IP security camera OEMs, IP security camera ODMs, OEM automotive or Tier-1 automotive suppliers, and consumer camera OEMs, either directly or through our distributors. In recent years, our SoC solutions have been primarily used in camera markets, such as IP security, automotive video recorder, drone and wearable cameras. Although we expect these camera markets, in particular the IP security and automotive video recorder markets, to continue to generate revenue for the foreseeable future, we have recently introduced new SoCs targeting emerging AI and computer vision applications in the IP security camera, OEM automotive, industrial and robotics markets. We derive a substantial portion of our revenue from sales made indirectly through one of our distributors, WT Microelectronics Co., Ltd., formerly Wintech Microelectronics Co., Ltd., or Wintech, and directly to one of our ODM customers, Chicony Electronics Co., Ltd., or Chicony.</w:t>
      </w:r>
    </w:p>
    <w:p>
      <w:pPr>
        <w:spacing w:after="0" w:line="192"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have historically experienced seasonal fluctuations in our quarterly revenue with our third fiscal quarter normally being the higher revenue quarter. As we transition away from consumer markets, seasonal impact has decreased. This fluctuation has been driven primarily by increased sales in IP security and consumer camera markets as our customers build inventories in preparation for the holiday shopping season.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7" w:name="page28"/>
    <w:bookmarkEnd w:id="27"/>
    <w:p>
      <w:pPr>
        <w:ind w:right="220" w:firstLine="510"/>
        <w:spacing w:after="0" w:line="259"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84"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equipment expenses, outside services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income, net, consists primarily of interest and other income from debt security investments and cash deposits with financial institutions.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60" w:firstLine="478"/>
        <w:spacing w:after="0" w:line="290" w:lineRule="auto"/>
        <w:rPr>
          <w:sz w:val="20"/>
          <w:szCs w:val="20"/>
          <w:color w:val="auto"/>
        </w:rPr>
      </w:pPr>
      <w:r>
        <w:rPr>
          <w:rFonts w:ascii="Arial" w:cs="Arial" w:eastAsia="Arial" w:hAnsi="Arial"/>
          <w:sz w:val="16"/>
          <w:szCs w:val="16"/>
          <w:color w:val="auto"/>
        </w:rPr>
        <w:t>We are incorporated and domiciled in the Cayman Islands and also conduct business in several countries such as the United States, China, Taiwan, Hong Kong, Italy, Germany,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120" w:firstLine="510"/>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0" w:lineRule="exact"/>
        <w:rPr>
          <w:sz w:val="20"/>
          <w:szCs w:val="20"/>
          <w:color w:val="auto"/>
        </w:rPr>
      </w:pPr>
    </w:p>
    <w:p>
      <w:pPr>
        <w:ind w:right="160" w:firstLine="478"/>
        <w:spacing w:after="0" w:line="279"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July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July</w:t>
            </w:r>
          </w:p>
        </w:tc>
        <w:tc>
          <w:tcPr>
            <w:tcW w:w="200" w:type="dxa"/>
            <w:vAlign w:val="bottom"/>
          </w:tcPr>
          <w:p>
            <w:pPr>
              <w:spacing w:after="0"/>
              <w:rPr>
                <w:sz w:val="14"/>
                <w:szCs w:val="14"/>
                <w:color w:val="auto"/>
              </w:rPr>
            </w:pPr>
          </w:p>
        </w:tc>
        <w:tc>
          <w:tcPr>
            <w:tcW w:w="12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Six Months Ended July 31,</w:t>
            </w:r>
          </w:p>
        </w:tc>
        <w:tc>
          <w:tcPr>
            <w:tcW w:w="12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jc w:val="right"/>
              <w:ind w:right="99"/>
              <w:spacing w:after="0"/>
              <w:rPr>
                <w:sz w:val="20"/>
                <w:szCs w:val="20"/>
                <w:color w:val="auto"/>
              </w:rPr>
            </w:pPr>
            <w:r>
              <w:rPr>
                <w:rFonts w:ascii="Arial" w:cs="Arial" w:eastAsia="Arial" w:hAnsi="Arial"/>
                <w:sz w:val="14"/>
                <w:szCs w:val="14"/>
                <w:b w:val="1"/>
                <w:bCs w:val="1"/>
                <w:color w:val="auto"/>
                <w:w w:val="92"/>
              </w:rPr>
              <w:t>31,</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center"/>
              <w:ind w:right="308"/>
              <w:spacing w:after="0" w:line="155" w:lineRule="exact"/>
              <w:rPr>
                <w:sz w:val="20"/>
                <w:szCs w:val="20"/>
                <w:color w:val="auto"/>
              </w:rPr>
            </w:pPr>
            <w:r>
              <w:rPr>
                <w:rFonts w:ascii="Arial" w:cs="Arial" w:eastAsia="Arial" w:hAnsi="Arial"/>
                <w:sz w:val="14"/>
                <w:szCs w:val="14"/>
                <w:b w:val="1"/>
                <w:bCs w:val="1"/>
                <w:color w:val="auto"/>
                <w:w w:val="94"/>
              </w:rPr>
              <w:t>Amount</w:t>
            </w:r>
          </w:p>
        </w:tc>
        <w:tc>
          <w:tcPr>
            <w:tcW w:w="62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362"/>
              <w:spacing w:after="0" w:line="155"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79,327</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50,113</w:t>
            </w:r>
          </w:p>
        </w:tc>
        <w:tc>
          <w:tcPr>
            <w:tcW w:w="140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   29,214</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58.3%</w:t>
            </w: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w w:val="93"/>
              </w:rPr>
              <w:t>$  149,460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104,758</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w w:val="97"/>
              </w:rPr>
              <w:t>$   44,702</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increased revenue for the three and six months ended July 31, 2021, as compared to the same periods in the prior fiscal year, was primarily attributable to higher revenue and continued demand for our CV-based solutions in the IP security and automotive camera markets. In the professional IP security camera market, continued growth in the Asia region and demand recovery from our two largest China customers, together with continued sales penetration into the North America and Europe regions, resulted in a significant revenue increase in this market. In the home IP security camera market, revenue growth continued to be led by the North America region. A recovery in the automotive OEM and aftermarket applications in the Asia region, as well as the adoption of our SoCs in the automotive fleet market, contributed an increase in revenue in the automotive markets. The increased revenues from the IP security and automotive camera markets were partially offset by decreased revenue in the consumer aerial drone market.</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2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Three Months Ended July 31,</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Six Months Ended July 31,</w:t>
            </w:r>
          </w:p>
        </w:tc>
        <w:tc>
          <w:tcPr>
            <w:tcW w:w="60" w:type="dxa"/>
            <w:vAlign w:val="bottom"/>
          </w:tcPr>
          <w:p>
            <w:pPr>
              <w:spacing w:after="0"/>
              <w:rPr>
                <w:sz w:val="14"/>
                <w:szCs w:val="14"/>
                <w:color w:val="auto"/>
              </w:rPr>
            </w:pPr>
          </w:p>
        </w:tc>
        <w:tc>
          <w:tcPr>
            <w:tcW w:w="122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18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1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80" w:type="dxa"/>
            <w:vAlign w:val="bottom"/>
            <w:gridSpan w:val="5"/>
          </w:tcPr>
          <w:p>
            <w:pPr>
              <w:jc w:val="right"/>
              <w:ind w:right="397"/>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  29,908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19,155</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w w:val="97"/>
              </w:rPr>
              <w:t>$   10,753</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56.1%</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56,276</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41,780</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42"/>
              <w:spacing w:after="0"/>
              <w:rPr>
                <w:sz w:val="20"/>
                <w:szCs w:val="20"/>
                <w:color w:val="auto"/>
              </w:rPr>
            </w:pPr>
            <w:r>
              <w:rPr>
                <w:rFonts w:ascii="Arial" w:cs="Arial" w:eastAsia="Arial" w:hAnsi="Arial"/>
                <w:sz w:val="18"/>
                <w:szCs w:val="18"/>
                <w:color w:val="auto"/>
              </w:rPr>
              <w:t>$   14,496</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Gross profit</w:t>
            </w: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49,419</w:t>
            </w:r>
          </w:p>
        </w:tc>
        <w:tc>
          <w:tcPr>
            <w:tcW w:w="840" w:type="dxa"/>
            <w:vAlign w:val="bottom"/>
          </w:tcPr>
          <w:p>
            <w:pPr>
              <w:jc w:val="right"/>
              <w:spacing w:after="0"/>
              <w:rPr>
                <w:sz w:val="20"/>
                <w:szCs w:val="20"/>
                <w:color w:val="auto"/>
              </w:rPr>
            </w:pPr>
            <w:r>
              <w:rPr>
                <w:rFonts w:ascii="Arial" w:cs="Arial" w:eastAsia="Arial" w:hAnsi="Arial"/>
                <w:sz w:val="18"/>
                <w:szCs w:val="18"/>
                <w:color w:val="auto"/>
              </w:rPr>
              <w:t>30,958</w:t>
            </w:r>
          </w:p>
        </w:tc>
        <w:tc>
          <w:tcPr>
            <w:tcW w:w="280" w:type="dxa"/>
            <w:vAlign w:val="bottom"/>
          </w:tcPr>
          <w:p>
            <w:pPr>
              <w:spacing w:after="0"/>
              <w:rPr>
                <w:sz w:val="21"/>
                <w:szCs w:val="21"/>
                <w:color w:val="auto"/>
              </w:rPr>
            </w:pPr>
          </w:p>
        </w:tc>
        <w:tc>
          <w:tcPr>
            <w:tcW w:w="1180" w:type="dxa"/>
            <w:vAlign w:val="bottom"/>
          </w:tcPr>
          <w:p>
            <w:pPr>
              <w:jc w:val="right"/>
              <w:ind w:right="297"/>
              <w:spacing w:after="0"/>
              <w:rPr>
                <w:sz w:val="20"/>
                <w:szCs w:val="20"/>
                <w:color w:val="auto"/>
              </w:rPr>
            </w:pPr>
            <w:r>
              <w:rPr>
                <w:rFonts w:ascii="Arial" w:cs="Arial" w:eastAsia="Arial" w:hAnsi="Arial"/>
                <w:sz w:val="18"/>
                <w:szCs w:val="18"/>
                <w:color w:val="auto"/>
              </w:rPr>
              <w:t>18,461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37"/>
              <w:spacing w:after="0"/>
              <w:rPr>
                <w:sz w:val="20"/>
                <w:szCs w:val="20"/>
                <w:color w:val="auto"/>
              </w:rPr>
            </w:pPr>
            <w:r>
              <w:rPr>
                <w:rFonts w:ascii="Arial" w:cs="Arial" w:eastAsia="Arial" w:hAnsi="Arial"/>
                <w:sz w:val="18"/>
                <w:szCs w:val="18"/>
                <w:color w:val="auto"/>
              </w:rPr>
              <w:t>93,184</w:t>
            </w:r>
          </w:p>
        </w:tc>
        <w:tc>
          <w:tcPr>
            <w:tcW w:w="860" w:type="dxa"/>
            <w:vAlign w:val="bottom"/>
          </w:tcPr>
          <w:p>
            <w:pPr>
              <w:jc w:val="right"/>
              <w:spacing w:after="0"/>
              <w:rPr>
                <w:sz w:val="20"/>
                <w:szCs w:val="20"/>
                <w:color w:val="auto"/>
              </w:rPr>
            </w:pPr>
            <w:r>
              <w:rPr>
                <w:rFonts w:ascii="Arial" w:cs="Arial" w:eastAsia="Arial" w:hAnsi="Arial"/>
                <w:sz w:val="18"/>
                <w:szCs w:val="18"/>
                <w:color w:val="auto"/>
              </w:rPr>
              <w:t>62,978</w:t>
            </w:r>
          </w:p>
        </w:tc>
        <w:tc>
          <w:tcPr>
            <w:tcW w:w="220" w:type="dxa"/>
            <w:vAlign w:val="bottom"/>
          </w:tcPr>
          <w:p>
            <w:pPr>
              <w:spacing w:after="0"/>
              <w:rPr>
                <w:sz w:val="21"/>
                <w:szCs w:val="21"/>
                <w:color w:val="auto"/>
              </w:rPr>
            </w:pPr>
          </w:p>
        </w:tc>
        <w:tc>
          <w:tcPr>
            <w:tcW w:w="1280" w:type="dxa"/>
            <w:vAlign w:val="bottom"/>
            <w:gridSpan w:val="2"/>
          </w:tcPr>
          <w:p>
            <w:pPr>
              <w:jc w:val="right"/>
              <w:ind w:right="342"/>
              <w:spacing w:after="0"/>
              <w:rPr>
                <w:sz w:val="20"/>
                <w:szCs w:val="20"/>
                <w:color w:val="auto"/>
              </w:rPr>
            </w:pPr>
            <w:r>
              <w:rPr>
                <w:rFonts w:ascii="Arial" w:cs="Arial" w:eastAsia="Arial" w:hAnsi="Arial"/>
                <w:sz w:val="18"/>
                <w:szCs w:val="18"/>
                <w:color w:val="auto"/>
              </w:rPr>
              <w:t>30,206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r>
      <w:tr>
        <w:trPr>
          <w:trHeight w:val="230"/>
        </w:trPr>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61.8%</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Cost of revenue increased for the three and six months ended July 31, 2021, as compared to the same periods in the prior fiscal year, primarily due to increased revenue, partially offset by favorable product mix and sales from previously reserved inventory.</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Gross margin increased for the three and six months ended July 31, 2021, as compared to the same periods in the prior fiscal year, primarily due to an increase in the percentage of our total revenue that was derived from the higher gross margin automotive markets. Customer concentration shift from the China region to the North America and Asia regions other than China in the professional IP security camera market also contributed an improvement to the gross margin for the six months ended July 31, 2021.</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 July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Six Months Ended July 31,</w:t>
            </w:r>
          </w:p>
        </w:tc>
        <w:tc>
          <w:tcPr>
            <w:tcW w:w="12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ind w:right="742"/>
              <w:spacing w:after="0"/>
              <w:rPr>
                <w:sz w:val="20"/>
                <w:szCs w:val="20"/>
                <w:color w:val="auto"/>
              </w:rPr>
            </w:pPr>
            <w:r>
              <w:rPr>
                <w:rFonts w:ascii="Arial" w:cs="Arial" w:eastAsia="Arial" w:hAnsi="Arial"/>
                <w:sz w:val="14"/>
                <w:szCs w:val="14"/>
                <w:b w:val="1"/>
                <w:bCs w:val="1"/>
                <w:color w:val="auto"/>
                <w:w w:val="92"/>
              </w:rPr>
              <w:t>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2021</w:t>
            </w:r>
          </w:p>
        </w:tc>
        <w:tc>
          <w:tcPr>
            <w:tcW w:w="102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w w:val="98"/>
              </w:rPr>
              <w:t>Amount</w:t>
            </w:r>
          </w:p>
        </w:tc>
        <w:tc>
          <w:tcPr>
            <w:tcW w:w="60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362"/>
              <w:spacing w:after="0" w:line="155"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18"/>
                <w:szCs w:val="18"/>
                <w:color w:val="auto"/>
              </w:rPr>
              <w:t>Research and</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18"/>
                <w:szCs w:val="18"/>
                <w:color w:val="auto"/>
              </w:rPr>
              <w:t>development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39,558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32,802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6,756</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20.6%</w:t>
            </w: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w w:val="99"/>
              </w:rPr>
              <w:t>$   77,432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67,002</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w w:val="97"/>
              </w:rPr>
              <w:t>$   10,430</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ind w:right="40" w:firstLine="510"/>
        <w:spacing w:after="0" w:line="271" w:lineRule="auto"/>
        <w:rPr>
          <w:sz w:val="20"/>
          <w:szCs w:val="20"/>
          <w:color w:val="auto"/>
        </w:rPr>
      </w:pPr>
      <w:r>
        <w:rPr>
          <w:rFonts w:ascii="Arial" w:cs="Arial" w:eastAsia="Arial" w:hAnsi="Arial"/>
          <w:sz w:val="17"/>
          <w:szCs w:val="17"/>
          <w:color w:val="auto"/>
        </w:rPr>
        <w:t>Research and development expense increased for the three and six months ended July 31, 2021, as compared to the same periods in the prior fiscal year, primarily due to increased employee benefit expense and engineering related costs. For the three and six months ended July 31, 2021, employee benefit expense increased by approximately $4.3 million and $8.1 million, respectively, as a result of issuance of stock awards, employee benefit programs and an increase in headcount. Our engineering headcount was 620 at July 31, 2021 compared to 561 at July 31, 2020. Engineering related costs, including license fee, equipment expense, outside services and facility related expenses associated with the support of new applications, increased by approximately $2.1 million and $3.1 million for the three and six months ended July 31, 2021, respectively. SoC development related costs increased by approximately $0.2 million for the three months ended July 31, 2021 while decreased by approximately $0.9 million for the six months ended July 31, 2021 due to the timing, complexity and number of chips in development.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 July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Six Months Ended July 31,</w:t>
            </w:r>
          </w:p>
        </w:tc>
        <w:tc>
          <w:tcPr>
            <w:tcW w:w="120" w:type="dxa"/>
            <w:vAlign w:val="bottom"/>
          </w:tcPr>
          <w:p>
            <w:pPr>
              <w:spacing w:after="0"/>
              <w:rPr>
                <w:sz w:val="14"/>
                <w:szCs w:val="14"/>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ind w:right="742"/>
              <w:spacing w:after="0"/>
              <w:rPr>
                <w:sz w:val="20"/>
                <w:szCs w:val="20"/>
                <w:color w:val="auto"/>
              </w:rPr>
            </w:pPr>
            <w:r>
              <w:rPr>
                <w:rFonts w:ascii="Arial" w:cs="Arial" w:eastAsia="Arial" w:hAnsi="Arial"/>
                <w:sz w:val="14"/>
                <w:szCs w:val="14"/>
                <w:b w:val="1"/>
                <w:bCs w:val="1"/>
                <w:color w:val="auto"/>
                <w:w w:val="92"/>
              </w:rPr>
              <w:t>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2021</w:t>
            </w:r>
          </w:p>
        </w:tc>
        <w:tc>
          <w:tcPr>
            <w:tcW w:w="102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administrative</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15,821</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13,445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2,376</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17.7%</w:t>
            </w: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w w:val="99"/>
              </w:rPr>
              <w:t>$   31,848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26,880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4,968</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Selling, general and administrative expense increased for the three and six months ended July 31, 2021, as compared to the same periods in the prior fiscal year, primarily due to increased employee benefit expense. For the three and six months ended July 31, 2021, employee benefit expense increased by approximately $3.4 million and $6.0 million, respectively, as a result of issuance of stock awards, employee benefit programs and an increase in headcount. Our selling, general and administrative headcount increased from 176 at July 31, 2020 to 189 at July 31, 2021 in support of business development in the IP security, automotive OEM and robotics markets. The increase was partially offset by a reduction in facility related expenses of approximately $0.8 million and $1.1 million for the three and six months ended July 31, 2021, respectively, caused by additional facility allocation to engineering in support of new applications for the automotive markets as well as the development of computer vision-based solutions.</w:t>
      </w:r>
    </w:p>
    <w:p>
      <w:pPr>
        <w:spacing w:after="0" w:line="3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right="19"/>
              <w:spacing w:after="0"/>
              <w:rPr>
                <w:sz w:val="20"/>
                <w:szCs w:val="20"/>
                <w:color w:val="auto"/>
              </w:rPr>
            </w:pPr>
            <w:r>
              <w:rPr>
                <w:rFonts w:ascii="Arial" w:cs="Arial" w:eastAsia="Arial" w:hAnsi="Arial"/>
                <w:sz w:val="14"/>
                <w:szCs w:val="14"/>
                <w:b w:val="1"/>
                <w:bCs w:val="1"/>
                <w:color w:val="auto"/>
                <w:w w:val="93"/>
              </w:rPr>
              <w:t>Three Months Ended July</w:t>
            </w:r>
          </w:p>
        </w:tc>
        <w:tc>
          <w:tcPr>
            <w:tcW w:w="20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Six Months Ended July 31,</w:t>
            </w:r>
          </w:p>
        </w:tc>
        <w:tc>
          <w:tcPr>
            <w:tcW w:w="12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jc w:val="right"/>
              <w:ind w:right="99"/>
              <w:spacing w:after="0"/>
              <w:rPr>
                <w:sz w:val="20"/>
                <w:szCs w:val="20"/>
                <w:color w:val="auto"/>
              </w:rPr>
            </w:pPr>
            <w:r>
              <w:rPr>
                <w:rFonts w:ascii="Arial" w:cs="Arial" w:eastAsia="Arial" w:hAnsi="Arial"/>
                <w:sz w:val="14"/>
                <w:szCs w:val="14"/>
                <w:b w:val="1"/>
                <w:bCs w:val="1"/>
                <w:color w:val="auto"/>
                <w:w w:val="81"/>
              </w:rPr>
              <w:t>31,</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0" w:type="dxa"/>
            <w:vAlign w:val="bottom"/>
            <w:gridSpan w:val="5"/>
          </w:tcPr>
          <w:p>
            <w:pPr>
              <w:jc w:val="right"/>
              <w:ind w:right="299"/>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42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   (1,062)</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(83.0)%</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811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82"/>
              <w:spacing w:after="0"/>
              <w:rPr>
                <w:sz w:val="20"/>
                <w:szCs w:val="20"/>
                <w:color w:val="auto"/>
              </w:rPr>
            </w:pPr>
            <w:r>
              <w:rPr>
                <w:rFonts w:ascii="Arial" w:cs="Arial" w:eastAsia="Arial" w:hAnsi="Arial"/>
                <w:sz w:val="18"/>
                <w:szCs w:val="18"/>
                <w:color w:val="auto"/>
              </w:rPr>
              <w:t>$   (1,747)</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The decrease in other income, net, for the three and six months ended July 31, 2021, as compared to the same periods in the prior fiscal year, was primarily due to lower yields from our debt security investments, lower interest from our cash deposits and losses from foreign currency transactions and remeasurements.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 July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820" w:type="dxa"/>
            <w:vAlign w:val="bottom"/>
            <w:gridSpan w:val="3"/>
            <w:vMerge w:val="restart"/>
          </w:tcPr>
          <w:p>
            <w:pPr>
              <w:jc w:val="right"/>
              <w:ind w:right="16"/>
              <w:spacing w:after="0"/>
              <w:rPr>
                <w:sz w:val="20"/>
                <w:szCs w:val="20"/>
                <w:color w:val="auto"/>
              </w:rPr>
            </w:pPr>
            <w:r>
              <w:rPr>
                <w:rFonts w:ascii="Arial" w:cs="Arial" w:eastAsia="Arial" w:hAnsi="Arial"/>
                <w:sz w:val="14"/>
                <w:szCs w:val="14"/>
                <w:b w:val="1"/>
                <w:bCs w:val="1"/>
                <w:color w:val="auto"/>
                <w:w w:val="96"/>
              </w:rPr>
              <w:t>Six Months Ended July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vMerge w:val="restart"/>
          </w:tcPr>
          <w:p>
            <w:pPr>
              <w:jc w:val="right"/>
              <w:ind w:right="719"/>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31,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w w:val="94"/>
              </w:rPr>
              <w:t>Amount</w:t>
            </w:r>
          </w:p>
        </w:tc>
        <w:tc>
          <w:tcPr>
            <w:tcW w:w="1280" w:type="dxa"/>
            <w:vAlign w:val="bottom"/>
            <w:tcBorders>
              <w:top w:val="single" w:sz="8" w:color="auto"/>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w w:val="98"/>
              </w:rPr>
              <w:t>Amount</w:t>
            </w:r>
          </w:p>
        </w:tc>
        <w:tc>
          <w:tcPr>
            <w:tcW w:w="128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40" w:type="dxa"/>
            <w:vAlign w:val="bottom"/>
            <w:gridSpan w:val="3"/>
          </w:tcPr>
          <w:p>
            <w:pPr>
              <w:jc w:val="right"/>
              <w:ind w:right="139"/>
              <w:spacing w:after="0" w:line="155"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w:t>
            </w: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taxes</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1,414</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2,689</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0"/>
                <w:szCs w:val="20"/>
                <w:color w:val="auto"/>
              </w:rPr>
            </w:pPr>
            <w:r>
              <w:rPr>
                <w:rFonts w:ascii="Arial" w:cs="Arial" w:eastAsia="Arial" w:hAnsi="Arial"/>
                <w:sz w:val="18"/>
                <w:szCs w:val="18"/>
                <w:color w:val="auto"/>
              </w:rPr>
              <w:t>Effective tax rate</w:t>
            </w: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(19.3)</w:t>
            </w:r>
            <w:r>
              <w:rPr>
                <w:rFonts w:ascii="Arial" w:cs="Arial" w:eastAsia="Arial" w:hAnsi="Arial"/>
                <w:sz w:val="19"/>
                <w:szCs w:val="19"/>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quarterly income taxes reflect an estimate of the corresponding fiscal year’s annual effective tax rate and include, when applicable, adjustments from discrete tax items arising in that quarter.</w:t>
      </w:r>
    </w:p>
    <w:p>
      <w:pPr>
        <w:spacing w:after="0" w:line="170"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increase in income tax expense for the three and six months ended July 31, 2021, as compared to the same periods in the prior fiscal year, was primarily due to an increase in the proportion of profits generated in higher-tax jurisdictions, partially offset by an increase in the U.S. federal research tax credit as well as an increase in tax benefits from excess stock-based compensation deductions.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As of July 31, 2021 and January 31, 2021, we had cash, cash equivalents and marketable debt securities of approximately $449.2 million and $440.7 million, respectively. We invest in highly liquid, short-term marketable debt securities and hold these investments as available-for-sale securities. As of July 31, 2021, these securities had a fair value of approximately $215.0 million with immaterial unrealized losses caused by market fluctuations.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9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 July 31,</w:t>
            </w:r>
          </w:p>
        </w:tc>
      </w:tr>
      <w:tr>
        <w:trPr>
          <w:trHeight w:val="156"/>
        </w:trPr>
        <w:tc>
          <w:tcPr>
            <w:tcW w:w="49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4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9,890</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5,222</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(16,555)</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4,327</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FF0FC"/>
          </w:tcPr>
          <w:p>
            <w:pPr>
              <w:spacing w:after="0"/>
              <w:rPr>
                <w:sz w:val="19"/>
                <w:szCs w:val="19"/>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w w:val="95"/>
              </w:rPr>
              <w:t>Net increase (decrease) in cash, cash equivalents and restricted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cash</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17,128</w:t>
            </w:r>
          </w:p>
        </w:tc>
        <w:tc>
          <w:tcPr>
            <w:tcW w:w="1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(10,755)</w:t>
            </w:r>
          </w:p>
        </w:tc>
      </w:tr>
      <w:tr>
        <w:trPr>
          <w:trHeight w:val="20"/>
        </w:trPr>
        <w:tc>
          <w:tcPr>
            <w:tcW w:w="4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Net cash provided by operating activities increased for the six months ended July 31, 2021, as compared to the same period in the prior fiscal year, primarily due to decreased net loss and increased liabilities associated with the timing of payments to our suppliers, partially offset by increased inventory purchases associated with longer supply chain lead times and increased accounts receivable associated with the amount and timing of sales.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17"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Net cash provided by investing activities increased for the six months ended July 31, 2021, as compared to net cash used in investing activities for the same period in the prior fiscal year, primarily due to approximately $22.6 million of additional cash receipts from our debt security investments, partially offset by approximately $3.1 million of additional payments for tangible and intangible assets purchase.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jc w:val="both"/>
        <w:ind w:right="120" w:firstLine="510"/>
        <w:spacing w:after="0" w:line="279" w:lineRule="auto"/>
        <w:rPr>
          <w:sz w:val="20"/>
          <w:szCs w:val="20"/>
          <w:color w:val="auto"/>
        </w:rPr>
      </w:pPr>
      <w:r>
        <w:rPr>
          <w:rFonts w:ascii="Arial" w:cs="Arial" w:eastAsia="Arial" w:hAnsi="Arial"/>
          <w:sz w:val="17"/>
          <w:szCs w:val="17"/>
          <w:color w:val="auto"/>
        </w:rPr>
        <w:t>Net cash provided by financing activities increased for the six months ended July 31, 2021, as compared to the same period in the prior fiscal year, primarily due to approximately $3.3 million of additional cash proceeds from option exercises and employee stock purchase withholding and $1.0 million of cash used for repurchasing our ordinary shares under the stock repurchase program in the prior fiscal year that did not recur in the current fiscal period. The increase was partially offset by approximately $0.5 million of additional payments for intangible assets.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No ordinary shares were repurchased in the six months ended July 31, 2021. During the second quarter of fiscal year 2022, our Board of Directors approved an extension of the prior $50.0 million repurchase program for an additional twelve months ending June 30, 2022. As of July 31, 2021, $49.0 million remained available for repurchases under the current repurchase program through June 30, 2022.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i w:val="1"/>
          <w:iCs w:val="1"/>
          <w:color w:val="auto"/>
        </w:rPr>
        <w:t>Operating and Capital Expenditure Requirements</w:t>
      </w:r>
    </w:p>
    <w:p>
      <w:pPr>
        <w:spacing w:after="0" w:line="117"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As of July 31, 2021, we had cash, cash equivalents and marketable debt securities of approximately $449.2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magnitude and duration of COVID-19 impact;</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7" w:lineRule="exact"/>
        <w:rPr>
          <w:rFonts w:ascii="Arial" w:cs="Arial" w:eastAsia="Arial" w:hAnsi="Arial"/>
          <w:sz w:val="18"/>
          <w:szCs w:val="18"/>
          <w:color w:val="auto"/>
        </w:rPr>
      </w:pPr>
    </w:p>
    <w:p>
      <w:pPr>
        <w:ind w:left="1520" w:right="380" w:hanging="500"/>
        <w:spacing w:after="0" w:line="277" w:lineRule="auto"/>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Purchase Obligations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July 31, 2021, we had purchase obligations with our independent contract manufacturers of $72.3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During the first half of fiscal year 2022, we signed a separate lease for additional space for our Shanghai, China office for a period of 40 months starting from August 1, 2021 through November 30, 2024. The lease will be recorded as an operating right-of-use asset and corresponding operating lease liability in the balance sheet upon lease commencement on August 1, 2021. The total estimated future undiscounted cash payments for this additional lease are approximately $1.7 million.</w:t>
      </w:r>
    </w:p>
    <w:p>
      <w:pPr>
        <w:spacing w:after="0" w:line="21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Except as described above with respect to the manufacturing purchase obligations and Shanghai office lease, there were no other material changes in our contractual obligations, commitments and contingencies from those disclosed in our Annual Report on Form 10-K for the fiscal year ended January 31, 2021. Please see Item 7, “Management’s Discussion and Analysis of Financial Condition and Results of Operations – Contractual Obligations, Commitments and Contingencies” in our Annual Report on Form 10-K for the fiscal year ended January 31, 2021 for a description of our contractual obligations.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As of July 31, 2021, we did not engage in any off-balance sheet arrangements, including the use of structured finance, special purpose entities or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 of Notes to Condensed Consolidated Financial Statements for information regarding recently issued accounting pronouncements.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2021 fiscal year filed with the SEC on March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As of July 31, 2021 and January 31, 2021, we had cash, cash equivalents and marketable debt securities totaling $449.2 million and $440.7 million, respectively. Our cash is deposited in checking accounts with reputable financial institutions. The cash equivalents and marketable debt securities consist primarily of investments in money market funds, asset-backed securities, commercial paper, U.S. government securities, and debt securities of corporations. Our cash is held for working capital purposes. We do not enter into investments for trading or speculative purposes.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Fluctuation Risk</w:t>
      </w:r>
    </w:p>
    <w:p>
      <w:pPr>
        <w:spacing w:after="0" w:line="117"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 xml:space="preserve">The primary objectives of our investment activities are to preserve capital, provide liquidity and maximize income without significantly increasing risk. Some of the securities we invest in are subject to market risk. This means that a change in prevailing interest rates may </w:t>
      </w:r>
      <w:r>
        <w:rPr>
          <w:rFonts w:ascii="Arial" w:cs="Arial" w:eastAsia="Arial" w:hAnsi="Arial"/>
          <w:sz w:val="17"/>
          <w:szCs w:val="17"/>
          <w:color w:val="212529"/>
        </w:rPr>
        <w:t>affect the interest income on</w:t>
      </w:r>
      <w:r>
        <w:rPr>
          <w:rFonts w:ascii="Arial" w:cs="Arial" w:eastAsia="Arial" w:hAnsi="Arial"/>
          <w:sz w:val="17"/>
          <w:szCs w:val="17"/>
          <w:color w:val="auto"/>
        </w:rPr>
        <w:t xml:space="preserve"> </w:t>
      </w:r>
      <w:r>
        <w:rPr>
          <w:rFonts w:ascii="Arial" w:cs="Arial" w:eastAsia="Arial" w:hAnsi="Arial"/>
          <w:sz w:val="17"/>
          <w:szCs w:val="17"/>
          <w:color w:val="212529"/>
        </w:rPr>
        <w:t>our cash, cash equivalents and marketable debt securities, and the market value of those securities</w:t>
      </w:r>
      <w:r>
        <w:rPr>
          <w:rFonts w:ascii="Arial" w:cs="Arial" w:eastAsia="Arial" w:hAnsi="Arial"/>
          <w:sz w:val="17"/>
          <w:szCs w:val="17"/>
          <w:color w:val="000000"/>
        </w:rPr>
        <w:t>. To minimize this risk, we maintain our portfolio in a</w:t>
      </w:r>
      <w:r>
        <w:rPr>
          <w:rFonts w:ascii="Arial" w:cs="Arial" w:eastAsia="Arial" w:hAnsi="Arial"/>
          <w:sz w:val="17"/>
          <w:szCs w:val="17"/>
          <w:color w:val="212529"/>
        </w:rPr>
        <w:t xml:space="preserve"> </w:t>
      </w:r>
      <w:r>
        <w:rPr>
          <w:rFonts w:ascii="Arial" w:cs="Arial" w:eastAsia="Arial" w:hAnsi="Arial"/>
          <w:sz w:val="17"/>
          <w:szCs w:val="17"/>
          <w:color w:val="000000"/>
        </w:rPr>
        <w:t>variety of debt securities with high liquidity and low credit risk. We do not enter into investments for trading or speculative purposes. A 10% change in interest rates will not have a material impact on our future interest income or investment fair value. The liquidity risk and the risk associated with fluctuating interest rates are limited to our investment portfolio.</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Based upon such evaluation, our Chief Executive Officer and Chief Financial Officer have concluded that, as of July 31, 2021, our disclosure controls and procedures were effective at the reasonable assurance level.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Company’s fiscal quarter ended July 31, 2021 that have materially affected, or are reasonably likely to materially affect, the Company’s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Inherent Limitations of Disclosure Controls and Internal Control over Financial Reporting</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engaged in any material legal proceedings at this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business and our industry is subject to numerous risks and uncertainties, including those described in the following Risk Factors. These risks include, but are not limited to, the following:</w:t>
      </w:r>
    </w:p>
    <w:p>
      <w:pPr>
        <w:spacing w:after="0" w:line="170"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could adversely affect our business in a material way.</w:t>
      </w:r>
    </w:p>
    <w:p>
      <w:pPr>
        <w:spacing w:after="0" w:line="225" w:lineRule="exact"/>
        <w:rPr>
          <w:rFonts w:ascii="Arial" w:cs="Arial" w:eastAsia="Arial" w:hAnsi="Arial"/>
          <w:sz w:val="18"/>
          <w:szCs w:val="18"/>
          <w:color w:val="auto"/>
        </w:rPr>
      </w:pPr>
    </w:p>
    <w:p>
      <w:pPr>
        <w:ind w:left="740" w:right="300" w:hanging="368"/>
        <w:spacing w:after="0" w:line="308"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sell our products to several China customers has been restricted. In addition, we are subject to governmental export and import controls that could subject us to liability or impair our ability to compete in international markets, including China.</w:t>
      </w:r>
    </w:p>
    <w:p>
      <w:pPr>
        <w:spacing w:after="0" w:line="146" w:lineRule="exact"/>
        <w:rPr>
          <w:rFonts w:ascii="Arial" w:cs="Arial" w:eastAsia="Arial" w:hAnsi="Arial"/>
          <w:sz w:val="17"/>
          <w:szCs w:val="17"/>
          <w:color w:val="auto"/>
        </w:rPr>
      </w:pPr>
    </w:p>
    <w:p>
      <w:pPr>
        <w:ind w:left="7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economic and political conditions, including possible trade tariffs and trade restrictions, may have an impact on our business and financial condition in ways that we currently cannot predict. Our primary inventory warehouse is located in Hong Kong and may be affected by recent political, social and economic conditions in Hong Kong.</w:t>
      </w:r>
    </w:p>
    <w:p>
      <w:pPr>
        <w:spacing w:after="0" w:line="183"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Shortages in, or increased costs of, wafers and materials could increase the manufacturing times for our products and adversely impact our ability to meet customer demand, reduce our gross margins and lead to reduced revenues.</w:t>
      </w:r>
    </w:p>
    <w:p>
      <w:pPr>
        <w:spacing w:after="0" w:line="170"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170"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23" w:lineRule="exact"/>
        <w:rPr>
          <w:rFonts w:ascii="Arial" w:cs="Arial" w:eastAsia="Arial" w:hAnsi="Arial"/>
          <w:sz w:val="16"/>
          <w:szCs w:val="16"/>
          <w:color w:val="auto"/>
        </w:rPr>
      </w:pPr>
    </w:p>
    <w:p>
      <w:pPr>
        <w:ind w:left="740" w:right="1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customers do not design our solutions into their product offerings, or if our customers’ product offerings are not commercially successful, our business would suffer.</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penetrate new markets, our revenue and financial condition could be harmed.</w:t>
      </w:r>
    </w:p>
    <w:p>
      <w:pPr>
        <w:spacing w:after="0" w:line="225"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target markets may not grow or develop as we currently expect and are subject to market risks, any of which could harm our business, revenue and operating results.</w:t>
      </w:r>
    </w:p>
    <w:p>
      <w:pPr>
        <w:spacing w:after="0" w:line="170"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develop and introduce new or enhanced solutions on a timely basis, our ability to attract and retain customers could be impaired and our competitive position could be harmed.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left="368" w:right="100" w:hanging="368"/>
        <w:spacing w:after="0" w:line="308" w:lineRule="auto"/>
        <w:tabs>
          <w:tab w:leader="none" w:pos="368" w:val="left"/>
        </w:tabs>
        <w:numPr>
          <w:ilvl w:val="0"/>
          <w:numId w:val="8"/>
        </w:numPr>
        <w:rPr>
          <w:rFonts w:ascii="Arial" w:cs="Arial" w:eastAsia="Arial" w:hAnsi="Arial"/>
          <w:sz w:val="17"/>
          <w:szCs w:val="17"/>
          <w:color w:val="auto"/>
        </w:rPr>
      </w:pPr>
      <w:r>
        <w:rPr>
          <w:rFonts w:ascii="Arial" w:cs="Arial" w:eastAsia="Arial" w:hAnsi="Arial"/>
          <w:sz w:val="17"/>
          <w:szCs w:val="17"/>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46" w:lineRule="exact"/>
        <w:rPr>
          <w:rFonts w:ascii="Arial" w:cs="Arial" w:eastAsia="Arial" w:hAnsi="Arial"/>
          <w:sz w:val="17"/>
          <w:szCs w:val="17"/>
          <w:color w:val="auto"/>
        </w:rPr>
      </w:pPr>
    </w:p>
    <w:p>
      <w:pPr>
        <w:ind w:left="368" w:right="58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may cancel their orders, change production quantities or delay production. If we fail to accurately forecast demand for our solutions, revenue shortfalls and/or excess, obsolete or insufficient inventory could result.</w:t>
      </w:r>
    </w:p>
    <w:p>
      <w:pPr>
        <w:spacing w:after="0" w:line="170" w:lineRule="exact"/>
        <w:rPr>
          <w:rFonts w:ascii="Arial" w:cs="Arial" w:eastAsia="Arial" w:hAnsi="Arial"/>
          <w:sz w:val="18"/>
          <w:szCs w:val="18"/>
          <w:color w:val="auto"/>
        </w:rPr>
      </w:pPr>
    </w:p>
    <w:p>
      <w:pPr>
        <w:ind w:left="368" w:right="54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a limited number of customers and end customers for a significant portion of our revenue. If we fail to retain or expand our customer relationships, our revenue could decline.</w:t>
      </w:r>
    </w:p>
    <w:p>
      <w:pPr>
        <w:spacing w:after="0" w:line="170" w:lineRule="exact"/>
        <w:rPr>
          <w:rFonts w:ascii="Arial" w:cs="Arial" w:eastAsia="Arial" w:hAnsi="Arial"/>
          <w:sz w:val="18"/>
          <w:szCs w:val="18"/>
          <w:color w:val="auto"/>
        </w:rPr>
      </w:pPr>
    </w:p>
    <w:p>
      <w:pPr>
        <w:ind w:left="368" w:right="44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governmental export and import controls that could subject us to liability or impair our ability to compete in international markets.</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competition to increase in the future, which could have an adverse effect on our revenue and market share.</w:t>
      </w:r>
    </w:p>
    <w:p>
      <w:pPr>
        <w:spacing w:after="0" w:line="225"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operating results on a quarterly and annual basis could cause the market price of our ordinary shares to decline.</w:t>
      </w:r>
    </w:p>
    <w:p>
      <w:pPr>
        <w:spacing w:after="0" w:line="225"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breach of our security systems may have a material adverse effect on our business.</w:t>
      </w:r>
    </w:p>
    <w:p>
      <w:pPr>
        <w:spacing w:after="0" w:line="225" w:lineRule="exact"/>
        <w:rPr>
          <w:rFonts w:ascii="Arial" w:cs="Arial" w:eastAsia="Arial" w:hAnsi="Arial"/>
          <w:sz w:val="18"/>
          <w:szCs w:val="18"/>
          <w:color w:val="auto"/>
        </w:rPr>
      </w:pPr>
    </w:p>
    <w:p>
      <w:pPr>
        <w:ind w:left="368" w:right="50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170" w:lineRule="exact"/>
        <w:rPr>
          <w:rFonts w:ascii="Arial" w:cs="Arial" w:eastAsia="Arial" w:hAnsi="Arial"/>
          <w:sz w:val="18"/>
          <w:szCs w:val="18"/>
          <w:color w:val="auto"/>
        </w:rPr>
      </w:pPr>
    </w:p>
    <w:p>
      <w:pPr>
        <w:ind w:left="368" w:right="26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we intend to continue to invest in research and development, we may be unable to make the substantial investments that are required to remain competitive in our business.</w:t>
      </w:r>
    </w:p>
    <w:p>
      <w:pPr>
        <w:spacing w:after="0" w:line="170" w:lineRule="exact"/>
        <w:rPr>
          <w:rFonts w:ascii="Arial" w:cs="Arial" w:eastAsia="Arial" w:hAnsi="Arial"/>
          <w:sz w:val="18"/>
          <w:szCs w:val="18"/>
          <w:color w:val="auto"/>
        </w:rPr>
      </w:pPr>
    </w:p>
    <w:p>
      <w:pPr>
        <w:ind w:left="368" w:right="8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selling prices of video and image processing solutions in our target markets have historically decreased over time and will likely do so in the future, which could harm our revenue and gross margins.</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do not generate revenue growth, we may not be able to execute our business plan and our operating results could suffer.</w:t>
      </w:r>
    </w:p>
    <w:p>
      <w:pPr>
        <w:spacing w:after="0" w:line="225" w:lineRule="exact"/>
        <w:rPr>
          <w:rFonts w:ascii="Arial" w:cs="Arial" w:eastAsia="Arial" w:hAnsi="Arial"/>
          <w:sz w:val="18"/>
          <w:szCs w:val="18"/>
          <w:color w:val="auto"/>
        </w:rPr>
      </w:pPr>
    </w:p>
    <w:p>
      <w:pPr>
        <w:ind w:left="368" w:right="66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 We may have difficulty accurately predicting our future revenue and appropriately budgeting our expenses.</w:t>
      </w:r>
    </w:p>
    <w:p>
      <w:pPr>
        <w:spacing w:after="0" w:line="170" w:lineRule="exact"/>
        <w:rPr>
          <w:rFonts w:ascii="Arial" w:cs="Arial" w:eastAsia="Arial" w:hAnsi="Arial"/>
          <w:sz w:val="18"/>
          <w:szCs w:val="18"/>
          <w:color w:val="auto"/>
        </w:rPr>
      </w:pPr>
    </w:p>
    <w:p>
      <w:pPr>
        <w:ind w:left="368" w:right="80" w:hanging="368"/>
        <w:spacing w:after="0" w:line="263"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83"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warranty and product liability claims and to product recalls which could adversely affect our business.</w:t>
      </w:r>
    </w:p>
    <w:p>
      <w:pPr>
        <w:spacing w:after="0" w:line="225" w:lineRule="exact"/>
        <w:rPr>
          <w:rFonts w:ascii="Arial" w:cs="Arial" w:eastAsia="Arial" w:hAnsi="Arial"/>
          <w:sz w:val="18"/>
          <w:szCs w:val="18"/>
          <w:color w:val="auto"/>
        </w:rPr>
      </w:pPr>
    </w:p>
    <w:p>
      <w:pPr>
        <w:ind w:left="368" w:right="4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substantial portion of our revenue is processed through a single distributor and the loss of this distributor, or our inability to collect from them, may cause disruptions in our shipments, which may adversely affect our operations and financial condition.</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associated with our distributors' product inventories.</w:t>
      </w:r>
    </w:p>
    <w:p>
      <w:pPr>
        <w:spacing w:after="0" w:line="225"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of the financial conditions of our customers could adversely affect our operating results.</w:t>
      </w:r>
    </w:p>
    <w:p>
      <w:pPr>
        <w:spacing w:after="0" w:line="225" w:lineRule="exact"/>
        <w:rPr>
          <w:rFonts w:ascii="Arial" w:cs="Arial" w:eastAsia="Arial" w:hAnsi="Arial"/>
          <w:sz w:val="18"/>
          <w:szCs w:val="18"/>
          <w:color w:val="auto"/>
        </w:rPr>
      </w:pPr>
    </w:p>
    <w:p>
      <w:pPr>
        <w:ind w:left="368"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Camera manufacturers incorporate components supplied by multiple third parties, and a supply shortage or delay in delivery of these components could delay orders for our solutions by our customers.</w:t>
      </w:r>
    </w:p>
    <w:p>
      <w:pPr>
        <w:spacing w:after="0" w:line="170" w:lineRule="exact"/>
        <w:rPr>
          <w:rFonts w:ascii="Arial" w:cs="Arial" w:eastAsia="Arial" w:hAnsi="Arial"/>
          <w:sz w:val="18"/>
          <w:szCs w:val="18"/>
          <w:color w:val="auto"/>
        </w:rPr>
      </w:pPr>
    </w:p>
    <w:p>
      <w:pPr>
        <w:ind w:left="368" w:right="6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70" w:lineRule="exact"/>
        <w:rPr>
          <w:rFonts w:ascii="Arial" w:cs="Arial" w:eastAsia="Arial" w:hAnsi="Arial"/>
          <w:sz w:val="18"/>
          <w:szCs w:val="18"/>
          <w:color w:val="auto"/>
        </w:rPr>
      </w:pPr>
    </w:p>
    <w:p>
      <w:pPr>
        <w:ind w:left="368" w:right="300" w:hanging="368"/>
        <w:spacing w:after="0" w:line="263"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 parties’ assertions of infringement of their intellectual property rights could result in our having to incur significant costs and cause our operating results to suffer. Any potential dispute involving our patents or other intellectual property could affect our customers, which could trigger our indemnification obligations to them and result in substantial expense to 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8"/>
          </w:cols>
          <w:pgMar w:left="692" w:top="341" w:right="379" w:bottom="1440" w:gutter="0" w:footer="0" w:header="0"/>
        </w:sectPr>
      </w:pPr>
    </w:p>
    <w:bookmarkStart w:id="35" w:name="page36"/>
    <w:bookmarkEnd w:id="35"/>
    <w:p>
      <w:pPr>
        <w:ind w:left="740" w:right="60" w:hanging="368"/>
        <w:spacing w:after="0" w:line="308"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46" w:lineRule="exact"/>
        <w:rPr>
          <w:rFonts w:ascii="Arial" w:cs="Arial" w:eastAsia="Arial" w:hAnsi="Arial"/>
          <w:sz w:val="17"/>
          <w:szCs w:val="17"/>
          <w:color w:val="auto"/>
        </w:rPr>
      </w:pPr>
    </w:p>
    <w:p>
      <w:pPr>
        <w:ind w:left="740" w:right="10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70" w:lineRule="exact"/>
        <w:rPr>
          <w:rFonts w:ascii="Arial" w:cs="Arial" w:eastAsia="Arial" w:hAnsi="Arial"/>
          <w:sz w:val="18"/>
          <w:szCs w:val="18"/>
          <w:color w:val="auto"/>
        </w:rPr>
      </w:pPr>
    </w:p>
    <w:p>
      <w:pPr>
        <w:ind w:left="740" w:right="76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numerous regulatory compliance requirements, which are costly to comply with, and our failure to comply with these requirements could harm our business and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global COVID-19 pandemic has significantly affected the populations and businesses of many countries. Our business has been, and is expected to continue to be, adversely impacted by the effects of the COVID-19 pandemic. In addition to global macroeconomic effects, the COVID-19 pandemic and related adverse public health developments have been causing, and are expected to continue to cause, disruption to our operations. We have had to impose remote or work from home conditions in many of our offices, including the United States, Italy, Japan, South Korea and Taiwan. While we have not yet experienced a significant disruption of our operations as a result of the COVID-19 pandemic, if the remote or work from home conditions continue for an extended period of time, we may experience delays in product development, a decreased ability to support our customers, reduced design win activity, and overall lack of productivity. In addition, we and our suppliers, third-party distributors and customers have been, and are expected to continue to be, disrupted by quarantines and restrictions on certain employees’ ability to perform their jobs, office closures or restrictions, disruptions to shipping infrastructure, or other travel or health-related restrictions. Depending on the magnitude of such effects on our manufacturing activities or the operations of our suppliers, third-party distributors or sub-contractors, our supply chain, manufacturing and product shipments could be delayed, which could materially adversely affect our business, results of operations and financial condition. Disruptions may also adversely affect our customers’ ability to manufacture their products, which in turn could reduce their demand for our products. For example, Taiwan recently experienced a significant rise in cases of COVID-19 that, if such conditions persist or worsen, could impact our third-party contractors’ ability to assemble, test and ship our products and negatively impair our operations and financial results. The semiconductor industry in general is currently experiencing significant shortages of capacity, due in part to COVID-19, which has resulted in a lengthening of the manufacturing lead time for our products and could be impacting the normal forecasting and ordering patterns of our customers.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In addition, the COVID-19 pandemic or other disease outbreaks will, in the short-term, and could over the longer term, adversely affect the economies and financial markets of many countries, resulting in an economic downturn or recession that could adversely affect demand for our products and impact our results of operations and financial condition. There can be no assurance that any decrease in sales resulting from the COVID-19 pandemic will be offset by increased sales in subsequent periods. These effects, alone or taken together, could have a material adverse effect on our business, results of operations, legal exposure, or financial condition. The extent of the COVID-19 pandemic’s effect on our operational and financial performance will depend on future developments, including the duration, spread and intensity of the pandemic, all of which are uncertain and difficult to predict. Due to the constantly evolving global conditions, we are not able at this time to estimate the long-term effect of these factors on our business, but the adverse impact on our business, results of operations, financial condition and cash flows could be material.</w:t>
      </w:r>
    </w:p>
    <w:p>
      <w:pPr>
        <w:spacing w:after="0" w:line="173"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49" w:lineRule="exact"/>
        <w:rPr>
          <w:sz w:val="20"/>
          <w:szCs w:val="20"/>
          <w:color w:val="auto"/>
        </w:rPr>
      </w:pPr>
    </w:p>
    <w:p>
      <w:pPr>
        <w:ind w:right="40" w:firstLine="510"/>
        <w:spacing w:after="0" w:line="252" w:lineRule="auto"/>
        <w:rPr>
          <w:sz w:val="20"/>
          <w:szCs w:val="20"/>
          <w:color w:val="auto"/>
        </w:rPr>
      </w:pPr>
      <w:r>
        <w:rPr>
          <w:rFonts w:ascii="Arial" w:cs="Arial" w:eastAsia="Arial" w:hAnsi="Arial"/>
          <w:sz w:val="16"/>
          <w:szCs w:val="16"/>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computer vision,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60" w:firstLine="510"/>
        <w:spacing w:after="0" w:line="227" w:lineRule="auto"/>
        <w:rPr>
          <w:sz w:val="20"/>
          <w:szCs w:val="20"/>
          <w:color w:val="auto"/>
        </w:rPr>
      </w:pPr>
      <w:r>
        <w:rPr>
          <w:rFonts w:ascii="Arial" w:cs="Arial" w:eastAsia="Arial" w:hAnsi="Arial"/>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other products or other product categories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penetrate new markets, our revenue and financial condition could be harmed.</w:t>
      </w:r>
    </w:p>
    <w:p>
      <w:pPr>
        <w:spacing w:after="0" w:line="117"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Years ago, a substantial portion of our revenue was generated from sales of our SoCs to OEMs and ODMs of HD video cameras, including IP security cameras, wearable cameras and drones. Our revenue from several of these markets, however, has experienced significant declines. As a result, we believe that our future revenue growth, if any, will significantly depend on our ability to expand within the camera markets with our new artificial intelligence, or AI, computer vision SoC solutions, particularly in emerging markets such as the OEM automotive, robotics and industrial markets, as well as the existing professional IP security and home security and monitoring camera markets. Each of these markets presents distinct and substantial risks and, in many cases, requires us to develop new functionality or software to address the particular requirements of that market. We anticipate that as we continue to move into new markets, such as the OEM automotive, robotics and industrial markets, we will likely face competition from larger competitors with greater resources and more history in these markets. If any of these markets do not develop as we currently anticipate, or if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If we fail to penetrate these or other new markets we are targeting, our financial condition would likely</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suffer. Moreover, if we are successful in achieving design wins in these new markets, it will likely take longer to generate revenue from such design wins than in our current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Shortages in, or increased costs of, wafers and materials could adversely impact our gross margins and lead to reduced revenues.</w:t>
      </w:r>
    </w:p>
    <w:p>
      <w:pPr>
        <w:spacing w:after="0" w:line="12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The semiconductor industry is currently experiencing significant shortages of manufacturing capacity, which has resulted in a lengthening of the manufacturing lead time for our products. If this capacity shortage continues for an extensive period of time, it could negatively impact our ability to meet our customer’s demand for our products and have an adverse impact on our revenue, results of operations and customer relationships. In addition, silicon wafers constitute a material portion of our product cost. If we are unable to purchase wafers at favorable prices, our results of operations and financial condition will be adversely affected. It is also possible during this time of supply chain capacity shortage that customers may place orders for our products that exceed their actual demand, which may lead to us manufacturing a surplus of products and could have a negative impact on our results or operations and cash reserves.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7" w:name="page38"/>
    <w:bookmarkEnd w:id="37"/>
    <w:p>
      <w:pPr>
        <w:ind w:left="520"/>
        <w:spacing w:after="0"/>
        <w:rPr>
          <w:sz w:val="20"/>
          <w:szCs w:val="20"/>
          <w:color w:val="auto"/>
        </w:rPr>
      </w:pPr>
      <w:r>
        <w:rPr>
          <w:rFonts w:ascii="Arial" w:cs="Arial" w:eastAsia="Arial" w:hAnsi="Arial"/>
          <w:sz w:val="15"/>
          <w:szCs w:val="15"/>
          <w:b w:val="1"/>
          <w:bCs w:val="1"/>
          <w:i w:val="1"/>
          <w:iCs w:val="1"/>
          <w:color w:val="auto"/>
        </w:rPr>
        <w:t>Our primary inventory warehouse is located in Hong Kong and may be affected by continued political, social and economic conditions in Hong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Kong.</w:t>
      </w:r>
    </w:p>
    <w:p>
      <w:pPr>
        <w:spacing w:after="0" w:line="103"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operate a warehouse facility in Hong Kong through which the substantial majority of our finished SoCs are shipped to customers or logistic partners. BIS has imposed additional restrictions on exports and reexports of U.S.-controlled items to Hong Kong by removing preferential treatment that Hong Kong used to receive and imposing more stringent licensing requirements similar to those applicable to China. Hong Kong has experienced, and continues to experience, significant political unrest and social strife, including protests that resulted in the closing of the Hong Kong international airport in August 2019 for two days. In response to national security legislation adopted by the Chinese government, the U.S. Secretary of State certified to the U.S. Congress in May 2020 that Hong Kong no longer maintains a sufficient degree of autonomy from China to warrant special treatment by the U.S. While such certification does not have an immediate impact on Hong Kong for trade or other purposes, this action represents an escalation in political and trade tensions involving the U.S, China and Hong Kong. It is possible that the U.S. government may take future measures to impose stricter export controls or duties on shipments made to Hong Kong, add additional parties to the Entity List, or reduce preferential treatment currently accorded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 While we are taking measures to attempt to maintain the continuity of our product delivery operations notwithstanding the impact on the use of our Hong Kong facility of the continued or deteriorating conditions in Hong Kong or other future unforeseen problems there, we cannot ensure that these measures will be successful in eliminating disruptions in our business.</w:t>
      </w:r>
    </w:p>
    <w:p>
      <w:pPr>
        <w:spacing w:after="0" w:line="17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62"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The COVID-19 pandemic has had a negative impact on the global economy and may decrease or delay development of new markets and new programs in emerging markets. If our key target markets, such as automotive cameras, IP security cameras and cameras for robotic applications, do not grow, grow slower, or do not develop in ways that we currently expect, demand for our computer vision, video and image processing SoCs may not materialize as expected, and our business and operating results could suffer.</w:t>
      </w:r>
    </w:p>
    <w:p>
      <w:pPr>
        <w:spacing w:after="0" w:line="166"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we have increased our inventory levels in the near term.</w:t>
      </w:r>
    </w:p>
    <w:p>
      <w:pPr>
        <w:spacing w:after="0" w:line="19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 This risk may be exacerbated during the current period of supply chain constraints by customers placing orders with us that could exceed their actual demand for our solutions.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 w:name="page39"/>
    <w:bookmarkEnd w:id="38"/>
    <w:p>
      <w:pPr>
        <w:ind w:right="20" w:firstLine="510"/>
        <w:spacing w:after="0" w:line="254"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192"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2021, the customers representing 10% or more of our revenue were WT Microelectronics Co., Ltd., formerly Wintech Microelectronics Co., Ltd., or Wintech, our distributor, and Chicony Electronics Co., Ltd., or Chicony, a direct ODM customer, which accounted for approximately 63% and 16% of total revenue, respectively. For the six months ended July 31, 2021, the customers representing 10% or more of revenue were Wintech and Chicony, which accounted for approximately 62% and 16%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In addition,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right="140" w:firstLine="510"/>
        <w:spacing w:after="0" w:line="308"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3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focused on selling our computer vision,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8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11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global semiconductor market in general, and the computer vision, video and 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9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competitors range from large, international companies with greater resources offering a wide range of semiconductor products to smaller, nimble companies specializing in narrow markets. In the security camera market, our primary competitors include AMLogic Inc., HiSilicon Technologies Co., Ltd., or HiSilicon, which is owned by Huawei Technologies Co., Ingenic Semiconductor Co., Ltd., Novatek Microelectronics Corp., or Novatek, OmniVision Technologies, Inc., Qualcomm Incorporated, or Qualcomm, SigmaStar Technology Corp., Socionext Inc., or Socionext, an entity created from the merger of the system LSI businesses of Fujitsu Ltd. and Panasonic Corporation, and Texas Instruments Incorporated, or Texas Instruments, as well as vertically integrated divisions of security camera device OEMs, including Axis, Hanwha Techwin, and Google LLC, which is owned by Alphabet, Inc. In the automotive camera market, we primarily compete against Allwinner Technology Co., Ltd., Horizon Robotics Inc., iCatch Technology, Inc., Mobileye, a subsidiary of Intel Corporation, or Intel, Novatek, NVIDIA Corporation, or NVIDIA, NXP Semiconductors N.V., Qualcomm, Renesas Electronics Corporation, Texas Instruments and Xilinx Inc. In the robotics and emerging applications markets, our primary competitors are Fuzhou Rockchip Electronics Co., Ltd., NVIDIA, Qualcomm, and Texas Instruments. In the other applications markets, our primary competitors are HiSilicon, Movidius Ltd., a subsidiary of Intel, NVIDIA, Qualcomm, Socionext, and vertically integrated divisions of our OEM customer, Shenzhen Dajiang Baiwang Technology Co., Ltd., or Dajiang Baiwang.</w:t>
      </w:r>
    </w:p>
    <w:p>
      <w:pPr>
        <w:spacing w:after="0" w:line="179"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ind w:right="60" w:firstLine="510"/>
        <w:spacing w:after="0" w:line="257" w:lineRule="auto"/>
        <w:rPr>
          <w:sz w:val="20"/>
          <w:szCs w:val="20"/>
          <w:color w:val="auto"/>
        </w:rPr>
      </w:pPr>
      <w:r>
        <w:rPr>
          <w:rFonts w:ascii="Arial" w:cs="Arial" w:eastAsia="Arial" w:hAnsi="Arial"/>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0" w:lineRule="exact"/>
        <w:rPr>
          <w:sz w:val="20"/>
          <w:szCs w:val="20"/>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standards;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7" w:lineRule="exact"/>
        <w:rPr>
          <w:rFonts w:ascii="Arial" w:cs="Arial" w:eastAsia="Arial" w:hAnsi="Arial"/>
          <w:sz w:val="18"/>
          <w:szCs w:val="18"/>
          <w:color w:val="auto"/>
        </w:rPr>
      </w:pPr>
    </w:p>
    <w:p>
      <w:pPr>
        <w:ind w:left="1520" w:right="60" w:hanging="500"/>
        <w:spacing w:after="0" w:line="27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computer vision, video and image processing technologies and sales and marketing personnel.</w:t>
      </w:r>
    </w:p>
    <w:p>
      <w:pPr>
        <w:spacing w:after="0" w:line="170"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22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These threats are constantly evolving, making it increasingly difficult to successfully defend against or implement adequate preventive measures. Moreover, as a result of the COVID-19 pandemic, the need for remote work and remote access to our systems has increased significantly, which also increases our cybersecurity risk profile.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and attacks to their products, which could impact our systems. For example, in 2020, SolarWinds Corp., one of our third-party IT infrastructure software providers, was subject to a data security breach. Our investigation of the breach, which was supported by a third-party security expert, has not identified any adverse impact to our business or operations, but there can be no guarantee we will not experience such an impact.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semiconductor industry requires substantial investment in research and development in order to bring to market new and enhanced solutions. Our research and development expense was $140.8 million, $129.7 million and $128.1 million in fiscal years 2021, 2020 and 2019, respectively. For the six months ended July 31, 2021, our research and development expense was $77.4 million. We expect to increase our research and development expenditures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10 and 5 nanometer, or nm, costs significantly more than required to develop in larger process nodes, such as 28nm or 14nm.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11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rely on highly skilled personnel and, if we are unable to hire, retain or motivate key personnel, we may not be able to grow effectively.</w:t>
      </w:r>
    </w:p>
    <w:p>
      <w:pPr>
        <w:spacing w:after="0" w:line="140"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7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The average selling prices of video and image processing solutions in our target markets have typically decreased over time and will likely do so in the future, which could harm our revenue and gross margins.</w:t>
      </w:r>
    </w:p>
    <w:p>
      <w:pPr>
        <w:spacing w:after="0" w:line="62"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w:t>
      </w:r>
    </w:p>
    <w:p>
      <w:pPr>
        <w:spacing w:after="0" w:line="4"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factors. We expect that we will have to address pricing pressures again in the future, particularly in markets experiencing consolidation, which could require us to reduce the prices of our SoC solutions and harm our operating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left="520"/>
        <w:spacing w:after="0"/>
        <w:rPr>
          <w:sz w:val="20"/>
          <w:szCs w:val="20"/>
          <w:color w:val="auto"/>
        </w:rPr>
      </w:pPr>
      <w:r>
        <w:rPr>
          <w:rFonts w:ascii="Arial" w:cs="Arial" w:eastAsia="Arial" w:hAnsi="Arial"/>
          <w:sz w:val="16"/>
          <w:szCs w:val="16"/>
          <w:b w:val="1"/>
          <w:bCs w:val="1"/>
          <w:i w:val="1"/>
          <w:iCs w:val="1"/>
          <w:color w:val="auto"/>
        </w:rPr>
        <w:t>If we are unable to manage any future growth, we may not be able to execute our business plan and our operating results could suffer.</w:t>
      </w:r>
    </w:p>
    <w:p>
      <w:pPr>
        <w:spacing w:after="0" w:line="14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80" w:lineRule="exact"/>
        <w:rPr>
          <w:sz w:val="20"/>
          <w:szCs w:val="20"/>
          <w:color w:val="auto"/>
        </w:rPr>
      </w:pPr>
    </w:p>
    <w:p>
      <w:pPr>
        <w:ind w:left="1520" w:right="100" w:hanging="500"/>
        <w:spacing w:after="0" w:line="263"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75"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additional finance and accounting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 and</w:t>
      </w:r>
    </w:p>
    <w:p>
      <w:pPr>
        <w:spacing w:after="0" w:line="117" w:lineRule="exact"/>
        <w:rPr>
          <w:rFonts w:ascii="Arial" w:cs="Arial" w:eastAsia="Arial" w:hAnsi="Arial"/>
          <w:sz w:val="18"/>
          <w:szCs w:val="18"/>
          <w:color w:val="auto"/>
        </w:rPr>
      </w:pPr>
    </w:p>
    <w:p>
      <w:pPr>
        <w:ind w:left="1520" w:right="200" w:hanging="500"/>
        <w:spacing w:after="0" w:line="27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able to secure sufficient manufacturing capacity.</w:t>
      </w:r>
    </w:p>
    <w:p>
      <w:pPr>
        <w:spacing w:after="0" w:line="22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187"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Deterioration of the financial condition of our distributors or customers could adversely impact our collection of accounts receivable. For the six months ended July 31, 2021, the customers representing 10% or more of revenue and accounts receivable were Wintech and Chicony, which accounted for approximately 62% and 16% of total revenue, respectively. As of July 31, 2021, accounts receivable with Wintech and Chicony were approximately $17.7 million and $12.6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and the economic impact of the COVID-19 pandemic could lead to a similar downturn in future periods.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 The semiconductor industry is currently experiencing significant shortages of capacity, which has resulted in a lengthening of the manufacturing lead time for our products. This capacity shortage has negatively impacted our ability to meet our customers’ demand, and if this capacity shortage continues for an extensive period of time, it could further negatively impact our ability to meet our customers’ demand for our products and have an adverse impact on our revenue, results of operations and customer relationships. In addition, it is possible during this time of supply chain capacity shortage that customers may place orders for our products that exceed their actual demand, which may lead to us manufacturing a surplus of products, which could have a negative impact on our results or operations and cash reserves.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ind w:right="180" w:firstLine="510"/>
        <w:spacing w:after="0" w:line="263"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9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5nm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Samsung, who is one of the few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103"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72" w:lineRule="exact"/>
        <w:rPr>
          <w:sz w:val="20"/>
          <w:szCs w:val="20"/>
          <w:color w:val="auto"/>
        </w:rPr>
      </w:pPr>
    </w:p>
    <w:p>
      <w:pPr>
        <w:ind w:right="540" w:firstLine="510"/>
        <w:spacing w:after="0" w:line="375" w:lineRule="auto"/>
        <w:rPr>
          <w:sz w:val="20"/>
          <w:szCs w:val="20"/>
          <w:color w:val="auto"/>
        </w:rPr>
      </w:pPr>
      <w:r>
        <w:rPr>
          <w:rFonts w:ascii="Arial" w:cs="Arial" w:eastAsia="Arial" w:hAnsi="Arial"/>
          <w:sz w:val="15"/>
          <w:szCs w:val="15"/>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53" w:lineRule="exact"/>
        <w:rPr>
          <w:sz w:val="20"/>
          <w:szCs w:val="20"/>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 w:name="page45"/>
    <w:bookmarkEnd w:id="44"/>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1520" w:right="74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7" w:lineRule="exact"/>
        <w:rPr>
          <w:rFonts w:ascii="Arial" w:cs="Arial" w:eastAsia="Arial" w:hAnsi="Arial"/>
          <w:sz w:val="18"/>
          <w:szCs w:val="18"/>
          <w:color w:val="auto"/>
        </w:rPr>
      </w:pPr>
    </w:p>
    <w:p>
      <w:pPr>
        <w:ind w:left="1520" w:right="52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1520" w:right="4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2" w:lineRule="exact"/>
        <w:rPr>
          <w:rFonts w:ascii="Arial" w:cs="Arial" w:eastAsia="Arial" w:hAnsi="Arial"/>
          <w:sz w:val="18"/>
          <w:szCs w:val="18"/>
          <w:color w:val="auto"/>
        </w:rPr>
      </w:pPr>
    </w:p>
    <w:p>
      <w:pPr>
        <w:ind w:left="1520" w:right="78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health issues, pandemics, and natural disasters; and</w:t>
      </w:r>
    </w:p>
    <w:p>
      <w:pPr>
        <w:spacing w:after="0" w:line="225"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374"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shareholders, reduce our financial resources and harm our business.</w:t>
      </w:r>
    </w:p>
    <w:p>
      <w:pPr>
        <w:spacing w:after="0" w:line="170" w:lineRule="exact"/>
        <w:rPr>
          <w:sz w:val="20"/>
          <w:szCs w:val="20"/>
          <w:color w:val="auto"/>
        </w:rPr>
      </w:pPr>
    </w:p>
    <w:p>
      <w:pPr>
        <w:ind w:right="200" w:firstLine="510"/>
        <w:spacing w:after="0" w:line="289" w:lineRule="auto"/>
        <w:rPr>
          <w:sz w:val="20"/>
          <w:szCs w:val="20"/>
          <w:color w:val="auto"/>
        </w:rPr>
      </w:pPr>
      <w:r>
        <w:rPr>
          <w:rFonts w:ascii="Arial" w:cs="Arial" w:eastAsia="Arial" w:hAnsi="Arial"/>
          <w:sz w:val="16"/>
          <w:szCs w:val="16"/>
          <w:color w:val="auto"/>
        </w:rPr>
        <w:t>In the future, we may acquire other businesses, products or technologies. Other than our acquisition of VisLab S.r.l., or VisLab, in June 2015, we have not made any acquisitions to date and do not have any commitments for any specific acquisition at this time. Our ability to make and successfully integrate acquisitions is unproven.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129"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Our Financial Performance or Results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Fluctuations in our operating results on a quarterly and annual basis could cause the market price of our ordinary shares to decline.</w:t>
      </w:r>
    </w:p>
    <w:p>
      <w:pPr>
        <w:spacing w:after="0" w:line="12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video and image capture devices into which our solutions are incorporated;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117" w:lineRule="exact"/>
        <w:rPr>
          <w:rFonts w:ascii="Arial" w:cs="Arial" w:eastAsia="Arial" w:hAnsi="Arial"/>
          <w:sz w:val="18"/>
          <w:szCs w:val="18"/>
          <w:color w:val="auto"/>
        </w:rPr>
      </w:pPr>
    </w:p>
    <w:p>
      <w:pPr>
        <w:ind w:left="1520" w:right="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investment or other asset values;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7"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 w:name="page47"/>
    <w:bookmarkEnd w:id="46"/>
    <w:p>
      <w:pPr>
        <w:ind w:right="20" w:firstLine="510"/>
        <w:spacing w:after="0" w:line="284" w:lineRule="auto"/>
        <w:rPr>
          <w:sz w:val="20"/>
          <w:szCs w:val="20"/>
          <w:color w:val="auto"/>
        </w:rPr>
      </w:pPr>
      <w:r>
        <w:rPr>
          <w:rFonts w:ascii="Arial" w:cs="Arial" w:eastAsia="Arial" w:hAnsi="Arial"/>
          <w:sz w:val="16"/>
          <w:szCs w:val="16"/>
          <w:color w:val="auto"/>
        </w:rPr>
        <w:t>Moreover, the semiconductor industry has historically been cyclical in nature, reflecting overall economic conditions as well as budgeting and buying patterns of consumers. For example, the semiconductor industry is currently experiencing significant shortages of capacity, which has resulted in a lengthening of the manufacturing lead time for our products and could be impacting the normal forecasting and ordering patterns of our customers.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 For example, our revenue declined</w:t>
      </w:r>
    </w:p>
    <w:p>
      <w:pPr>
        <w:spacing w:after="0" w:line="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2.5% in fiscal year 2021, increased 0.4% in fiscal year 2020 and declined 23% in fiscal year 2019. We incurred a net loss in fiscal years 2021, 2020, and 2019, respectively. For the six months ended July 31, 2021, while our revenue increased by 42.7% compared to the same period in fiscal year 2021, we incurred a net loss of $18.0 million. We may experience similar fluctuations or declines in revenue or net losses in the future, which would harm our financial results.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generate revenue growth, we may not be able to execute our business plan and our operating results could suffer.</w:t>
      </w:r>
    </w:p>
    <w:p>
      <w:pPr>
        <w:spacing w:after="0" w:line="23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believe that our future revenue growth, if any, will significantly depend on our ability to expand within our existing camera markets, such as the existing professional IP security and home security and monitoring camera markets, and successfully penetrate new markets, such as the OEM automotive, robotics and industrial markets, with our new AI computer vision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Our revenue declined 2.5% in fiscal year 2021, increased 0.4% in fiscal year 2020 and declined 23% in fiscal year 2019. We incurred net loss in fiscal years 2021, 2020, and 2019, respectively. For the six months ended July 31, 2021, while our revenue increased by 42.7% compared to the same period in fiscal year 2021, we incurred a net loss of $18.0 million. Accordingly, if we are unable to generate or maintain adequate revenue growth, our financial results could suffer and our stock price could decline.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22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to financial accounting standards may affect our results of operations and could cause us to change our business practices.</w:t>
      </w:r>
    </w:p>
    <w:p>
      <w:pPr>
        <w:spacing w:after="0" w:line="24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88%, 90% and 87% of our total revenue in fiscal years 2021, 2020 and 2019, respectively. For the six months ended July 31, 2021, sales to customers in Asia accounted for approximately 89%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8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5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92"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b w:val="1"/>
          <w:bCs w:val="1"/>
          <w:i w:val="1"/>
          <w:iCs w:val="1"/>
          <w:color w:val="auto"/>
        </w:rPr>
        <w:t>Our marketable securities portfolio could experience a decline in market value, which could materially and adversely affect our financial results.</w:t>
      </w:r>
    </w:p>
    <w:p>
      <w:pPr>
        <w:spacing w:after="0" w:line="62" w:lineRule="exact"/>
        <w:rPr>
          <w:sz w:val="20"/>
          <w:szCs w:val="20"/>
          <w:color w:val="auto"/>
        </w:rPr>
      </w:pPr>
    </w:p>
    <w:p>
      <w:pPr>
        <w:ind w:right="240" w:firstLine="510"/>
        <w:spacing w:after="0" w:line="272" w:lineRule="auto"/>
        <w:rPr>
          <w:sz w:val="20"/>
          <w:szCs w:val="20"/>
          <w:color w:val="auto"/>
        </w:rPr>
      </w:pPr>
      <w:r>
        <w:rPr>
          <w:rFonts w:ascii="Arial" w:cs="Arial" w:eastAsia="Arial" w:hAnsi="Arial"/>
          <w:sz w:val="17"/>
          <w:szCs w:val="17"/>
          <w:color w:val="auto"/>
        </w:rPr>
        <w:t>As of July 31, 2021, we had approximately $215.0 million in debt security investments. These investments consisted primarily of money market funds, commercial paper, asset-backed securities, U.S. government securities and debt securities of corporations.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financial results and position.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7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78" w:lineRule="exact"/>
        <w:rPr>
          <w:sz w:val="20"/>
          <w:szCs w:val="20"/>
          <w:color w:val="auto"/>
        </w:rPr>
      </w:pPr>
    </w:p>
    <w:p>
      <w:pPr>
        <w:ind w:right="20" w:firstLine="510"/>
        <w:spacing w:after="0" w:line="375"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Availability of capacity within our supply chain has tightened recently, which could limit the volume of products we can produce and negatively impact our business and operations.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6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9" w:name="page50"/>
    <w:bookmarkEnd w:id="49"/>
    <w:p>
      <w:pPr>
        <w:ind w:right="560" w:firstLine="510"/>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sell a significant percentage of our solutions through a single distributor, Wintech, which serves as our non-exclusive sales representative in Asia, other than Japan. Approximately 63%, 60% and 58% of our revenue was derived from sales through Wintech for the fiscal years ended January 31, 2021, 2020 and 2019, respectively, and approximately 62% of our revenue was derived from sales through Wintech for the six months ended July 31, 2021. We anticipate that a significant portion of our revenue will continue to be derived from sales through Wintech in the foreseeable future. In November 2019, WPG Holdings Co., or WPG, a Taiwan distributor, announced an unsolicited bid to acquire up to 30% of Wintech. In January 2020, WPG acquired approximately 17% of Wintech, but indicated it intended to remain a passive investor in Wintech. The acquisition of Wintech by WPG could have an adverse impact on our relationship with Wintech.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117"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84"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66"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The semiconductor industry is currently experiencing shortages of certain devices, which has impacted, and may continue to impact, our customers’ ability to build their products and negatively impact our customers’ demand for our solutions.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12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7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195"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87"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7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sell our products to several China customers has been restricted.</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October 2019, our security camera customers Hangzhou Hikvision Digital Technology Co., Ltd, or Hikvision, and Zhejiang Dahua Technology Co., Ltd., or Dahua, were added to the Entity List of the Bureau of Industry and Security, or BIS, of the U.S. Department of Commerce, or Commerce, which imposes limitations on the supply of certain U.S. items to the listed entities. In December 2020, certain affiliated entities of our customer Shenzhen Dajiang Baiwang Technology Co., Ltd., or Dajiang Baiwang, were added to the Entity List. While the addition of Hikvision, Dahua and affiliates of Dajiang Baiwang to the Entity List negatively impacts our ability to ship items subject to BIS regulations to these listed entities, we have determined that we are able to ship some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Dahua and Dajiang Baiwang,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Beyond the BIS actions relating to Hikvision, Dahua and affiliates of Dajiang Baiwang, general trade tensions between the United States and China have been escalating, which has, in our view, created and will continue to create an uncertain business environment. For example, BIS has added over 150 entities related to Huawei Technologies Co., Ltd. to the Entity List and created new controls on foreign-produced items when one of these entities is a party to the transaction.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right="340" w:firstLine="584"/>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62" w:lineRule="exact"/>
        <w:rPr>
          <w:sz w:val="20"/>
          <w:szCs w:val="20"/>
          <w:color w:val="auto"/>
        </w:rPr>
      </w:pPr>
    </w:p>
    <w:p>
      <w:pPr>
        <w:ind w:right="140" w:firstLine="584"/>
        <w:spacing w:after="0" w:line="255" w:lineRule="auto"/>
        <w:rPr>
          <w:sz w:val="20"/>
          <w:szCs w:val="20"/>
          <w:color w:val="auto"/>
        </w:rPr>
      </w:pPr>
      <w:r>
        <w:rPr>
          <w:rFonts w:ascii="Arial" w:cs="Arial" w:eastAsia="Arial" w:hAnsi="Arial"/>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9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Compliance with export and import regulations have not had a significant impact on our business to date, but 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governmental laws, regulations and other legal obligations related to privacy and data protection.</w:t>
      </w:r>
    </w:p>
    <w:p>
      <w:pPr>
        <w:spacing w:after="0" w:line="225"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Similarly, California has adopted the California Consumer Privacy Act of 2018, or CCPA, which took effect in 2020. The CCPA gives California residents the right to access, delete and opt out of certain sharing of their information, and imposes penalties for failure to comply.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3" w:name="page54"/>
    <w:bookmarkEnd w:id="53"/>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8"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6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8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6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14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16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84"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49"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8"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0"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left="520"/>
        <w:spacing w:after="0"/>
        <w:rPr>
          <w:sz w:val="20"/>
          <w:szCs w:val="20"/>
          <w:color w:val="auto"/>
        </w:rPr>
      </w:pPr>
      <w:r>
        <w:rPr>
          <w:rFonts w:ascii="Arial" w:cs="Arial" w:eastAsia="Arial" w:hAnsi="Arial"/>
          <w:sz w:val="16"/>
          <w:szCs w:val="16"/>
          <w:b w:val="1"/>
          <w:bCs w:val="1"/>
          <w:i w:val="1"/>
          <w:iCs w:val="1"/>
          <w:color w:val="auto"/>
        </w:rPr>
        <w:t>We may be classified as a passive foreign investment company which could result in adverse U.S. federal income tax consequences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ordinary shares.</w:t>
      </w:r>
    </w:p>
    <w:p>
      <w:pPr>
        <w:spacing w:after="0" w:line="10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Based on the current and anticipated valuation of our assets and the composition of our income and assets, we do not expect to be considered a passive foreign investment company, or PFIC, for U.S. federal income tax purposes for our 2021 fiscal year or the foreseeable future. However, a separate determination must be made at the close of each taxable year as to whether we are a PFIC for that taxable year, and we cannot assure you that we will not be a PFIC for our 2022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6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8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Prior to the Tax Act, we did not believe that we, or any of our non-U.S. subsidiaries, were considered a CFC, which is a determination made daily based on whether the 10% U.S. shareholders together own, or are considered to own under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ind w:right="80" w:firstLine="510"/>
        <w:spacing w:after="0" w:line="273"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62"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69" w:lineRule="exact"/>
        <w:rPr>
          <w:sz w:val="20"/>
          <w:szCs w:val="20"/>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w:t>
      </w:r>
    </w:p>
    <w:p>
      <w:pPr>
        <w:spacing w:after="0" w:line="117" w:lineRule="exact"/>
        <w:rPr>
          <w:rFonts w:ascii="Arial" w:cs="Arial" w:eastAsia="Arial" w:hAnsi="Arial"/>
          <w:sz w:val="18"/>
          <w:szCs w:val="18"/>
          <w:color w:val="auto"/>
        </w:rPr>
      </w:pPr>
    </w:p>
    <w:p>
      <w:pPr>
        <w:ind w:left="1520" w:right="20" w:hanging="500"/>
        <w:spacing w:after="0" w:line="277"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w:t>
      </w:r>
    </w:p>
    <w:p>
      <w:pPr>
        <w:spacing w:after="0" w:line="62" w:lineRule="exact"/>
        <w:rPr>
          <w:rFonts w:ascii="Arial" w:cs="Arial" w:eastAsia="Arial" w:hAnsi="Arial"/>
          <w:sz w:val="18"/>
          <w:szCs w:val="18"/>
          <w:color w:val="auto"/>
        </w:rPr>
      </w:pPr>
    </w:p>
    <w:p>
      <w:pPr>
        <w:ind w:left="1520" w:right="140" w:hanging="500"/>
        <w:spacing w:after="0" w:line="277"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significant impairment of our intellectual property rights from any litigation we face could harm our business and our ability to compete.</w:t>
      </w:r>
    </w:p>
    <w:p>
      <w:pPr>
        <w:spacing w:after="0" w:line="23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80" w:firstLine="450"/>
        <w:spacing w:after="0" w:line="287"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7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ind w:firstLine="405"/>
        <w:spacing w:after="0" w:line="296"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76" w:lineRule="exact"/>
        <w:rPr>
          <w:sz w:val="20"/>
          <w:szCs w:val="20"/>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the economic performance or market valuations of companies perceived by investors to be comparable to us;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including conditions caused by pandemics, and slow or negative growth of related markets;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other geopolitical activities affecting markets we address;</w:t>
      </w:r>
    </w:p>
    <w:p>
      <w:pPr>
        <w:spacing w:after="0" w:line="117" w:lineRule="exact"/>
        <w:rPr>
          <w:rFonts w:ascii="Arial" w:cs="Arial" w:eastAsia="Arial" w:hAnsi="Arial"/>
          <w:sz w:val="18"/>
          <w:szCs w:val="18"/>
          <w:color w:val="auto"/>
        </w:rPr>
      </w:pPr>
    </w:p>
    <w:p>
      <w:pPr>
        <w:ind w:left="1520" w:right="28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8" w:name="page59"/>
    <w:bookmarkEnd w:id="58"/>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Our actual operating results may not meet or exceed our guidance and investor expectations, which would likely cause our stock price to decline.</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66"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164"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2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6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2" w:lineRule="exact"/>
        <w:rPr>
          <w:sz w:val="20"/>
          <w:szCs w:val="20"/>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2" w:lineRule="exact"/>
        <w:rPr>
          <w:rFonts w:ascii="Arial" w:cs="Arial" w:eastAsia="Arial" w:hAnsi="Arial"/>
          <w:sz w:val="18"/>
          <w:szCs w:val="18"/>
          <w:color w:val="auto"/>
        </w:rPr>
      </w:pPr>
    </w:p>
    <w:p>
      <w:pPr>
        <w:ind w:left="1520" w:right="8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2" w:lineRule="exact"/>
        <w:rPr>
          <w:rFonts w:ascii="Arial" w:cs="Arial" w:eastAsia="Arial" w:hAnsi="Arial"/>
          <w:sz w:val="18"/>
          <w:szCs w:val="18"/>
          <w:color w:val="auto"/>
        </w:rPr>
      </w:pPr>
    </w:p>
    <w:p>
      <w:pPr>
        <w:ind w:left="1520" w:right="10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2" w:lineRule="exact"/>
        <w:rPr>
          <w:rFonts w:ascii="Arial" w:cs="Arial" w:eastAsia="Arial" w:hAnsi="Arial"/>
          <w:sz w:val="18"/>
          <w:szCs w:val="18"/>
          <w:color w:val="auto"/>
        </w:rPr>
      </w:pPr>
    </w:p>
    <w:p>
      <w:pPr>
        <w:jc w:val="both"/>
        <w:ind w:left="1520" w:right="20" w:hanging="500"/>
        <w:spacing w:after="0" w:line="342" w:lineRule="auto"/>
        <w:tabs>
          <w:tab w:leader="none" w:pos="1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15" w:lineRule="exact"/>
        <w:rPr>
          <w:rFonts w:ascii="Arial" w:cs="Arial" w:eastAsia="Arial" w:hAnsi="Arial"/>
          <w:sz w:val="16"/>
          <w:szCs w:val="16"/>
          <w:color w:val="auto"/>
        </w:rPr>
      </w:pPr>
    </w:p>
    <w:p>
      <w:pPr>
        <w:ind w:left="1520" w:right="10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ind w:left="1520" w:right="300" w:hanging="500"/>
        <w:spacing w:after="0" w:line="342" w:lineRule="auto"/>
        <w:tabs>
          <w:tab w:leader="none" w:pos="1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140"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Subject to limited exceptions, under Cayman Islands law, a minority shareholder may not bring a derivative action against the board of directors.</w:t>
      </w:r>
    </w:p>
    <w:p>
      <w:pPr>
        <w:spacing w:after="0" w:line="24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5"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operations and those of our manufacturers are vulnerable to interruption caused by technical breakdowns, computer hardware and software malfunctions, software viruses, infrastructure failures, regional health issues and pandemics, earthquakes, fires, severe storms, floods and other negative impacts from climate change,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and Italy. If the remote or work from home conditions continue for an extended period of time, or similar restrictions and measures are implemented in more of the locations where we have offices,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40" w:type="dxa"/>
            <w:vAlign w:val="bottom"/>
            <w:gridSpan w:val="7"/>
          </w:tcPr>
          <w:p>
            <w:pPr>
              <w:ind w:left="6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0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3.1(1)</w:t>
            </w:r>
          </w:p>
        </w:tc>
        <w:tc>
          <w:tcPr>
            <w:tcW w:w="9420" w:type="dxa"/>
            <w:vAlign w:val="bottom"/>
            <w:tcBorders>
              <w:bottom w:val="single" w:sz="8" w:color="0000EE"/>
            </w:tcBorders>
            <w:gridSpan w:val="7"/>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Amended and Restated Memorandum of Association and Second Amended and Restated Articles of Association of the Registrant.</w:t>
              </w:r>
            </w:hyperlink>
          </w:p>
        </w:tc>
        <w:tc>
          <w:tcPr>
            <w:tcW w:w="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10.1(2)</w:t>
            </w:r>
          </w:p>
        </w:tc>
        <w:tc>
          <w:tcPr>
            <w:tcW w:w="3180" w:type="dxa"/>
            <w:vAlign w:val="bottom"/>
            <w:tcBorders>
              <w:bottom w:val="single" w:sz="8" w:color="0000EE"/>
            </w:tcBorders>
            <w:gridSpan w:val="4"/>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Ambarella, Inc. 2021 Equity Incentive Plan.</w:t>
              </w:r>
            </w:hyperlink>
          </w:p>
        </w:tc>
        <w:tc>
          <w:tcPr>
            <w:tcW w:w="68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10020" w:type="dxa"/>
            <w:vAlign w:val="bottom"/>
            <w:gridSpan w:val="11"/>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Amendment No. 6 to Sales Representative Agreement dated May 1, 2021 by and between Ambarella, Inc. and WT Microelectronics Co.,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Ltd.</w:t>
              </w:r>
            </w:hyperlink>
          </w:p>
        </w:tc>
        <w:tc>
          <w:tcPr>
            <w:tcW w:w="9580" w:type="dxa"/>
            <w:vAlign w:val="bottom"/>
            <w:tcBorders>
              <w:top w:val="single" w:sz="8" w:color="0000EE"/>
            </w:tcBorders>
            <w:gridSpan w:val="9"/>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10020" w:type="dxa"/>
            <w:vAlign w:val="bottom"/>
            <w:gridSpan w:val="11"/>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Certification of Principal Executive Officer Required Under Rule 13a-14(a) and 15d-14(a) of the Securities Exchange Act of 1934,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amended.</w:t>
              </w:r>
            </w:hyperlink>
          </w:p>
        </w:tc>
        <w:tc>
          <w:tcPr>
            <w:tcW w:w="8920" w:type="dxa"/>
            <w:vAlign w:val="bottom"/>
            <w:tcBorders>
              <w:top w:val="single" w:sz="8" w:color="0000EE"/>
            </w:tcBorders>
            <w:gridSpan w:val="7"/>
          </w:tcPr>
          <w:p>
            <w:pPr>
              <w:spacing w:after="0"/>
              <w:rPr>
                <w:sz w:val="17"/>
                <w:szCs w:val="17"/>
                <w:color w:val="auto"/>
              </w:rPr>
            </w:pP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24"/>
                <w:szCs w:val="24"/>
                <w:color w:val="auto"/>
              </w:rPr>
            </w:pPr>
          </w:p>
        </w:tc>
        <w:tc>
          <w:tcPr>
            <w:tcW w:w="95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Principal Financial Officer Required Under Rule 13a-14(a) and 15d-14(a) of the Securities Exchange Act of 1934, as</w:t>
              </w:r>
            </w:hyperlink>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69">
              <w:r>
                <w:rPr>
                  <w:rFonts w:ascii="Arial" w:cs="Arial" w:eastAsia="Arial" w:hAnsi="Arial"/>
                  <w:sz w:val="18"/>
                  <w:szCs w:val="18"/>
                  <w:color w:val="0000EE"/>
                  <w:w w:val="84"/>
                </w:rPr>
                <w:t>amended.</w:t>
              </w:r>
            </w:hyperlink>
          </w:p>
        </w:tc>
        <w:tc>
          <w:tcPr>
            <w:tcW w:w="9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w w:val="88"/>
              </w:rPr>
              <w:t>32.1±</w:t>
            </w:r>
          </w:p>
        </w:tc>
        <w:tc>
          <w:tcPr>
            <w:tcW w:w="620" w:type="dxa"/>
            <w:vAlign w:val="bottom"/>
          </w:tcPr>
          <w:p>
            <w:pPr>
              <w:spacing w:after="0"/>
              <w:rPr>
                <w:sz w:val="24"/>
                <w:szCs w:val="24"/>
                <w:color w:val="auto"/>
              </w:rPr>
            </w:pPr>
          </w:p>
        </w:tc>
        <w:tc>
          <w:tcPr>
            <w:tcW w:w="100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Certification of Principal Executive Officer and Principal Financial Officer Required Under Rule 13a-14(b) of the Securities Exchange Act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of 1934, as amended, and 18 U.S.C. §1350.</w:t>
              </w:r>
            </w:hyperlink>
          </w:p>
        </w:tc>
        <w:tc>
          <w:tcPr>
            <w:tcW w:w="68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11"/>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Taxonomy Schema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Taxonomy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Taxonomy Labels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40" w:right="360" w:hanging="113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July 31, 2021,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8312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04" w:lineRule="exact"/>
        <w:rPr>
          <w:sz w:val="20"/>
          <w:szCs w:val="20"/>
          <w:color w:val="auto"/>
        </w:rPr>
      </w:pPr>
    </w:p>
    <w:p>
      <w:pPr>
        <w:ind w:left="500" w:right="200" w:hanging="492"/>
        <w:spacing w:after="0" w:line="258"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(No. 333-174838) Amendment No. 3 as filed with the Securities and Exchange Commission on September 12, 2012.</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as filed with the Securities and Exchange Commission on June 23, 2021.</w:t>
      </w:r>
    </w:p>
    <w:p>
      <w:pPr>
        <w:spacing w:after="0" w:line="32" w:lineRule="exact"/>
        <w:rPr>
          <w:rFonts w:ascii="Arial" w:cs="Arial" w:eastAsia="Arial" w:hAnsi="Arial"/>
          <w:sz w:val="16"/>
          <w:szCs w:val="16"/>
          <w:color w:val="auto"/>
        </w:rPr>
      </w:pPr>
    </w:p>
    <w:p>
      <w:pPr>
        <w:ind w:left="500" w:hanging="499"/>
        <w:spacing w:after="0" w:line="253" w:lineRule="auto"/>
        <w:rPr>
          <w:rFonts w:ascii="Arial" w:cs="Arial" w:eastAsia="Arial" w:hAnsi="Arial"/>
          <w:sz w:val="16"/>
          <w:szCs w:val="16"/>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62" w:name="page63"/>
    <w:bookmarkEnd w:id="6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AMBARELLA, INC.</w:t>
      </w:r>
    </w:p>
    <w:p>
      <w:pPr>
        <w:spacing w:after="0" w:line="229" w:lineRule="exact"/>
        <w:rPr>
          <w:sz w:val="20"/>
          <w:szCs w:val="20"/>
          <w:color w:val="auto"/>
        </w:rPr>
      </w:pPr>
    </w:p>
    <w:p>
      <w:pPr>
        <w:spacing w:after="0"/>
        <w:tabs>
          <w:tab w:leader="none" w:pos="5760" w:val="left"/>
          <w:tab w:leader="none" w:pos="8000" w:val="left"/>
        </w:tabs>
        <w:rPr>
          <w:sz w:val="20"/>
          <w:szCs w:val="20"/>
          <w:color w:val="auto"/>
        </w:rPr>
      </w:pPr>
      <w:r>
        <w:rPr>
          <w:rFonts w:ascii="Arial" w:cs="Arial" w:eastAsia="Arial" w:hAnsi="Arial"/>
          <w:sz w:val="18"/>
          <w:szCs w:val="18"/>
          <w:color w:val="auto"/>
        </w:rPr>
        <w:t>Date: September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jc w:val="center"/>
        <w:ind w:left="6260"/>
        <w:spacing w:after="0"/>
        <w:rPr>
          <w:sz w:val="20"/>
          <w:szCs w:val="20"/>
          <w:color w:val="auto"/>
        </w:rPr>
      </w:pPr>
      <w:r>
        <w:rPr>
          <w:rFonts w:ascii="Arial" w:cs="Arial" w:eastAsia="Arial" w:hAnsi="Arial"/>
          <w:sz w:val="14"/>
          <w:szCs w:val="14"/>
          <w:b w:val="1"/>
          <w:bCs w:val="1"/>
          <w:color w:val="auto"/>
        </w:rPr>
        <w:t>Feng-Ming Wang</w:t>
      </w:r>
    </w:p>
    <w:p>
      <w:pPr>
        <w:jc w:val="center"/>
        <w:ind w:left="62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6"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September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jc w:val="center"/>
        <w:ind w:left="6260"/>
        <w:spacing w:after="0"/>
        <w:rPr>
          <w:sz w:val="20"/>
          <w:szCs w:val="20"/>
          <w:color w:val="auto"/>
        </w:rPr>
      </w:pPr>
      <w:r>
        <w:rPr>
          <w:rFonts w:ascii="Arial" w:cs="Arial" w:eastAsia="Arial" w:hAnsi="Arial"/>
          <w:sz w:val="14"/>
          <w:szCs w:val="14"/>
          <w:b w:val="1"/>
          <w:bCs w:val="1"/>
          <w:color w:val="auto"/>
        </w:rPr>
        <w:t>Kevin C. Eichler</w:t>
      </w:r>
    </w:p>
    <w:p>
      <w:pPr>
        <w:jc w:val="center"/>
        <w:ind w:left="62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800"/>
          </w:cols>
          <w:pgMar w:left="320" w:top="121" w:right="77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WOULD BE COMPETITIVELY HARMFUL IF PUBLICLY DISCLOSED, AND THE EXCLUDED TERMS HAVE BEEN MARKED AT THE APPROPRIATE PLACE WITH AN ASTERISK [*].</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6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SALES REPRESENTATIVE AGREEMENT</w:t>
      </w:r>
    </w:p>
    <w:p>
      <w:pPr>
        <w:spacing w:after="0" w:line="200" w:lineRule="exact"/>
        <w:rPr>
          <w:sz w:val="20"/>
          <w:szCs w:val="20"/>
          <w:color w:val="auto"/>
        </w:rPr>
      </w:pPr>
    </w:p>
    <w:p>
      <w:pPr>
        <w:spacing w:after="0" w:line="232" w:lineRule="exact"/>
        <w:rPr>
          <w:sz w:val="20"/>
          <w:szCs w:val="20"/>
          <w:color w:val="auto"/>
        </w:rPr>
      </w:pPr>
    </w:p>
    <w:p>
      <w:pPr>
        <w:jc w:val="both"/>
        <w:ind w:right="180"/>
        <w:spacing w:after="0" w:line="248" w:lineRule="auto"/>
        <w:rPr>
          <w:sz w:val="20"/>
          <w:szCs w:val="20"/>
          <w:color w:val="auto"/>
        </w:rPr>
      </w:pPr>
      <w:r>
        <w:rPr>
          <w:rFonts w:ascii="Arial" w:cs="Arial" w:eastAsia="Arial" w:hAnsi="Arial"/>
          <w:sz w:val="20"/>
          <w:szCs w:val="20"/>
          <w:color w:val="auto"/>
        </w:rPr>
        <w:t>This Amendment No. 6 to Sales Representative Agreement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by and between Ambarella International LP, an Ontario, Canada limited partnership having a place of business at PO Box 309, Ugland House, Grand Cayman, KY1-1104, Cayman Islands (“</w:t>
      </w:r>
      <w:r>
        <w:rPr>
          <w:rFonts w:ascii="Arial" w:cs="Arial" w:eastAsia="Arial" w:hAnsi="Arial"/>
          <w:sz w:val="20"/>
          <w:szCs w:val="20"/>
          <w:b w:val="1"/>
          <w:bCs w:val="1"/>
          <w:color w:val="auto"/>
        </w:rPr>
        <w:t>COMPANY</w:t>
      </w:r>
      <w:r>
        <w:rPr>
          <w:rFonts w:ascii="Arial" w:cs="Arial" w:eastAsia="Arial" w:hAnsi="Arial"/>
          <w:sz w:val="20"/>
          <w:szCs w:val="20"/>
          <w:color w:val="auto"/>
        </w:rPr>
        <w:t>”), and WT Microelectronics Co., Ltd., with a place of business at 14F, No. 738, Chung Cheng Road, Chung Ho City, Taipei Hsien, Taiwan, R.O.C. (“</w:t>
      </w:r>
      <w:r>
        <w:rPr>
          <w:rFonts w:ascii="Arial" w:cs="Arial" w:eastAsia="Arial" w:hAnsi="Arial"/>
          <w:sz w:val="20"/>
          <w:szCs w:val="20"/>
          <w:b w:val="1"/>
          <w:bCs w:val="1"/>
          <w:color w:val="auto"/>
        </w:rPr>
        <w:t>Representative</w:t>
      </w:r>
      <w:r>
        <w:rPr>
          <w:rFonts w:ascii="Arial" w:cs="Arial" w:eastAsia="Arial" w:hAnsi="Arial"/>
          <w:sz w:val="20"/>
          <w:szCs w:val="20"/>
          <w:color w:val="auto"/>
        </w:rPr>
        <w:t>”).</w:t>
      </w:r>
    </w:p>
    <w:p>
      <w:pPr>
        <w:spacing w:after="0" w:line="149"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WHEREAS, Ambarella, Inc. (an affiliate of Ambarella International LP) and Representative entered into a Sales Representative Agreement, effective January 31, 2011, as amended by Amendment No. 1 to Sales Representative Agreement, effective February 1, 2012, Amendment No. 2 to Sales Representative Agreement, effective October 1, 2012, Amendment No. 3 to Sales Representative Agreement, effective February 1, 2013, Amendment to Extend Term of Sales Representative Agreement, effective August 1, 2015, and Amendment to Sales Representative Agreement, effective June 1, 2019 (collectively, the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14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WHEREAS, Ambarella, Inc. assigned the Agreement to Ambarella International LP, effective December 7, 2020, and the parties now wish to amend the Agreement;</w:t>
      </w:r>
    </w:p>
    <w:p>
      <w:pPr>
        <w:spacing w:after="0" w:line="150" w:lineRule="exact"/>
        <w:rPr>
          <w:sz w:val="20"/>
          <w:szCs w:val="20"/>
          <w:color w:val="auto"/>
        </w:rPr>
      </w:pPr>
    </w:p>
    <w:p>
      <w:pPr>
        <w:ind w:right="560"/>
        <w:spacing w:after="0" w:line="250" w:lineRule="auto"/>
        <w:rPr>
          <w:sz w:val="20"/>
          <w:szCs w:val="20"/>
          <w:color w:val="auto"/>
        </w:rPr>
      </w:pPr>
      <w:r>
        <w:rPr>
          <w:rFonts w:ascii="Arial" w:cs="Arial" w:eastAsia="Arial" w:hAnsi="Arial"/>
          <w:sz w:val="20"/>
          <w:szCs w:val="20"/>
          <w:color w:val="auto"/>
        </w:rPr>
        <w:t>NOW, THEREFORE, in consideration of the terms and conditions set forth in this Amendment, and for other good and valuable consideration, the receipt and sufficiency of which is hereby acknowledged, the parties agree that the Agreement is hereby amended as follows:</w:t>
      </w:r>
    </w:p>
    <w:p>
      <w:pPr>
        <w:spacing w:after="0" w:line="145" w:lineRule="exact"/>
        <w:rPr>
          <w:sz w:val="20"/>
          <w:szCs w:val="20"/>
          <w:color w:val="auto"/>
        </w:rPr>
      </w:pPr>
    </w:p>
    <w:p>
      <w:pPr>
        <w:ind w:left="880" w:right="80" w:hanging="440"/>
        <w:spacing w:after="0" w:line="247" w:lineRule="auto"/>
        <w:tabs>
          <w:tab w:leader="none" w:pos="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Unless otherwise defined herein, all capitalized terms set forth herein shall have the same meanings attributed to such terms in the Agreement.</w:t>
      </w:r>
    </w:p>
    <w:p>
      <w:pPr>
        <w:spacing w:after="0" w:line="1" w:lineRule="exact"/>
        <w:rPr>
          <w:rFonts w:ascii="Arial" w:cs="Arial" w:eastAsia="Arial" w:hAnsi="Arial"/>
          <w:sz w:val="20"/>
          <w:szCs w:val="20"/>
          <w:color w:val="auto"/>
        </w:rPr>
      </w:pPr>
    </w:p>
    <w:p>
      <w:pPr>
        <w:jc w:val="both"/>
        <w:ind w:left="880" w:right="480" w:hanging="440"/>
        <w:spacing w:after="0" w:line="239" w:lineRule="auto"/>
        <w:tabs>
          <w:tab w:leader="none" w:pos="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This Amendment shall become effective on </w:t>
      </w:r>
      <w:r>
        <w:rPr>
          <w:rFonts w:ascii="Arial" w:cs="Arial" w:eastAsia="Arial" w:hAnsi="Arial"/>
          <w:sz w:val="20"/>
          <w:szCs w:val="20"/>
          <w:b w:val="1"/>
          <w:bCs w:val="1"/>
          <w:color w:val="auto"/>
        </w:rPr>
        <w:t>May 01, 2021</w:t>
      </w:r>
      <w:r>
        <w:rPr>
          <w:rFonts w:ascii="Arial" w:cs="Arial" w:eastAsia="Arial" w:hAnsi="Arial"/>
          <w:sz w:val="20"/>
          <w:szCs w:val="20"/>
          <w:color w:val="auto"/>
        </w:rPr>
        <w:t xml:space="preserv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and expire or terminate upon the expiration or termination of the Agreement. The provisions of this Amendment shall survive expiration or termination to the extent set forth in the Agreement.</w:t>
      </w:r>
    </w:p>
    <w:p>
      <w:pPr>
        <w:spacing w:after="0" w:line="1" w:lineRule="exact"/>
        <w:rPr>
          <w:rFonts w:ascii="Arial" w:cs="Arial" w:eastAsia="Arial" w:hAnsi="Arial"/>
          <w:sz w:val="20"/>
          <w:szCs w:val="20"/>
          <w:color w:val="auto"/>
        </w:rPr>
      </w:pPr>
    </w:p>
    <w:p>
      <w:pPr>
        <w:ind w:left="880" w:hanging="440"/>
        <w:spacing w:after="0"/>
        <w:tabs>
          <w:tab w:leader="none" w:pos="8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Section 7 (Payment) of the Agreement is deleted in its entirety and replaced with the following:</w:t>
      </w:r>
    </w:p>
    <w:p>
      <w:pPr>
        <w:spacing w:after="0" w:line="226"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color w:val="auto"/>
        </w:rPr>
        <w:t>7.</w:t>
      </w:r>
      <w:r>
        <w:rPr>
          <w:rFonts w:ascii="Arial" w:cs="Arial" w:eastAsia="Arial" w:hAnsi="Arial"/>
          <w:sz w:val="16"/>
          <w:szCs w:val="16"/>
          <w:color w:val="auto"/>
        </w:rPr>
        <w:t>Payment</w:t>
      </w:r>
    </w:p>
    <w:p>
      <w:pPr>
        <w:spacing w:after="0" w:line="237" w:lineRule="exact"/>
        <w:rPr>
          <w:sz w:val="20"/>
          <w:szCs w:val="20"/>
          <w:color w:val="auto"/>
        </w:rPr>
      </w:pPr>
    </w:p>
    <w:p>
      <w:pPr>
        <w:ind w:left="880" w:right="80"/>
        <w:spacing w:after="0" w:line="253" w:lineRule="auto"/>
        <w:rPr>
          <w:sz w:val="20"/>
          <w:szCs w:val="20"/>
          <w:color w:val="auto"/>
        </w:rPr>
      </w:pPr>
      <w:r>
        <w:rPr>
          <w:rFonts w:ascii="Arial" w:cs="Arial" w:eastAsia="Arial" w:hAnsi="Arial"/>
          <w:sz w:val="20"/>
          <w:szCs w:val="20"/>
          <w:color w:val="auto"/>
        </w:rPr>
        <w:t xml:space="preserve">Except as provided herein, payment terms for all Products shall be within </w:t>
      </w:r>
      <w:r>
        <w:rPr>
          <w:rFonts w:ascii="Arial" w:cs="Arial" w:eastAsia="Arial" w:hAnsi="Arial"/>
          <w:sz w:val="20"/>
          <w:szCs w:val="20"/>
          <w:b w:val="1"/>
          <w:bCs w:val="1"/>
          <w:color w:val="auto"/>
        </w:rPr>
        <w:t>[*]</w:t>
      </w:r>
      <w:r>
        <w:rPr>
          <w:rFonts w:ascii="Arial" w:cs="Arial" w:eastAsia="Arial" w:hAnsi="Arial"/>
          <w:sz w:val="20"/>
          <w:szCs w:val="20"/>
          <w:color w:val="auto"/>
        </w:rPr>
        <w:t xml:space="preserve"> days after the end of the calendar month of the invoice date hereunder issued by COMPANY, unless otherwise agreed between the parties. All payments shall be made in United States dollars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ind w:left="440" w:hanging="440"/>
        <w:spacing w:after="0"/>
        <w:tabs>
          <w:tab w:leader="none" w:pos="4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Exhibit C (Commission) to the Agreement is deleted in its entirety and replaced with Exhibit C to this Amendment.</w:t>
      </w:r>
    </w:p>
    <w:p>
      <w:pPr>
        <w:spacing w:after="0" w:line="27" w:lineRule="exact"/>
        <w:rPr>
          <w:rFonts w:ascii="Arial" w:cs="Arial" w:eastAsia="Arial" w:hAnsi="Arial"/>
          <w:sz w:val="19"/>
          <w:szCs w:val="19"/>
          <w:color w:val="auto"/>
        </w:rPr>
      </w:pPr>
    </w:p>
    <w:p>
      <w:pPr>
        <w:ind w:left="440" w:hanging="440"/>
        <w:spacing w:after="0" w:line="297"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otherwise provided in this Amendment, all terms and conditions of the Agreement shall remain in full force and effect. To the extent this Amendment conflicts with the Agreement, the terms and conditions of this Amendment shall control.</w:t>
      </w:r>
    </w:p>
    <w:p>
      <w:pPr>
        <w:spacing w:after="0" w:line="10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(remainder of page intentionally left blank;</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 page to follow)</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w:t>
      </w:r>
      <w:r>
        <w:rPr>
          <w:rFonts w:ascii="Arial" w:cs="Arial" w:eastAsia="Arial" w:hAnsi="Arial"/>
          <w:sz w:val="20"/>
          <w:szCs w:val="20"/>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215900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60"/>
          </w:cols>
          <w:pgMar w:left="760" w:top="582" w:right="679" w:bottom="1440" w:gutter="0" w:footer="0" w:header="0"/>
        </w:sectPr>
      </w:pPr>
    </w:p>
    <w:bookmarkStart w:id="65" w:name="page66"/>
    <w:bookmarkEnd w:id="65"/>
    <w:p>
      <w:pPr>
        <w:spacing w:after="0" w:line="260" w:lineRule="auto"/>
        <w:rPr>
          <w:sz w:val="20"/>
          <w:szCs w:val="20"/>
          <w:color w:val="auto"/>
        </w:rPr>
      </w:pPr>
      <w:r>
        <w:rPr>
          <w:rFonts w:ascii="Arial" w:cs="Arial" w:eastAsia="Arial" w:hAnsi="Arial"/>
          <w:sz w:val="20"/>
          <w:szCs w:val="20"/>
          <w:color w:val="auto"/>
        </w:rPr>
        <w:t>IN WITNESS WHEREOF, the parties have caused their duly authorized representatives to execute this Amendment No. 6 to Sales Representative Agreement as of the Amendment Effective Date.</w:t>
      </w:r>
    </w:p>
    <w:p>
      <w:pPr>
        <w:sectPr>
          <w:pgSz w:w="11900" w:h="16838" w:orient="portrait"/>
          <w:cols w:equalWidth="0" w:num="1">
            <w:col w:w="10380"/>
          </w:cols>
          <w:pgMar w:left="320" w:top="352" w:right="119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Ambarella International 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(represented by Ambarella, Inc., acting in its capacity as General</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Partner of Ambarella International LP)</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Microelectronics Co., Ltd.</w:t>
      </w:r>
    </w:p>
    <w:p>
      <w:pPr>
        <w:spacing w:after="0" w:line="703" w:lineRule="exact"/>
        <w:rPr>
          <w:sz w:val="20"/>
          <w:szCs w:val="20"/>
          <w:color w:val="auto"/>
        </w:rPr>
      </w:pPr>
    </w:p>
    <w:p>
      <w:pPr>
        <w:sectPr>
          <w:pgSz w:w="11900" w:h="16838" w:orient="portrait"/>
          <w:cols w:equalWidth="0" w:num="2">
            <w:col w:w="5480" w:space="140"/>
            <w:col w:w="4760"/>
          </w:cols>
          <w:pgMar w:left="320" w:top="352" w:right="1199" w:bottom="1440" w:gutter="0" w:footer="0" w:header="0"/>
          <w:type w:val="continuous"/>
        </w:sect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By: /s/ Yun-Lung Chen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Eric Cheng</w:t>
      </w:r>
    </w:p>
    <w:p>
      <w:pPr>
        <w:spacing w:after="0" w:line="200" w:lineRule="exact"/>
        <w:rPr>
          <w:sz w:val="20"/>
          <w:szCs w:val="20"/>
          <w:color w:val="auto"/>
        </w:rPr>
      </w:pPr>
    </w:p>
    <w:p>
      <w:pPr>
        <w:sectPr>
          <w:pgSz w:w="11900" w:h="16838" w:orient="portrait"/>
          <w:cols w:equalWidth="0" w:num="2">
            <w:col w:w="4900" w:space="720"/>
            <w:col w:w="4760"/>
          </w:cols>
          <w:pgMar w:left="320" w:top="352" w:right="119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Name: Yun-Lung Chen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 Eric Cheng</w:t>
      </w:r>
    </w:p>
    <w:p>
      <w:pPr>
        <w:spacing w:after="0" w:line="200" w:lineRule="exact"/>
        <w:rPr>
          <w:sz w:val="20"/>
          <w:szCs w:val="20"/>
          <w:color w:val="auto"/>
        </w:rPr>
      </w:pPr>
    </w:p>
    <w:p>
      <w:pPr>
        <w:sectPr>
          <w:pgSz w:w="11900" w:h="16838" w:orient="portrait"/>
          <w:cols w:equalWidth="0" w:num="2">
            <w:col w:w="4900" w:space="720"/>
            <w:col w:w="4760"/>
          </w:cols>
          <w:pgMar w:left="320" w:top="352" w:right="119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Title: VP</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&amp; CEO</w:t>
      </w:r>
    </w:p>
    <w:p>
      <w:pPr>
        <w:spacing w:after="0" w:line="211" w:lineRule="exact"/>
        <w:rPr>
          <w:sz w:val="20"/>
          <w:szCs w:val="20"/>
          <w:color w:val="auto"/>
        </w:rPr>
      </w:pPr>
    </w:p>
    <w:p>
      <w:pPr>
        <w:sectPr>
          <w:pgSz w:w="11900" w:h="16838" w:orient="portrait"/>
          <w:cols w:equalWidth="0" w:num="2">
            <w:col w:w="4900" w:space="720"/>
            <w:col w:w="4760"/>
          </w:cols>
          <w:pgMar w:left="320" w:top="352" w:right="119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2021</w:t>
      </w:r>
    </w:p>
    <w:p>
      <w:pPr>
        <w:spacing w:after="0" w:line="200" w:lineRule="exact"/>
        <w:rPr>
          <w:sz w:val="20"/>
          <w:szCs w:val="20"/>
          <w:color w:val="auto"/>
        </w:rPr>
      </w:pPr>
    </w:p>
    <w:p>
      <w:pPr>
        <w:sectPr>
          <w:pgSz w:w="11900" w:h="16838" w:orient="portrait"/>
          <w:cols w:equalWidth="0" w:num="2">
            <w:col w:w="4900" w:space="720"/>
            <w:col w:w="4760"/>
          </w:cols>
          <w:pgMar w:left="320" w:top="352" w:right="119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0"/>
          </w:cols>
          <w:pgMar w:left="320" w:top="352" w:right="1199" w:bottom="1440" w:gutter="0" w:footer="0" w:header="0"/>
          <w:type w:val="continuous"/>
        </w:sectPr>
      </w:pPr>
    </w:p>
    <w:bookmarkStart w:id="66" w:name="page67"/>
    <w:bookmarkEnd w:id="66"/>
    <w:p>
      <w:pPr>
        <w:jc w:val="center"/>
        <w:ind w:right="440"/>
        <w:spacing w:after="0"/>
        <w:rPr>
          <w:sz w:val="20"/>
          <w:szCs w:val="20"/>
          <w:color w:val="auto"/>
        </w:rPr>
      </w:pPr>
      <w:r>
        <w:rPr>
          <w:rFonts w:ascii="Arial" w:cs="Arial" w:eastAsia="Arial" w:hAnsi="Arial"/>
          <w:sz w:val="20"/>
          <w:szCs w:val="20"/>
          <w:b w:val="1"/>
          <w:bCs w:val="1"/>
          <w:color w:val="auto"/>
        </w:rPr>
        <w:t>EXHIBIT C TO</w:t>
      </w:r>
    </w:p>
    <w:p>
      <w:pPr>
        <w:spacing w:after="0" w:line="175"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AMENDMENT NO. 6 TO</w:t>
      </w:r>
    </w:p>
    <w:p>
      <w:pPr>
        <w:spacing w:after="0" w:line="189"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SALES REPRESENTATIVE AGREEMENT</w:t>
      </w:r>
    </w:p>
    <w:p>
      <w:pPr>
        <w:spacing w:after="0" w:line="175"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COMMISSION</w:t>
      </w:r>
    </w:p>
    <w:p>
      <w:pPr>
        <w:spacing w:after="0" w:line="181" w:lineRule="exact"/>
        <w:rPr>
          <w:sz w:val="20"/>
          <w:szCs w:val="20"/>
          <w:color w:val="auto"/>
        </w:rPr>
      </w:pPr>
    </w:p>
    <w:p>
      <w:pPr>
        <w:ind w:left="440" w:hanging="440"/>
        <w:spacing w:after="0" w:line="254" w:lineRule="auto"/>
        <w:tabs>
          <w:tab w:leader="none" w:pos="4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Company shall pay to Representative an earned sales commission on sales of Products according to the rates set forth in: (1) a table to be mutually agreed upon between the parties in writing (“</w:t>
      </w:r>
      <w:r>
        <w:rPr>
          <w:rFonts w:ascii="Arial" w:cs="Arial" w:eastAsia="Arial" w:hAnsi="Arial"/>
          <w:sz w:val="19"/>
          <w:szCs w:val="19"/>
          <w:b w:val="1"/>
          <w:bCs w:val="1"/>
          <w:color w:val="auto"/>
        </w:rPr>
        <w:t>Commission Table</w:t>
      </w:r>
      <w:r>
        <w:rPr>
          <w:rFonts w:ascii="Arial" w:cs="Arial" w:eastAsia="Arial" w:hAnsi="Arial"/>
          <w:sz w:val="19"/>
          <w:szCs w:val="19"/>
          <w:color w:val="auto"/>
        </w:rPr>
        <w:t>”), or (2) in the specific SA (sales agreement) issued by Company, as agreed to by Representative. As new customer accounts are obtained, the parties will meet in good faith to assign a commission rate to such new account based upon the Guiding Principles described below. The commission rate for existing customer accounts may be changed from time to time by mutual agreement of the parties based upon changes in the manner in which the customer is supported or other factors. Company shall pay to Representative the commission via bank wire transfer on a monthly basis pursuant to Section 6 of the Agreement.</w:t>
      </w:r>
    </w:p>
    <w:p>
      <w:pPr>
        <w:spacing w:after="0" w:line="3" w:lineRule="exact"/>
        <w:rPr>
          <w:rFonts w:ascii="Arial" w:cs="Arial" w:eastAsia="Arial" w:hAnsi="Arial"/>
          <w:sz w:val="19"/>
          <w:szCs w:val="19"/>
          <w:color w:val="auto"/>
        </w:rPr>
      </w:pPr>
    </w:p>
    <w:p>
      <w:pPr>
        <w:ind w:left="440" w:right="100" w:hanging="440"/>
        <w:spacing w:after="0" w:line="252" w:lineRule="auto"/>
        <w:tabs>
          <w:tab w:leader="none" w:pos="4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Guiding Principles: In general, unless otherwise agreed by the parties Company shall pay Representative a commission at the rate of (i) [*] percent ([*]%) for sales of products related to a design win generated by Representative, and (ii) [*] percent ([*]%) for sales of products related to a design win generated by the Company or one of the Company's other sales representatives or agents. The commission rate for sales made to an ODM or contract manufacturer will generally be the same as for the commission rate of the OEM with whom the design win was procured.</w:t>
      </w:r>
    </w:p>
    <w:p>
      <w:pPr>
        <w:ind w:left="440" w:right="640" w:hanging="440"/>
        <w:spacing w:after="0" w:line="244" w:lineRule="auto"/>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Process for New Accounts: The parties will update the Commission Table from time to time as appropriate to add or delete customer accounts falling within Representative's Territory.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4</w:t>
      </w:r>
      <w:r>
        <w:rPr>
          <w:rFonts w:ascii="Arial" w:cs="Arial" w:eastAsia="Arial" w:hAnsi="Arial"/>
          <w:sz w:val="20"/>
          <w:szCs w:val="20"/>
          <w:color w:val="auto"/>
        </w:rPr>
        <w:t xml:space="preserve"> of </w:t>
      </w:r>
      <w:r>
        <w:rPr>
          <w:rFonts w:ascii="Arial" w:cs="Arial" w:eastAsia="Arial" w:hAnsi="Arial"/>
          <w:sz w:val="20"/>
          <w:szCs w:val="20"/>
          <w:b w:val="1"/>
          <w:bCs w:val="1"/>
          <w:color w:val="auto"/>
        </w:rPr>
        <w:t>4</w:t>
      </w:r>
    </w:p>
    <w:p>
      <w:pPr>
        <w:sectPr>
          <w:pgSz w:w="11900" w:h="16838" w:orient="portrait"/>
          <w:cols w:equalWidth="0" w:num="1">
            <w:col w:w="10800"/>
          </w:cols>
          <w:pgMar w:left="760" w:top="57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1920"/>
        <w:spacing w:after="0" w:line="266"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p>
      <w:pPr>
        <w:spacing w:after="0" w:line="23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Feng-Ming Wang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1940"/>
        <w:spacing w:after="0" w:line="266"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Kevin C. Eichler,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5715</wp:posOffset>
            </wp:positionV>
            <wp:extent cx="2837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Kevin C. Eichler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Quarterly Report of Ambarella, Inc. on Form 10-Q for the fiscal quarter ended July 31, 2021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Feng-Ming Wang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Kevin C. Eichler, certify, pursuant to 18 U.S.C. Section 1350, as adopted pursuant to Section 906 of the Sarbanes-Oxley Act of 2002, that the Quarterly Report of Ambarella, Inc. on Form 10-Q for the fiscal quarter ended July 31, 2021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Eichler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Kevin C. Eichler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9"/>
    </w:lvl>
  </w:abstractNum>
  <w:abstractNum w:abstractNumId="3">
    <w:nsid w:val="7FDCC233"/>
    <w:multiLevelType w:val="hybridMultilevel"/>
    <w:lvl w:ilvl="0">
      <w:lvlJc w:val="left"/>
      <w:lvlText w:val="%1."/>
      <w:numFmt w:val="decimal"/>
      <w:start w:val="13"/>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04"/>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4"/>
    </w:lvl>
  </w:abstractNum>
  <w:abstractNum w:abstractNumId="22">
    <w:nsid w:val="75A2A8D4"/>
    <w:multiLevelType w:val="hybridMultilevel"/>
    <w:lvl w:ilvl="0">
      <w:lvlJc w:val="left"/>
      <w:lvlText w:val="%1."/>
      <w:numFmt w:val="upp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1" Type="http://schemas.openxmlformats.org/officeDocument/2006/relationships/hyperlink" Target="http://www.sec.gov/Archives/edgar/data/0001280263/000119312512389774/d193541dex32.htm" TargetMode="External"/><Relationship Id="rId82" Type="http://schemas.openxmlformats.org/officeDocument/2006/relationships/hyperlink" Target="http://www.sec.gov/Archives/edgar/data/1280263/000119312521197400/d17792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2021-09-08T12:20:02Z</dcterms:created>
  <dcterms:modified xsi:type="dcterms:W3CDTF">2021-09-08T12:20:02Z</dcterms:modified>
</cp:coreProperties>
</file>