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right="140" w:hanging="572"/>
        <w:spacing w:after="0" w:line="245"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right="140" w:hanging="572"/>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to ______</w:t>
            </w:r>
          </w:p>
        </w:tc>
      </w:tr>
      <w:tr>
        <w:trPr>
          <w:trHeight w:val="20"/>
        </w:trPr>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345"/>
        </w:trPr>
        <w:tc>
          <w:tcPr>
            <w:tcW w:w="366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Times New Roman" w:cs="Times New Roman" w:eastAsia="Times New Roman" w:hAnsi="Times New Roman"/>
                <w:sz w:val="18"/>
                <w:szCs w:val="18"/>
                <w:b w:val="1"/>
                <w:bCs w:val="1"/>
                <w:color w:val="auto"/>
              </w:rPr>
              <w:t>98-0459628</w:t>
            </w:r>
          </w:p>
        </w:tc>
        <w:tc>
          <w:tcPr>
            <w:tcW w:w="0" w:type="dxa"/>
            <w:vAlign w:val="bottom"/>
          </w:tcPr>
          <w:p>
            <w:pPr>
              <w:spacing w:after="0"/>
              <w:rPr>
                <w:sz w:val="1"/>
                <w:szCs w:val="1"/>
                <w:color w:val="auto"/>
              </w:rPr>
            </w:pPr>
          </w:p>
        </w:tc>
      </w:tr>
      <w:tr>
        <w:trPr>
          <w:trHeight w:val="149"/>
        </w:trPr>
        <w:tc>
          <w:tcPr>
            <w:tcW w:w="4500" w:type="dxa"/>
            <w:vAlign w:val="bottom"/>
            <w:gridSpan w:val="2"/>
          </w:tcPr>
          <w:p>
            <w:pPr>
              <w:jc w:val="center"/>
              <w:ind w:left="109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3001 Tasman Drive</w:t>
            </w: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Santa Clara, California</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3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36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8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62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5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$0.00045 Par Value Per Share</w:t>
            </w:r>
          </w:p>
        </w:tc>
        <w:tc>
          <w:tcPr>
            <w:tcW w:w="620" w:type="dxa"/>
            <w:vAlign w:val="bottom"/>
            <w:tcBorders>
              <w:bottom w:val="single" w:sz="8" w:color="auto"/>
            </w:tcBorders>
          </w:tcPr>
          <w:p>
            <w:pPr>
              <w:spacing w:after="0"/>
              <w:rPr>
                <w:sz w:val="22"/>
                <w:szCs w:val="22"/>
                <w:color w:val="auto"/>
              </w:rPr>
            </w:pPr>
          </w:p>
        </w:tc>
        <w:tc>
          <w:tcPr>
            <w:tcW w:w="3040" w:type="dxa"/>
            <w:vAlign w:val="bottom"/>
            <w:tcBorders>
              <w:bottom w:val="single" w:sz="8" w:color="auto"/>
              <w:right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9"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56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ordinary shares of the Registrant outstanding as of May 28, 2026 was 43,868,185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412"/>
        </w:trPr>
        <w:tc>
          <w:tcPr>
            <w:tcW w:w="105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280" w:type="dxa"/>
            <w:vAlign w:val="bottom"/>
            <w:tcBorders>
              <w:top w:val="single" w:sz="8" w:color="auto"/>
            </w:tcBorders>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7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320" w:type="dxa"/>
            <w:vAlign w:val="bottom"/>
            <w:tcBorders>
              <w:top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Financial Statements</w:t>
            </w:r>
          </w:p>
        </w:tc>
        <w:tc>
          <w:tcPr>
            <w:tcW w:w="7480" w:type="dxa"/>
            <w:vAlign w:val="bottom"/>
            <w:gridSpan w:val="11"/>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8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66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Sheets at April 30, 2026 and January 31, 2026</w:t>
            </w:r>
          </w:p>
        </w:tc>
        <w:tc>
          <w:tcPr>
            <w:tcW w:w="3180" w:type="dxa"/>
            <w:vAlign w:val="bottom"/>
            <w:gridSpan w:val="5"/>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780" w:type="dxa"/>
            <w:vAlign w:val="bottom"/>
          </w:tcPr>
          <w:p>
            <w:pPr>
              <w:spacing w:after="0"/>
              <w:rPr>
                <w:sz w:val="24"/>
                <w:szCs w:val="24"/>
                <w:color w:val="auto"/>
              </w:rPr>
            </w:pPr>
          </w:p>
        </w:tc>
        <w:tc>
          <w:tcPr>
            <w:tcW w:w="826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months ended April 30, 2026 and 2025</w:t>
            </w:r>
          </w:p>
        </w:tc>
        <w:tc>
          <w:tcPr>
            <w:tcW w:w="20" w:type="dxa"/>
            <w:vAlign w:val="bottom"/>
            <w:tcBorders>
              <w:bottom w:val="single" w:sz="8" w:color="0000EE"/>
            </w:tcBorders>
          </w:tcPr>
          <w:p>
            <w:pPr>
              <w:spacing w:after="0"/>
              <w:rPr>
                <w:sz w:val="24"/>
                <w:szCs w:val="24"/>
                <w:color w:val="auto"/>
              </w:rPr>
            </w:pPr>
          </w:p>
        </w:tc>
        <w:tc>
          <w:tcPr>
            <w:tcW w:w="1520" w:type="dxa"/>
            <w:vAlign w:val="bottom"/>
            <w:gridSpan w:val="3"/>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780" w:type="dxa"/>
            <w:vAlign w:val="bottom"/>
          </w:tcPr>
          <w:p>
            <w:pPr>
              <w:spacing w:after="0"/>
              <w:rPr>
                <w:sz w:val="24"/>
                <w:szCs w:val="24"/>
                <w:color w:val="auto"/>
              </w:rPr>
            </w:pPr>
          </w:p>
        </w:tc>
        <w:tc>
          <w:tcPr>
            <w:tcW w:w="98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Loss for the three months ended April 30, 2026 and 2025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900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Shareholders’ Equity for the three months ended April 30, 2026 and 2025</w:t>
            </w:r>
          </w:p>
        </w:tc>
        <w:tc>
          <w:tcPr>
            <w:tcW w:w="8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780" w:type="dxa"/>
            <w:vAlign w:val="bottom"/>
          </w:tcPr>
          <w:p>
            <w:pPr>
              <w:spacing w:after="0"/>
              <w:rPr>
                <w:sz w:val="24"/>
                <w:szCs w:val="24"/>
                <w:color w:val="auto"/>
              </w:rPr>
            </w:pPr>
          </w:p>
        </w:tc>
        <w:tc>
          <w:tcPr>
            <w:tcW w:w="832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three months ended April 30, 2026 and 2025</w:t>
            </w:r>
          </w:p>
        </w:tc>
        <w:tc>
          <w:tcPr>
            <w:tcW w:w="1480" w:type="dxa"/>
            <w:vAlign w:val="bottom"/>
            <w:gridSpan w:val="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780" w:type="dxa"/>
            <w:vAlign w:val="bottom"/>
          </w:tcPr>
          <w:p>
            <w:pPr>
              <w:spacing w:after="0"/>
              <w:rPr>
                <w:sz w:val="24"/>
                <w:szCs w:val="24"/>
                <w:color w:val="auto"/>
              </w:rPr>
            </w:pPr>
          </w:p>
        </w:tc>
        <w:tc>
          <w:tcPr>
            <w:tcW w:w="482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24"/>
                <w:szCs w:val="24"/>
                <w:color w:val="auto"/>
              </w:rPr>
            </w:pPr>
          </w:p>
        </w:tc>
        <w:tc>
          <w:tcPr>
            <w:tcW w:w="4960" w:type="dxa"/>
            <w:vAlign w:val="bottom"/>
            <w:gridSpan w:val="7"/>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50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00" w:type="dxa"/>
            <w:vAlign w:val="bottom"/>
            <w:gridSpan w:val="6"/>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40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400" w:type="dxa"/>
            <w:vAlign w:val="bottom"/>
            <w:gridSpan w:val="9"/>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8000" w:type="dxa"/>
            <w:vAlign w:val="bottom"/>
            <w:gridSpan w:val="13"/>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9"/>
        </w:trPr>
        <w:tc>
          <w:tcPr>
            <w:tcW w:w="105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7"/>
        </w:trPr>
        <w:tc>
          <w:tcPr>
            <w:tcW w:w="7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6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60" w:type="dxa"/>
            <w:vAlign w:val="bottom"/>
            <w:tcBorders>
              <w:top w:val="single" w:sz="8" w:color="0000FF"/>
            </w:tcBorders>
            <w:gridSpan w:val="3"/>
          </w:tcPr>
          <w:p>
            <w:pPr>
              <w:spacing w:after="0"/>
              <w:rPr>
                <w:sz w:val="24"/>
                <w:szCs w:val="24"/>
                <w:color w:val="auto"/>
              </w:rPr>
            </w:pPr>
          </w:p>
        </w:tc>
        <w:tc>
          <w:tcPr>
            <w:tcW w:w="7780" w:type="dxa"/>
            <w:vAlign w:val="bottom"/>
            <w:gridSpan w:val="1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8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420" w:type="dxa"/>
            <w:vAlign w:val="bottom"/>
            <w:gridSpan w:val="10"/>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460" w:type="dxa"/>
            <w:vAlign w:val="bottom"/>
            <w:gridSpan w:val="16"/>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8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6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86"/>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114,443</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794,838</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53,278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189,020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Preference shares, $0.00045 par value per share, 20,000,000 shares authorized and no shares issued</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at April 30, 2026 and January 31, 2026, respectively</w:t>
            </w:r>
          </w:p>
        </w:tc>
        <w:tc>
          <w:tcPr>
            <w:tcW w:w="3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Ordinary shares, $0.00045 par value per share, 200,000,000 shares authorized; 43,861,484 and</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43,305,592 shares issued and outstanding at April 30, 2026 and January 31, 2026, respectively</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(346,015)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(327,922)</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605,818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794,838</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-4088130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-3256915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42"/>
        </w:trPr>
        <w:tc>
          <w:tcPr>
            <w:tcW w:w="79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100,357</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85,872</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34,336</w:t>
            </w:r>
          </w:p>
        </w:tc>
        <w:tc>
          <w:tcPr>
            <w:tcW w:w="100" w:type="dxa"/>
            <w:vAlign w:val="bottom"/>
          </w:tcPr>
          <w:p>
            <w:pPr>
              <w:spacing w:after="0"/>
              <w:rPr>
                <w:sz w:val="18"/>
                <w:szCs w:val="18"/>
                <w:color w:val="auto"/>
              </w:rPr>
            </w:pPr>
          </w:p>
        </w:tc>
      </w:tr>
      <w:tr>
        <w:trPr>
          <w:trHeight w:val="21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58,140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58,819</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tcPr>
          <w:p>
            <w:pPr>
              <w:spacing w:after="0"/>
              <w:rPr>
                <w:sz w:val="18"/>
                <w:szCs w:val="18"/>
                <w:color w:val="auto"/>
              </w:rPr>
            </w:pPr>
          </w:p>
        </w:tc>
      </w:tr>
      <w:tr>
        <w:trPr>
          <w:trHeight w:val="21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78,005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(25,858)</w:t>
            </w: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(23,683)</w:t>
            </w: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(18,093)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(24,328)</w:t>
            </w:r>
          </w:p>
        </w:tc>
      </w:tr>
      <w:tr>
        <w:trPr>
          <w:trHeight w:val="20"/>
        </w:trPr>
        <w:tc>
          <w:tcPr>
            <w:tcW w:w="7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r>
      <w:tr>
        <w:trPr>
          <w:trHeight w:val="20"/>
        </w:trPr>
        <w:tc>
          <w:tcPr>
            <w:tcW w:w="7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90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44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(0.58)</w:t>
            </w:r>
          </w:p>
        </w:tc>
      </w:tr>
      <w:tr>
        <w:trPr>
          <w:trHeight w:val="197"/>
        </w:trPr>
        <w:tc>
          <w:tcPr>
            <w:tcW w:w="79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ordinary shareholders: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43,605,282</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42,219,972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79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43,605,282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42,219,972</w:t>
            </w:r>
          </w:p>
        </w:tc>
        <w:tc>
          <w:tcPr>
            <w:tcW w:w="100" w:type="dxa"/>
            <w:vAlign w:val="bottom"/>
          </w:tcPr>
          <w:p>
            <w:pPr>
              <w:spacing w:after="0"/>
              <w:rPr>
                <w:sz w:val="17"/>
                <w:szCs w:val="17"/>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-2228215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-1662430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-1379220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-1096645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-487680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-471170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14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(18,093)</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(24,328)</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2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FF0FC"/>
          </w:tcPr>
          <w:p>
            <w:pPr>
              <w:spacing w:after="0"/>
              <w:rPr>
                <w:sz w:val="18"/>
                <w:szCs w:val="18"/>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21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(18,833)</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(23,769)</w:t>
            </w: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780" w:type="dxa"/>
            <w:vAlign w:val="bottom"/>
            <w:gridSpan w:val="4"/>
          </w:tcPr>
          <w:p>
            <w:pPr>
              <w:jc w:val="center"/>
              <w:ind w:left="1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780" w:type="dxa"/>
            <w:vAlign w:val="bottom"/>
            <w:gridSpan w:val="4"/>
            <w:vMerge w:val="restart"/>
          </w:tcPr>
          <w:p>
            <w:pPr>
              <w:jc w:val="center"/>
              <w:ind w:left="130"/>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780" w:type="dxa"/>
            <w:vAlign w:val="bottom"/>
            <w:tcBorders>
              <w:bottom w:val="single" w:sz="8" w:color="auto"/>
            </w:tcBorders>
            <w:gridSpan w:val="4"/>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1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Balance--January 31, 2026</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43,305,592</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922,119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573</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(327,922)</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594,789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517,029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86,661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 repurchase</w:t>
            </w: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(47,798)</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(2,441)</w:t>
            </w: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(2,441)</w:t>
            </w:r>
          </w:p>
        </w:tc>
        <w:tc>
          <w:tcPr>
            <w:tcW w:w="0" w:type="dxa"/>
            <w:vAlign w:val="bottom"/>
          </w:tcPr>
          <w:p>
            <w:pPr>
              <w:spacing w:after="0"/>
              <w:rPr>
                <w:sz w:val="1"/>
                <w:szCs w:val="1"/>
                <w:color w:val="auto"/>
              </w:rPr>
            </w:pPr>
          </w:p>
        </w:tc>
      </w:tr>
      <w:tr>
        <w:trPr>
          <w:trHeight w:val="148"/>
        </w:trPr>
        <w:tc>
          <w:tcPr>
            <w:tcW w:w="47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20,845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48"/>
        </w:trPr>
        <w:tc>
          <w:tcPr>
            <w:tcW w:w="47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(18,093)</w:t>
            </w:r>
          </w:p>
        </w:tc>
        <w:tc>
          <w:tcPr>
            <w:tcW w:w="1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(18,093)</w:t>
            </w:r>
          </w:p>
        </w:tc>
        <w:tc>
          <w:tcPr>
            <w:tcW w:w="0" w:type="dxa"/>
            <w:vAlign w:val="bottom"/>
          </w:tcPr>
          <w:p>
            <w:pPr>
              <w:spacing w:after="0"/>
              <w:rPr>
                <w:sz w:val="1"/>
                <w:szCs w:val="1"/>
                <w:color w:val="auto"/>
              </w:rPr>
            </w:pPr>
          </w:p>
        </w:tc>
      </w:tr>
      <w:tr>
        <w:trPr>
          <w:trHeight w:val="142"/>
        </w:trPr>
        <w:tc>
          <w:tcPr>
            <w:tcW w:w="47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Balance--April 30, 2026</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43,861,484</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53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951,980</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(167)</w:t>
            </w:r>
          </w:p>
        </w:tc>
        <w:tc>
          <w:tcPr>
            <w:tcW w:w="20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31"/>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(346,015)</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605,818</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4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780" w:type="dxa"/>
            <w:vAlign w:val="bottom"/>
            <w:gridSpan w:val="4"/>
          </w:tcPr>
          <w:p>
            <w:pPr>
              <w:jc w:val="center"/>
              <w:ind w:left="1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780" w:type="dxa"/>
            <w:vAlign w:val="bottom"/>
            <w:gridSpan w:val="4"/>
            <w:vMerge w:val="restart"/>
          </w:tcPr>
          <w:p>
            <w:pPr>
              <w:jc w:val="center"/>
              <w:ind w:left="130"/>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780" w:type="dxa"/>
            <w:vAlign w:val="bottom"/>
            <w:tcBorders>
              <w:bottom w:val="single" w:sz="8" w:color="auto"/>
            </w:tcBorders>
            <w:gridSpan w:val="4"/>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1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Balance--January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41,963,959</w:t>
            </w:r>
          </w:p>
        </w:tc>
        <w:tc>
          <w:tcPr>
            <w:tcW w:w="140" w:type="dxa"/>
            <w:vAlign w:val="bottom"/>
          </w:tcPr>
          <w:p>
            <w:pPr>
              <w:spacing w:after="0"/>
              <w:rPr>
                <w:sz w:val="18"/>
                <w:szCs w:val="18"/>
                <w:color w:val="auto"/>
              </w:rPr>
            </w:pPr>
          </w:p>
        </w:tc>
        <w:tc>
          <w:tcPr>
            <w:tcW w:w="760" w:type="dxa"/>
            <w:vAlign w:val="bottom"/>
            <w:gridSpan w:val="2"/>
          </w:tcPr>
          <w:p>
            <w:pPr>
              <w:jc w:val="right"/>
              <w:ind w:right="53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813,683</w:t>
            </w: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(233)</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(252,057)</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7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375,046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98,755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 repurchase</w:t>
            </w:r>
          </w:p>
        </w:tc>
        <w:tc>
          <w:tcPr>
            <w:tcW w:w="10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(24,152)</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4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(24,328)</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(24,328)</w:t>
            </w:r>
          </w:p>
        </w:tc>
        <w:tc>
          <w:tcPr>
            <w:tcW w:w="0" w:type="dxa"/>
            <w:vAlign w:val="bottom"/>
          </w:tcPr>
          <w:p>
            <w:pPr>
              <w:spacing w:after="0"/>
              <w:rPr>
                <w:sz w:val="1"/>
                <w:szCs w:val="1"/>
                <w:color w:val="auto"/>
              </w:rPr>
            </w:pPr>
          </w:p>
        </w:tc>
      </w:tr>
      <w:tr>
        <w:trPr>
          <w:trHeight w:val="182"/>
        </w:trPr>
        <w:tc>
          <w:tcPr>
            <w:tcW w:w="47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Balance--April 30, 2025</w:t>
            </w:r>
          </w:p>
        </w:tc>
        <w:tc>
          <w:tcPr>
            <w:tcW w:w="8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42,413,608</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jc w:val="right"/>
              <w:ind w:right="53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848,756</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326</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31"/>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(276,385)</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572,716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-1610995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-1610995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-1610995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-1610995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-1610995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tcPr>
          <w:p>
            <w:pPr>
              <w:jc w:val="right"/>
              <w:ind w:right="84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(18,093)</w:t>
            </w: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(24,328)</w:t>
            </w:r>
          </w:p>
        </w:tc>
      </w:tr>
      <w:tr>
        <w:trPr>
          <w:trHeight w:val="203"/>
        </w:trPr>
        <w:tc>
          <w:tcPr>
            <w:tcW w:w="7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(used in) operating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6,748</w:t>
            </w: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9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Stock-based compensation</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21,893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26,130</w:t>
            </w: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Deferred income taxes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 non-cash items, net</w:t>
            </w:r>
          </w:p>
        </w:tc>
        <w:tc>
          <w:tcPr>
            <w:tcW w:w="9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(239)</w:t>
            </w:r>
          </w:p>
        </w:tc>
      </w:tr>
      <w:tr>
        <w:trPr>
          <w:trHeight w:val="203"/>
        </w:trPr>
        <w:tc>
          <w:tcPr>
            <w:tcW w:w="7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receivable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(468)</w:t>
            </w:r>
          </w:p>
        </w:tc>
      </w:tr>
      <w:tr>
        <w:trPr>
          <w:trHeight w:val="202"/>
        </w:trPr>
        <w:tc>
          <w:tcPr>
            <w:tcW w:w="774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Inventories</w:t>
            </w:r>
          </w:p>
        </w:tc>
        <w:tc>
          <w:tcPr>
            <w:tcW w:w="9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(27,999)</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(4,861)</w:t>
            </w: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(1,577)</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(113)</w:t>
            </w:r>
          </w:p>
        </w:tc>
      </w:tr>
      <w:tr>
        <w:trPr>
          <w:trHeight w:val="203"/>
        </w:trPr>
        <w:tc>
          <w:tcPr>
            <w:tcW w:w="774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non-current assets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9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(1,552)</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15,368</w:t>
            </w: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(692)</w:t>
            </w: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Income taxes payable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Deferred revenue</w:t>
            </w:r>
          </w:p>
        </w:tc>
        <w:tc>
          <w:tcPr>
            <w:tcW w:w="9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(5,282)</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(1,984)</w:t>
            </w: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(971)</w:t>
            </w:r>
          </w:p>
        </w:tc>
      </w:tr>
      <w:tr>
        <w:trPr>
          <w:trHeight w:val="203"/>
        </w:trPr>
        <w:tc>
          <w:tcPr>
            <w:tcW w:w="7740" w:type="dxa"/>
            <w:vAlign w:val="bottom"/>
            <w:tcBorders>
              <w:bottom w:val="single" w:sz="8" w:color="CFF0FC"/>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9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9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(25,626)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14,801</w:t>
            </w:r>
          </w:p>
        </w:tc>
        <w:tc>
          <w:tcPr>
            <w:tcW w:w="100" w:type="dxa"/>
            <w:vAlign w:val="bottom"/>
          </w:tcPr>
          <w:p>
            <w:pPr>
              <w:spacing w:after="0"/>
              <w:rPr>
                <w:sz w:val="17"/>
                <w:szCs w:val="17"/>
                <w:color w:val="auto"/>
              </w:rPr>
            </w:pPr>
          </w:p>
        </w:tc>
      </w:tr>
      <w:tr>
        <w:trPr>
          <w:trHeight w:val="196"/>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investments</w:t>
            </w:r>
          </w:p>
        </w:tc>
        <w:tc>
          <w:tcPr>
            <w:tcW w:w="9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(55,177)</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(21,048)</w:t>
            </w:r>
          </w:p>
        </w:tc>
      </w:tr>
      <w:tr>
        <w:trPr>
          <w:trHeight w:val="203"/>
        </w:trPr>
        <w:tc>
          <w:tcPr>
            <w:tcW w:w="7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Sales of investments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8,936</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100" w:type="dxa"/>
            <w:vAlign w:val="bottom"/>
            <w:shd w:val="clear" w:color="auto" w:fill="CFF0FC"/>
          </w:tcPr>
          <w:p>
            <w:pPr>
              <w:spacing w:after="0"/>
              <w:rPr>
                <w:sz w:val="17"/>
                <w:szCs w:val="17"/>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8,031</w:t>
            </w:r>
          </w:p>
        </w:tc>
        <w:tc>
          <w:tcPr>
            <w:tcW w:w="100" w:type="dxa"/>
            <w:vAlign w:val="bottom"/>
          </w:tcPr>
          <w:p>
            <w:pPr>
              <w:spacing w:after="0"/>
              <w:rPr>
                <w:sz w:val="18"/>
                <w:szCs w:val="18"/>
                <w:color w:val="auto"/>
              </w:rPr>
            </w:pPr>
          </w:p>
        </w:tc>
      </w:tr>
      <w:tr>
        <w:trPr>
          <w:trHeight w:val="203"/>
        </w:trPr>
        <w:tc>
          <w:tcPr>
            <w:tcW w:w="7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9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(3,957)</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(4,565)</w:t>
            </w:r>
          </w:p>
        </w:tc>
      </w:tr>
      <w:tr>
        <w:trPr>
          <w:trHeight w:val="20"/>
        </w:trPr>
        <w:tc>
          <w:tcPr>
            <w:tcW w:w="774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(46,294)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(16,154)</w:t>
            </w:r>
          </w:p>
        </w:tc>
      </w:tr>
      <w:tr>
        <w:trPr>
          <w:trHeight w:val="196"/>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 repurchase</w:t>
            </w:r>
          </w:p>
        </w:tc>
        <w:tc>
          <w:tcPr>
            <w:tcW w:w="9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(2,441)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r>
      <w:tr>
        <w:trPr>
          <w:trHeight w:val="203"/>
        </w:trPr>
        <w:tc>
          <w:tcPr>
            <w:tcW w:w="7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3,609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2,627</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financing payment for intangible assets</w:t>
            </w:r>
          </w:p>
        </w:tc>
        <w:tc>
          <w:tcPr>
            <w:tcW w:w="9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(5,824)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(3,177)</w:t>
            </w:r>
          </w:p>
        </w:tc>
      </w:tr>
      <w:tr>
        <w:trPr>
          <w:trHeight w:val="20"/>
        </w:trPr>
        <w:tc>
          <w:tcPr>
            <w:tcW w:w="7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tcBorders>
              <w:right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9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(4,656)</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(1,550)</w:t>
            </w:r>
          </w:p>
        </w:tc>
      </w:tr>
      <w:tr>
        <w:trPr>
          <w:trHeight w:val="20"/>
        </w:trPr>
        <w:tc>
          <w:tcPr>
            <w:tcW w:w="774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9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(76,576)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(2,903)</w:t>
            </w:r>
          </w:p>
        </w:tc>
      </w:tr>
      <w:tr>
        <w:trPr>
          <w:trHeight w:val="203"/>
        </w:trPr>
        <w:tc>
          <w:tcPr>
            <w:tcW w:w="77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191,461</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144,629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960" w:type="dxa"/>
            <w:vAlign w:val="bottom"/>
          </w:tcPr>
          <w:p>
            <w:pPr>
              <w:jc w:val="right"/>
              <w:ind w:right="8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114,885</w:t>
            </w:r>
          </w:p>
        </w:tc>
        <w:tc>
          <w:tcPr>
            <w:tcW w:w="180" w:type="dxa"/>
            <w:vAlign w:val="bottom"/>
          </w:tcPr>
          <w:p>
            <w:pPr>
              <w:spacing w:after="0"/>
              <w:rPr>
                <w:sz w:val="17"/>
                <w:szCs w:val="17"/>
                <w:color w:val="auto"/>
              </w:rPr>
            </w:pP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141,726</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tcBorders>
              <w:right w:val="single" w:sz="8" w:color="CFF0FC"/>
            </w:tcBorders>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960" w:type="dxa"/>
            <w:vAlign w:val="bottom"/>
          </w:tcPr>
          <w:p>
            <w:pPr>
              <w:jc w:val="right"/>
              <w:ind w:right="8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80" w:type="dxa"/>
            <w:vAlign w:val="bottom"/>
          </w:tcPr>
          <w:p>
            <w:pPr>
              <w:spacing w:after="0"/>
              <w:rPr>
                <w:sz w:val="17"/>
                <w:szCs w:val="17"/>
                <w:color w:val="auto"/>
              </w:rPr>
            </w:pP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tcBorders>
              <w:right w:val="single" w:sz="8" w:color="CFF0FC"/>
            </w:tcBorders>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noncash investing activities:</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960" w:type="dxa"/>
            <w:vAlign w:val="bottom"/>
          </w:tcPr>
          <w:p>
            <w:pPr>
              <w:jc w:val="right"/>
              <w:ind w:right="8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5,746</w:t>
            </w:r>
          </w:p>
        </w:tc>
        <w:tc>
          <w:tcPr>
            <w:tcW w:w="180" w:type="dxa"/>
            <w:vAlign w:val="bottom"/>
          </w:tcPr>
          <w:p>
            <w:pPr>
              <w:spacing w:after="0"/>
              <w:rPr>
                <w:sz w:val="17"/>
                <w:szCs w:val="17"/>
                <w:color w:val="auto"/>
              </w:rPr>
            </w:pP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3,519</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-2588260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-1790700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-993775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-728345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system-on-a-chip, or SoC, semiconductors and software for edge and physical artificial intelligence, or AI, applications and intelligent automation. The Company's technologies make electronic systems smarter, enabling them to become partially or fully autonomous with features such as intelligent automation, complex scene understanding, and autonomous decision-making. These systems perform multi-modal data fusion and complex data analysis in real time, delivering high quality imagery, and preserving vital system resources such as power and network bandwidth. The Company specializes in the development of deployable, scalable designs for intelligent electronic systems that utilize high-bandwidth sensors offering a proven path to mass production. The Company’s products are used in a wide variety of human viewing, computer vision and edge and physical AI applications, including a variety of automotive camera systems, video security cameras, fixed robots, autonomous mobile robots (AMRs), industrial applications, intelligent transportation systems, and consumer devices, such as action, drone and 360° cameras.</w:t>
      </w:r>
    </w:p>
    <w:p>
      <w:pPr>
        <w:spacing w:after="0" w:line="18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2026 fiscal year filed with the SEC on March 23, 2026 (the Form 10-K) and updated, as necessary, in this Form 10-Q. The year-end condensed consolidated balance sheet data presented for comparative purposes was derived from audited financial statements.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Company’s significant accounting policies described in Note 1, </w:t>
      </w:r>
      <w:r>
        <w:rPr>
          <w:rFonts w:ascii="Times New Roman" w:cs="Times New Roman" w:eastAsia="Times New Roman" w:hAnsi="Times New Roman"/>
          <w:sz w:val="18"/>
          <w:szCs w:val="18"/>
          <w:i w:val="1"/>
          <w:iCs w:val="1"/>
          <w:color w:val="auto"/>
        </w:rPr>
        <w:t>Organization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of the Notes to Consolidated Financial Statements included in the Company’s Annual Report on Form 10-K for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January 31, 2026.</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ind w:firstLine="554"/>
        <w:spacing w:after="0" w:line="261"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one of its distributors, WT Microelectronics Co., Ltd., formerly Wintech Microelectronics Co., Ltd., or WT, which serves as its non-exclusive sales representative and fulfillment partner in Asia other than Japan. Termination of the relationship with WT could result in a temporary or permanent loss of revenue. Furthermore, any credit issues from WT could impair its ability to make timely payment to the Company. See Note 15 for additional information regarding revenue and credit concentration with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fixed deposits, commercial paper, corporate bonds, asset-backed securities and U.S. government securities which management assesses to be highly liquid. The Company does not hold or issue financial instruments for trading purposes.</w:t>
      </w:r>
    </w:p>
    <w:p>
      <w:pPr>
        <w:spacing w:after="0" w:line="187"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restricted cash primarily consists of a Letter of Credit of approximately $0.4 million with a financial institution as collateral for the security deposit on its office lease located in Santa Clara, California, as well as those amounts required to be set aside to secure certain transactions in a foreign entity. The following table presents cash, cash equivalents and restricted cash reported on the condensed consolidated balance sheets, and the totals are presented on the condensed consolidated statements of cash flows: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21"/>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320" w:type="dxa"/>
            <w:vAlign w:val="bottom"/>
            <w:gridSpan w:val="3"/>
          </w:tcPr>
          <w:p>
            <w:pPr>
              <w:jc w:val="right"/>
              <w:ind w:right="738"/>
              <w:spacing w:after="0" w:line="155"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114,443</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191,019</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141,285</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as presented in the condensed consolidated</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114,885</w:t>
            </w:r>
          </w:p>
        </w:tc>
        <w:tc>
          <w:tcPr>
            <w:tcW w:w="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191,461</w:t>
            </w:r>
          </w:p>
        </w:tc>
        <w:tc>
          <w:tcPr>
            <w:tcW w:w="3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141,726</w:t>
            </w:r>
          </w:p>
        </w:tc>
        <w:tc>
          <w:tcPr>
            <w:tcW w:w="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statements of cash flows</w:t>
            </w:r>
          </w:p>
        </w:tc>
        <w:tc>
          <w:tcPr>
            <w:tcW w:w="280" w:type="dxa"/>
            <w:vAlign w:val="bottom"/>
            <w:gridSpan w:val="2"/>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-24765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This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requires public entities to provide disaggregated disclosures, in the notes to the financial statements, of certain categories of expenses that are included in expense line items on the face of the income statement. The ASU may be applied prospectively or retrospectively and is effective for fiscal years beginning after December 15, 2026 and for interim periods beginning after December 15, 2027. Early adoption is permitted. The Company expects to adopt this new guidance for its fiscal period ending January 31, 2028. The Company expects that such adoption will only have an impact on its financial disclosures and does not believe it will have a material impact on its consolidated financial statements.</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new guidance simplifies the estimation of credit losses on current accounts receivable and current contract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from transactions accounted for under Accounting Standards Codification (ASC)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and allows all entities to elect a practical expedient to assume that the current conditions as of the balance sheet date will remain unchanged for the remaining life of the asset when developing a reasonable and supportable forecast as part of estimating expected credit losses on these assets. The new guidance is effective for fiscal years beginning after December 15, 2025, and interim periods within those fiscal years. Early adoption is permitted. The Company adopted this new guidance and elected the practical expedient in its first quarter of fiscal year 2027. The adoption did not result in a material impact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121" w:lineRule="exact"/>
        <w:rPr>
          <w:sz w:val="20"/>
          <w:szCs w:val="20"/>
          <w:color w:val="auto"/>
        </w:rPr>
      </w:pPr>
    </w:p>
    <w:p>
      <w:pPr>
        <w:ind w:right="320" w:firstLine="554"/>
        <w:spacing w:after="0" w:line="261" w:lineRule="auto"/>
        <w:rPr>
          <w:sz w:val="20"/>
          <w:szCs w:val="20"/>
          <w:color w:val="auto"/>
        </w:rPr>
      </w:pPr>
      <w:r>
        <w:rPr>
          <w:rFonts w:ascii="Times New Roman" w:cs="Times New Roman" w:eastAsia="Times New Roman" w:hAnsi="Times New Roman"/>
          <w:sz w:val="18"/>
          <w:szCs w:val="18"/>
          <w:color w:val="auto"/>
        </w:rPr>
        <w:t>The Company invests a portion of its cash in money market funds, fixed deposits and marketable debt securities that are denominated in United States dollars. The marketable debt security portfolio consists of commercial paper, corporate bonds, asset-backed securities and U.S. government securities. All of the investments are classified as available-for-sale securities and reported at fair value in the condensed consolidated balance sheets as follows:</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5"/>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and fixed deposits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center"/>
              <w:ind w:lef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103,149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spacing w:after="0"/>
              <w:rPr>
                <w:sz w:val="17"/>
                <w:szCs w:val="17"/>
                <w:color w:val="auto"/>
              </w:rPr>
            </w:pPr>
          </w:p>
        </w:tc>
        <w:tc>
          <w:tcPr>
            <w:tcW w:w="1020" w:type="dxa"/>
            <w:vAlign w:val="bottom"/>
            <w:gridSpan w:val="2"/>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5"/>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As of January 31, 2026</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5"/>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and fixed deposits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center"/>
              <w:ind w:lef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63,777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181,979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2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-1568450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-1568450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-1568450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-1568450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breakdown of unrealized losses as of April 30, 2026 and January 31, 2026, respectively, aggregated by investment category and length of time that individual securities have been in a continuous loss position: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center"/>
              <w:ind w:left="204"/>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jc w:val="right"/>
              <w:ind w:right="268"/>
              <w:spacing w:after="0" w:line="124"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60,100</w:t>
            </w:r>
          </w:p>
        </w:tc>
        <w:tc>
          <w:tcPr>
            <w:tcW w:w="1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spacing w:after="0"/>
              <w:rPr>
                <w:sz w:val="20"/>
                <w:szCs w:val="20"/>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60,100</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90,079</w:t>
            </w:r>
          </w:p>
        </w:tc>
        <w:tc>
          <w:tcPr>
            <w:tcW w:w="140" w:type="dxa"/>
            <w:vAlign w:val="bottom"/>
            <w:shd w:val="clear" w:color="auto" w:fill="CFF0FC"/>
          </w:tcPr>
          <w:p>
            <w:pPr>
              <w:spacing w:after="0"/>
              <w:rPr>
                <w:sz w:val="16"/>
                <w:szCs w:val="16"/>
                <w:color w:val="auto"/>
              </w:rPr>
            </w:pPr>
          </w:p>
        </w:tc>
        <w:tc>
          <w:tcPr>
            <w:tcW w:w="2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spacing w:after="0"/>
              <w:rPr>
                <w:sz w:val="16"/>
                <w:szCs w:val="16"/>
                <w:color w:val="auto"/>
              </w:rPr>
            </w:pPr>
          </w:p>
        </w:tc>
        <w:tc>
          <w:tcPr>
            <w:tcW w:w="46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38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90,079</w:t>
            </w:r>
          </w:p>
        </w:tc>
        <w:tc>
          <w:tcPr>
            <w:tcW w:w="6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4"/>
        </w:trPr>
        <w:tc>
          <w:tcPr>
            <w:tcW w:w="3280" w:type="dxa"/>
            <w:vAlign w:val="bottom"/>
            <w:gridSpan w:val="2"/>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4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gridSpan w:val="2"/>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60" w:type="dxa"/>
            <w:vAlign w:val="bottom"/>
            <w:vMerge w:val="continue"/>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960" w:type="dxa"/>
            <w:vAlign w:val="bottom"/>
            <w:gridSpan w:val="3"/>
            <w:vMerge w:val="continue"/>
            <w:shd w:val="clear" w:color="auto" w:fill="CFF0FC"/>
          </w:tcPr>
          <w:p>
            <w:pPr>
              <w:spacing w:after="0"/>
              <w:rPr>
                <w:sz w:val="18"/>
                <w:szCs w:val="18"/>
                <w:color w:val="auto"/>
              </w:rPr>
            </w:pPr>
          </w:p>
        </w:tc>
        <w:tc>
          <w:tcPr>
            <w:tcW w:w="660" w:type="dxa"/>
            <w:vAlign w:val="bottom"/>
            <w:gridSpan w:val="2"/>
            <w:vMerge w:val="continue"/>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center"/>
              <w:ind w:left="204"/>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spacing w:after="0"/>
              <w:rPr>
                <w:sz w:val="18"/>
                <w:szCs w:val="18"/>
                <w:color w:val="auto"/>
              </w:rPr>
            </w:pPr>
          </w:p>
        </w:tc>
        <w:tc>
          <w:tcPr>
            <w:tcW w:w="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6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40" w:type="dxa"/>
            <w:vAlign w:val="bottom"/>
          </w:tcPr>
          <w:p>
            <w:pPr>
              <w:spacing w:after="0"/>
              <w:rPr>
                <w:sz w:val="16"/>
                <w:szCs w:val="16"/>
                <w:color w:val="auto"/>
              </w:rPr>
            </w:pP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spacing w:after="0"/>
              <w:rPr>
                <w:sz w:val="16"/>
                <w:szCs w:val="16"/>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4"/>
        </w:trPr>
        <w:tc>
          <w:tcPr>
            <w:tcW w:w="32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Borders>
              <w:bottom w:val="single" w:sz="8" w:color="auto"/>
            </w:tcBorders>
            <w:gridSpan w:val="3"/>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180" w:type="dxa"/>
            <w:vAlign w:val="bottom"/>
          </w:tcPr>
          <w:p>
            <w:pPr>
              <w:spacing w:after="0"/>
              <w:rPr>
                <w:sz w:val="13"/>
                <w:szCs w:val="13"/>
                <w:color w:val="auto"/>
              </w:rPr>
            </w:pPr>
          </w:p>
        </w:tc>
        <w:tc>
          <w:tcPr>
            <w:tcW w:w="1340" w:type="dxa"/>
            <w:vAlign w:val="bottom"/>
            <w:tcBorders>
              <w:bottom w:val="single" w:sz="8" w:color="auto"/>
            </w:tcBorders>
            <w:gridSpan w:val="5"/>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28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44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8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163,357</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4240" w:type="dxa"/>
            <w:vAlign w:val="bottom"/>
            <w:gridSpan w:val="8"/>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188,235</w:t>
            </w:r>
          </w:p>
        </w:tc>
        <w:tc>
          <w:tcPr>
            <w:tcW w:w="44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182,552</w:t>
            </w:r>
          </w:p>
        </w:tc>
        <w:tc>
          <w:tcPr>
            <w:tcW w:w="80" w:type="dxa"/>
            <w:vAlign w:val="bottom"/>
            <w:shd w:val="clear" w:color="auto" w:fill="CFF0FC"/>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700" w:type="dxa"/>
            <w:vAlign w:val="bottom"/>
          </w:tcPr>
          <w:p>
            <w:pPr>
              <w:spacing w:after="0"/>
              <w:rPr>
                <w:sz w:val="24"/>
                <w:szCs w:val="24"/>
                <w:color w:val="auto"/>
              </w:rPr>
            </w:pPr>
          </w:p>
        </w:tc>
        <w:tc>
          <w:tcPr>
            <w:tcW w:w="15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-3470910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-3453765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-3470910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-3453765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-3470910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-3453765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-3470910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-3453765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-3470910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-3453765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-3470910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-3453765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-2399665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-2399665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-2399665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-2399665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-2399665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-2399665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-933450</wp:posOffset>
            </wp:positionV>
            <wp:extent cx="431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-916305</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color w:val="auto"/>
        </w:rPr>
        <w:t>The contractual maturities of the investments at April 30, 2026 and January 31, 2026 were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9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58"/>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80" w:type="dxa"/>
            <w:vAlign w:val="bottom"/>
          </w:tcPr>
          <w:p>
            <w:pPr>
              <w:spacing w:after="0"/>
              <w:rPr>
                <w:sz w:val="13"/>
                <w:szCs w:val="13"/>
                <w:color w:val="auto"/>
              </w:rPr>
            </w:pPr>
          </w:p>
        </w:tc>
      </w:tr>
      <w:tr>
        <w:trPr>
          <w:trHeight w:val="210"/>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49,674</w:t>
            </w:r>
          </w:p>
        </w:tc>
        <w:tc>
          <w:tcPr>
            <w:tcW w:w="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84,844</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Due in 1 - 5 years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96,685</w:t>
            </w:r>
          </w:p>
        </w:tc>
        <w:tc>
          <w:tcPr>
            <w:tcW w:w="8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greater than 10 years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188,235</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182,552</w:t>
            </w:r>
          </w:p>
        </w:tc>
        <w:tc>
          <w:tcPr>
            <w:tcW w:w="8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431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unrealized gains and losses on the available-for-sale securities were primarily caused by fluctuations in market value and interest rates as a result of the economic environment.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(loss) in the condensed consolidated balance sheets. The credit-related losses were not material for the three months ended April 30, 2026 and 2025, respectively. The accrued interest on available-for-sale securities is included in marketable debt securities in the condensed consolidated balance sheets. As of April 30, 2026 and January 31, 2026, the accrued interest was approximately $1.5 million and $1.0 million, respectively.</w:t>
      </w:r>
    </w:p>
    <w:p>
      <w:pPr>
        <w:spacing w:after="0" w:line="19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fair value.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and fixed deposits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financial instruments measured on a recurring basis as of April 30, 2026 and January 31, 2026,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and fixed deposits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42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103,038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103,038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42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4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spacing w:after="0"/>
              <w:rPr>
                <w:sz w:val="17"/>
                <w:szCs w:val="17"/>
                <w:color w:val="auto"/>
              </w:rPr>
            </w:pPr>
          </w:p>
        </w:tc>
        <w:tc>
          <w:tcPr>
            <w:tcW w:w="1020" w:type="dxa"/>
            <w:vAlign w:val="bottom"/>
            <w:gridSpan w:val="2"/>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and fixed deposits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42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35,953</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35,953</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182,552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42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-2407920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-2407920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-2407920</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-2407920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-1079500</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-1079500</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-1079500</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-1079500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at April 30, 2026 and January 31, 2026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6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80" w:type="dxa"/>
            <w:vAlign w:val="bottom"/>
          </w:tcPr>
          <w:p>
            <w:pPr>
              <w:spacing w:after="0"/>
              <w:rPr>
                <w:sz w:val="13"/>
                <w:szCs w:val="13"/>
                <w:color w:val="auto"/>
              </w:rPr>
            </w:pPr>
          </w:p>
        </w:tc>
      </w:tr>
      <w:tr>
        <w:trPr>
          <w:trHeight w:val="142"/>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40" w:type="dxa"/>
            <w:vAlign w:val="bottom"/>
            <w:gridSpan w:val="3"/>
          </w:tcPr>
          <w:p>
            <w:pPr>
              <w:jc w:val="right"/>
              <w:ind w:right="1035"/>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center"/>
              <w:ind w:left="679"/>
              <w:spacing w:after="0"/>
              <w:rPr>
                <w:sz w:val="20"/>
                <w:szCs w:val="20"/>
                <w:color w:val="auto"/>
              </w:rPr>
            </w:pPr>
            <w:r>
              <w:rPr>
                <w:rFonts w:ascii="Times New Roman" w:cs="Times New Roman" w:eastAsia="Times New Roman" w:hAnsi="Times New Roman"/>
                <w:sz w:val="18"/>
                <w:szCs w:val="18"/>
                <w:color w:val="auto"/>
                <w:w w:val="96"/>
              </w:rPr>
              <w:t>58,158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35,507</w:t>
            </w:r>
          </w:p>
        </w:tc>
        <w:tc>
          <w:tcPr>
            <w:tcW w:w="8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679"/>
              <w:spacing w:after="0"/>
              <w:rPr>
                <w:sz w:val="20"/>
                <w:szCs w:val="20"/>
                <w:color w:val="auto"/>
              </w:rPr>
            </w:pPr>
            <w:r>
              <w:rPr>
                <w:rFonts w:ascii="Times New Roman" w:cs="Times New Roman" w:eastAsia="Times New Roman" w:hAnsi="Times New Roman"/>
                <w:sz w:val="18"/>
                <w:szCs w:val="18"/>
                <w:color w:val="auto"/>
                <w:w w:val="96"/>
              </w:rPr>
              <w:t>22,197</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16,739</w:t>
            </w:r>
          </w:p>
        </w:tc>
        <w:tc>
          <w:tcPr>
            <w:tcW w:w="80" w:type="dxa"/>
            <w:vAlign w:val="bottom"/>
          </w:tcPr>
          <w:p>
            <w:pPr>
              <w:spacing w:after="0"/>
              <w:rPr>
                <w:sz w:val="18"/>
                <w:szCs w:val="18"/>
                <w:color w:val="auto"/>
              </w:rPr>
            </w:pPr>
          </w:p>
        </w:tc>
      </w:tr>
      <w:tr>
        <w:trPr>
          <w:trHeight w:val="249"/>
        </w:trPr>
        <w:tc>
          <w:tcPr>
            <w:tcW w:w="4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center"/>
              <w:ind w:left="679"/>
              <w:spacing w:after="0"/>
              <w:rPr>
                <w:sz w:val="20"/>
                <w:szCs w:val="20"/>
                <w:color w:val="auto"/>
              </w:rPr>
            </w:pPr>
            <w:r>
              <w:rPr>
                <w:rFonts w:ascii="Times New Roman" w:cs="Times New Roman" w:eastAsia="Times New Roman" w:hAnsi="Times New Roman"/>
                <w:sz w:val="18"/>
                <w:szCs w:val="18"/>
                <w:color w:val="auto"/>
                <w:w w:val="96"/>
              </w:rPr>
              <w:t>80,355</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-25400</wp:posOffset>
            </wp:positionV>
            <wp:extent cx="43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$1.2 million and $1.1 million for the three months ended April 30, 2026 and 2025, respectively. Property and equipment at April 30, 2026 and January 31, 2026 consisted of the following:</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80" w:type="dxa"/>
            <w:vAlign w:val="bottom"/>
          </w:tcPr>
          <w:p>
            <w:pPr>
              <w:spacing w:after="0"/>
              <w:rPr>
                <w:sz w:val="13"/>
                <w:szCs w:val="13"/>
                <w:color w:val="auto"/>
              </w:rPr>
            </w:pPr>
          </w:p>
        </w:tc>
      </w:tr>
      <w:tr>
        <w:trPr>
          <w:trHeight w:val="142"/>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40" w:type="dxa"/>
            <w:vAlign w:val="bottom"/>
            <w:gridSpan w:val="4"/>
          </w:tcPr>
          <w:p>
            <w:pPr>
              <w:jc w:val="right"/>
              <w:ind w:right="932"/>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30,821</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Tools and equipment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8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8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43,637</w:t>
            </w:r>
          </w:p>
        </w:tc>
        <w:tc>
          <w:tcPr>
            <w:tcW w:w="8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(32,084)</w:t>
            </w:r>
          </w:p>
        </w:tc>
      </w:tr>
      <w:tr>
        <w:trPr>
          <w:trHeight w:val="209"/>
        </w:trPr>
        <w:tc>
          <w:tcPr>
            <w:tcW w:w="488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80" w:type="dxa"/>
            <w:vAlign w:val="bottom"/>
            <w:tcBorders>
              <w:top w:val="single" w:sz="8" w:color="CFF0FC"/>
            </w:tcBorders>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-453390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acquired in a business combination.</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 of software licenses as well as developed technology, customer relationships and trade name that were acquired from business combinations.</w:t>
      </w:r>
    </w:p>
    <w:p>
      <w:pPr>
        <w:spacing w:after="0" w:line="5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April 30, 2026, software license liabilities of approximately $11.1 million were recorded in accrued and other current liabilities and approximately $9.3 million were recorded in other long-term liabilities in the condensed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April 30, 2026 and January 31, 2026 were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As of April 30, 2026</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2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gridSpan w:val="3"/>
          </w:tcPr>
          <w:p>
            <w:pPr>
              <w:jc w:val="right"/>
              <w:ind w:right="479"/>
              <w:spacing w:after="0" w:line="155"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56,275</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(12,169)</w:t>
            </w:r>
          </w:p>
        </w:tc>
        <w:tc>
          <w:tcPr>
            <w:tcW w:w="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44,106</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51,194</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(9,279)</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41,915</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(6,600)</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(6,233)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93,175</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(34,151)</w:t>
            </w:r>
          </w:p>
        </w:tc>
        <w:tc>
          <w:tcPr>
            <w:tcW w:w="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59,024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88,094</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(30,048)</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58,046</w:t>
            </w:r>
          </w:p>
        </w:tc>
        <w:tc>
          <w:tcPr>
            <w:tcW w:w="10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230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-933450</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-916940</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-933450</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-916940</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-933450</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-916940</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-916940</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-933450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-916940</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-933450</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-916940</wp:posOffset>
            </wp:positionV>
            <wp:extent cx="596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During the three months ended April 30, 2026, there were approximately $5.3 million of software licenses purchased and approximately $0.2 million of software licenses expired. The amortization expense associated with software licenses was approximately $3.1 million and $3.5 million for the three months ended April 30, 2026 and 2025, respectively. The amortization expense associated with acquisition-related intangible assets, including developed technology, customer relationships and trade name, was approximately $1.2 million and $1.2 million for the three months ended April 30, 2026 and 2025, respectively. As of April 30, 2026, the Company has not commenced amortization with respect to approximately $12.8 million of software licenses with alternative uses that are to be sold, leased or otherwise marketed as part of products. Once the associated products are available for general release to customers, the Company will commence amortization on a product-by-product basis over the remaining estimated economic life of the products. The expected future amortization expense related to the intangible assets as of April 30, 2026 is as follows:</w:t>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380" w:type="dxa"/>
            <w:vAlign w:val="bottom"/>
            <w:vMerge w:val="restart"/>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vMerge w:val="continue"/>
          </w:tcPr>
          <w:p>
            <w:pPr>
              <w:spacing w:after="0"/>
              <w:rPr>
                <w:sz w:val="11"/>
                <w:szCs w:val="11"/>
                <w:color w:val="auto"/>
              </w:rPr>
            </w:pPr>
          </w:p>
        </w:tc>
        <w:tc>
          <w:tcPr>
            <w:tcW w:w="4380" w:type="dxa"/>
            <w:vAlign w:val="bottom"/>
            <w:vMerge w:val="continue"/>
          </w:tcPr>
          <w:p>
            <w:pPr>
              <w:spacing w:after="0"/>
              <w:rPr>
                <w:sz w:val="11"/>
                <w:szCs w:val="11"/>
                <w:color w:val="auto"/>
              </w:rPr>
            </w:pPr>
          </w:p>
        </w:tc>
        <w:tc>
          <w:tcPr>
            <w:tcW w:w="2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3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0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2027 (9 months remaining)</w:t>
            </w: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4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43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2030</w:t>
            </w:r>
          </w:p>
        </w:tc>
        <w:tc>
          <w:tcPr>
            <w:tcW w:w="4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2031</w:t>
            </w:r>
          </w:p>
        </w:tc>
        <w:tc>
          <w:tcPr>
            <w:tcW w:w="43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2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shd w:val="clear" w:color="auto" w:fill="CFF0FC"/>
          </w:tcPr>
          <w:p>
            <w:pPr>
              <w:spacing w:after="0" w:line="20" w:lineRule="exact"/>
              <w:rPr>
                <w:sz w:val="1"/>
                <w:szCs w:val="1"/>
                <w:color w:val="auto"/>
              </w:rPr>
            </w:pPr>
          </w:p>
        </w:tc>
        <w:tc>
          <w:tcPr>
            <w:tcW w:w="438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Goodwill is tested for impairment at least annually, in the fourth fiscal quarter, or more frequently if events or changes in circumstances indicate that it may be impaired. There were no goodwill or intangible asset impairments for the three months ended April 30, 2026 and 2025,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April 30, 2026 and January 31, 2026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9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80" w:type="dxa"/>
            <w:vAlign w:val="bottom"/>
          </w:tcPr>
          <w:p>
            <w:pPr>
              <w:spacing w:after="0"/>
              <w:rPr>
                <w:sz w:val="13"/>
                <w:szCs w:val="13"/>
                <w:color w:val="auto"/>
              </w:rPr>
            </w:pPr>
          </w:p>
        </w:tc>
      </w:tr>
      <w:tr>
        <w:trPr>
          <w:trHeight w:val="142"/>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3"/>
          </w:tcPr>
          <w:p>
            <w:pPr>
              <w:jc w:val="right"/>
              <w:ind w:right="913"/>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31,251</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37,233</w:t>
            </w: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deposit liability</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8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97,964</w:t>
            </w:r>
          </w:p>
        </w:tc>
        <w:tc>
          <w:tcPr>
            <w:tcW w:w="8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140" w:firstLine="450"/>
        <w:spacing w:after="0" w:line="273" w:lineRule="auto"/>
        <w:rPr>
          <w:sz w:val="20"/>
          <w:szCs w:val="20"/>
          <w:color w:val="auto"/>
        </w:rPr>
      </w:pPr>
      <w:r>
        <w:rPr>
          <w:rFonts w:ascii="Times New Roman" w:cs="Times New Roman" w:eastAsia="Times New Roman" w:hAnsi="Times New Roman"/>
          <w:sz w:val="17"/>
          <w:szCs w:val="17"/>
          <w:color w:val="auto"/>
        </w:rPr>
        <w:t>The accrued employee compensation primarily consists of accrued payroll and accrued employee benefits, as well as employee stock purchase plan withholding. For the accrued employee compensation as of January 31, 2026, approximately $14.1 million of annual bonus was paid in the first quarter of fiscal year 2027, of which $8.6 million was paid in cash and $5.5 million was settled with fully vested restricted stock units. The timing of new and next-gen SoC development and invoicing from outside foundries usually results in fluctuation of accrued product development costs. The $13.5 million of development deposit liability represents a cash advance from a customer for funding a development project that is subject to certain refund conditions. On May 12, 2026, the Company terminated the project with the customer. Pursuant to the terms of the termination agreement, the Company agreed to refund $4.5 million of the deposit. Refer to Note 16 Subsequent Events of Notes to Condensed Consolidated Financial Statements for detailed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160" w:firstLine="469"/>
        <w:spacing w:after="0" w:line="266" w:lineRule="auto"/>
        <w:rPr>
          <w:sz w:val="20"/>
          <w:szCs w:val="20"/>
          <w:color w:val="auto"/>
        </w:rPr>
      </w:pPr>
      <w:r>
        <w:rPr>
          <w:rFonts w:ascii="Times New Roman" w:cs="Times New Roman" w:eastAsia="Times New Roman" w:hAnsi="Times New Roman"/>
          <w:sz w:val="18"/>
          <w:szCs w:val="18"/>
          <w:color w:val="auto"/>
        </w:rPr>
        <w:t>There were no material lease agreements entered into, or modified, during the three months ended April 30, 2026. The operating lease expense was approximately $0.9 million and $0.9 million for the three months ended April 30, 2026 and 2025, respectively. The Company's short-term leases and finance leases were not material as of April 30, 2026 and January 31, 2026,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is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tbl>
      <w:tblPr>
        <w:tblLayout w:type="fixed"/>
        <w:tblInd w:w="114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00" w:type="dxa"/>
            <w:vAlign w:val="bottom"/>
            <w:gridSpan w:val="2"/>
          </w:tcPr>
          <w:p>
            <w:pPr>
              <w:jc w:val="center"/>
              <w:ind w:right="52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16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100" w:type="dxa"/>
            <w:vAlign w:val="bottom"/>
            <w:gridSpan w:val="2"/>
            <w:shd w:val="clear" w:color="auto" w:fill="CFF0FC"/>
          </w:tcPr>
          <w:p>
            <w:pPr>
              <w:jc w:val="center"/>
              <w:ind w:right="5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FF0FC"/>
          </w:tcPr>
          <w:p>
            <w:pPr>
              <w:spacing w:after="0"/>
              <w:rPr>
                <w:sz w:val="18"/>
                <w:szCs w:val="18"/>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obtained in exchange for lease obligations</w:t>
            </w:r>
          </w:p>
        </w:tc>
        <w:tc>
          <w:tcPr>
            <w:tcW w:w="160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5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April 30, 2026, the weighted average remaining lease term is 6.95 years, and the weighted average discount rate is 8.12 percent. Future minimum lease payments for the lease liabilities are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20" w:type="dxa"/>
            <w:vAlign w:val="bottom"/>
            <w:gridSpan w:val="2"/>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120" w:type="dxa"/>
            <w:vAlign w:val="bottom"/>
            <w:vMerge w:val="restart"/>
          </w:tcPr>
          <w:p>
            <w:pPr>
              <w:spacing w:after="0"/>
              <w:rPr>
                <w:sz w:val="15"/>
                <w:szCs w:val="15"/>
                <w:color w:val="auto"/>
              </w:rPr>
            </w:pP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2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0" w:type="dxa"/>
            <w:vAlign w:val="bottom"/>
          </w:tcPr>
          <w:p>
            <w:pPr>
              <w:spacing w:after="0"/>
              <w:rPr>
                <w:sz w:val="1"/>
                <w:szCs w:val="1"/>
                <w:color w:val="auto"/>
              </w:rPr>
            </w:pPr>
          </w:p>
        </w:tc>
      </w:tr>
      <w:tr>
        <w:trPr>
          <w:trHeight w:val="133"/>
        </w:trPr>
        <w:tc>
          <w:tcPr>
            <w:tcW w:w="700" w:type="dxa"/>
            <w:vAlign w:val="bottom"/>
            <w:tcBorders>
              <w:bottom w:val="single" w:sz="8" w:color="auto"/>
            </w:tcBorders>
            <w:vMerge w:val="continue"/>
          </w:tcPr>
          <w:p>
            <w:pPr>
              <w:spacing w:after="0"/>
              <w:rPr>
                <w:sz w:val="11"/>
                <w:szCs w:val="11"/>
                <w:color w:val="auto"/>
              </w:rPr>
            </w:pPr>
          </w:p>
        </w:tc>
        <w:tc>
          <w:tcPr>
            <w:tcW w:w="412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40" w:type="dxa"/>
            <w:vAlign w:val="bottom"/>
            <w:tcBorders>
              <w:top w:val="single" w:sz="8" w:color="auto"/>
            </w:tcBorders>
          </w:tcPr>
          <w:p>
            <w:pPr>
              <w:jc w:val="right"/>
              <w:ind w:right="8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2027 (9 months remaining)</w:t>
            </w:r>
          </w:p>
        </w:tc>
        <w:tc>
          <w:tcPr>
            <w:tcW w:w="18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4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4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2030</w:t>
            </w:r>
          </w:p>
        </w:tc>
        <w:tc>
          <w:tcPr>
            <w:tcW w:w="4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2031</w:t>
            </w:r>
          </w:p>
        </w:tc>
        <w:tc>
          <w:tcPr>
            <w:tcW w:w="4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1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interest</w:t>
            </w: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shd w:val="clear" w:color="auto" w:fill="CFF0FC"/>
          </w:tcPr>
          <w:p>
            <w:pPr>
              <w:spacing w:after="0" w:line="20" w:lineRule="exact"/>
              <w:rPr>
                <w:sz w:val="1"/>
                <w:szCs w:val="1"/>
                <w:color w:val="auto"/>
              </w:rPr>
            </w:pPr>
          </w:p>
        </w:tc>
        <w:tc>
          <w:tcPr>
            <w:tcW w:w="41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Revenue</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Deferred revenue is primarily related to nonrecurring engineering (NRE) charges that are either invoiced or paid but for which the related performance obligations are not yet satisfied, as well as, for product shipments, a portion of a transaction price that exceeds the weighted average selling price for products sold to date under tiered-pricing contracts that contain material rights. During the three months ended April 30, 2026 and 2025, the amount recognized as revenue that was included in deferred revenue at the end of the prior fiscal year was approximately $5.5 million and $5.2 million, respectively.</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April 30, 2026, the amount of transaction price allocated to performance obligations that are unsatisfied, or partially unsatisfied, which primarily consists of product purchase orders and NRE project service agreements with an original contract duration of more than one year, was approximately $69.8 million, of which approximately 98% is expected to be recognized within the next 12 months. This does not include consideration in contracts with an original expected contract duration of one year or less, or variable consideration that is constrained.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April 30, 2026 and January 31, 2026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57"/>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80" w:type="dxa"/>
            <w:vAlign w:val="bottom"/>
          </w:tcPr>
          <w:p>
            <w:pPr>
              <w:spacing w:after="0"/>
              <w:rPr>
                <w:sz w:val="13"/>
                <w:szCs w:val="13"/>
                <w:color w:val="auto"/>
              </w:rPr>
            </w:pPr>
          </w:p>
        </w:tc>
      </w:tr>
      <w:tr>
        <w:trPr>
          <w:trHeight w:val="142"/>
        </w:trPr>
        <w:tc>
          <w:tcPr>
            <w:tcW w:w="4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3"/>
          </w:tcPr>
          <w:p>
            <w:pPr>
              <w:jc w:val="right"/>
              <w:ind w:right="913"/>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unrecognized tax benefits, including interest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r>
      <w:tr>
        <w:trPr>
          <w:trHeight w:val="230"/>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14,459</w:t>
            </w:r>
          </w:p>
        </w:tc>
        <w:tc>
          <w:tcPr>
            <w:tcW w:w="80" w:type="dxa"/>
            <w:vAlign w:val="bottom"/>
            <w:shd w:val="clear" w:color="auto" w:fill="CFF0FC"/>
          </w:tcPr>
          <w:p>
            <w:pPr>
              <w:spacing w:after="0"/>
              <w:rPr>
                <w:sz w:val="19"/>
                <w:szCs w:val="19"/>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63" w:lineRule="exact"/>
        <w:rPr>
          <w:sz w:val="20"/>
          <w:szCs w:val="20"/>
          <w:color w:val="auto"/>
        </w:rPr>
      </w:pPr>
    </w:p>
    <w:p>
      <w:pPr>
        <w:ind w:left="520" w:right="9220" w:hanging="512"/>
        <w:spacing w:after="0" w:line="378" w:lineRule="auto"/>
        <w:tabs>
          <w:tab w:leader="none" w:pos="28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preference shares issued and outstanding as of April 30, 2026 and January 31, 2026, respectively.</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79" w:right="49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In the first quarter of fiscal year 2027, the Company added 541,319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w:t>
      </w:r>
    </w:p>
    <w:p>
      <w:pPr>
        <w:spacing w:after="0" w:line="2" w:lineRule="exact"/>
        <w:rPr>
          <w:sz w:val="20"/>
          <w:szCs w:val="20"/>
          <w:color w:val="auto"/>
        </w:rPr>
      </w:pPr>
    </w:p>
    <w:p>
      <w:pPr>
        <w:ind w:right="380" w:firstLine="8"/>
        <w:spacing w:after="0" w:line="260"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and one quarter percent (1.25%) of the aggregate number of ordinary shares outstanding on February 1st of each fiscal year, or (iii) an amount determined by the Company’s Board of Directors or a duly authorized committee of the Board of Directors.</w:t>
      </w:r>
    </w:p>
    <w:p>
      <w:pPr>
        <w:spacing w:after="0" w:line="7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April 30, 2026 and January 31, 2026, the following ordinary shares were reserved for future issuance under the Company’s equity plans and employee stock purchase plan:</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64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64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126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80" w:type="dxa"/>
            <w:vAlign w:val="bottom"/>
          </w:tcPr>
          <w:p>
            <w:pPr>
              <w:spacing w:after="0"/>
              <w:rPr>
                <w:sz w:val="12"/>
                <w:szCs w:val="12"/>
                <w:color w:val="auto"/>
              </w:rPr>
            </w:pPr>
          </w:p>
        </w:tc>
      </w:tr>
      <w:tr>
        <w:trPr>
          <w:trHeight w:val="191"/>
        </w:trPr>
        <w:tc>
          <w:tcPr>
            <w:tcW w:w="48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Shares reserved for options, restricted stock and</w:t>
            </w:r>
          </w:p>
        </w:tc>
        <w:tc>
          <w:tcPr>
            <w:tcW w:w="13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under equity plans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3,294,666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3,811,695</w:t>
            </w:r>
          </w:p>
        </w:tc>
        <w:tc>
          <w:tcPr>
            <w:tcW w:w="80" w:type="dxa"/>
            <w:vAlign w:val="bottom"/>
            <w:shd w:val="clear" w:color="auto" w:fill="CFF0FC"/>
          </w:tcPr>
          <w:p>
            <w:pPr>
              <w:spacing w:after="0"/>
              <w:rPr>
                <w:sz w:val="20"/>
                <w:szCs w:val="20"/>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4,429,888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3,975,230</w:t>
            </w:r>
          </w:p>
        </w:tc>
        <w:tc>
          <w:tcPr>
            <w:tcW w:w="80" w:type="dxa"/>
            <w:vAlign w:val="bottom"/>
          </w:tcPr>
          <w:p>
            <w:pPr>
              <w:spacing w:after="0"/>
              <w:rPr>
                <w:sz w:val="20"/>
                <w:szCs w:val="20"/>
                <w:color w:val="auto"/>
              </w:rPr>
            </w:pP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During the three months ended April 30, 2026, the Company repurchased a total of 47,798 shares for approximately $2.4 million in cash. As of April 30, 2026, there was approximately $45.6 million available for repurchases under the existing repurchase program through June 30, 2026.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ectPr>
          <w:pgSz w:w="11900" w:h="16838" w:orient="portrait"/>
          <w:cols w:equalWidth="0" w:num="1">
            <w:col w:w="11200"/>
          </w:cols>
          <w:pgMar w:left="320" w:top="130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21590</wp:posOffset>
            </wp:positionV>
            <wp:extent cx="4989195"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84"/>
        </w:trPr>
        <w:tc>
          <w:tcPr>
            <w:tcW w:w="240" w:type="dxa"/>
            <w:vAlign w:val="bottom"/>
          </w:tcPr>
          <w:p>
            <w:pPr>
              <w:spacing w:after="0"/>
              <w:rPr>
                <w:sz w:val="15"/>
                <w:szCs w:val="15"/>
                <w:color w:val="auto"/>
              </w:rPr>
            </w:pP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740" w:type="dxa"/>
            <w:vAlign w:val="bottom"/>
          </w:tcPr>
          <w:p>
            <w:pPr>
              <w:spacing w:after="0"/>
              <w:rPr>
                <w:sz w:val="15"/>
                <w:szCs w:val="15"/>
                <w:color w:val="auto"/>
              </w:rPr>
            </w:pPr>
          </w:p>
        </w:tc>
      </w:tr>
      <w:tr>
        <w:trPr>
          <w:trHeight w:val="372"/>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5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16"/>
        </w:trPr>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17,585</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w:t>
            </w:r>
          </w:p>
        </w:tc>
      </w:tr>
      <w:tr>
        <w:trPr>
          <w:trHeight w:val="210"/>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360" w:space="720"/>
            <w:col w:w="4120"/>
          </w:cols>
          <w:pgMar w:left="320" w:top="1305" w:right="379" w:bottom="1440" w:gutter="0" w:footer="0" w:header="0"/>
          <w:type w:val="continuous"/>
        </w:sect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April 30, 2026, approximately $1.3 million of stock-based compensation expense was accrued in accrued and other current liabilities in the condensed consolidated balance sheets. Total unrecognized compensation cost of unvested awards at April 30, 2026 was approximately $169.6 million and is expected to be recognized over a weighted-average period of 2.45 years.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employee stock purchase plan awards for the periods indicated:</w:t>
      </w:r>
    </w:p>
    <w:p>
      <w:pPr>
        <w:spacing w:after="0" w:line="155"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09"/>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Volatility</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Expected term (years)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r>
      <w:tr>
        <w:trPr>
          <w:trHeight w:val="216"/>
        </w:trPr>
        <w:tc>
          <w:tcPr>
            <w:tcW w:w="6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Dividend yield</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 indicated:</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2026</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159,912</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4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(51,170)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April 30, 2026</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108,742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April 30, 2026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108,742</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April 30, 2026 was $68.80, as reported by The Nasdaq Global Select Market. The intrinsic value of exercised options is calculated based on the difference between the fair market value of the Company’s ordinary shares on the exercise date and the exercise price.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activities for the period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3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2026</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2,621,997</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(465,859)</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(58,757)</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April 30, 2026</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2,760,640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2026, the aggregate intrinsic value of unvested restricted stock units was $189.9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ordinary share for the periods indicated:</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73"/>
              </w:rPr>
              <w:t>share</w:t>
            </w: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240" w:type="dxa"/>
            <w:vAlign w:val="bottom"/>
            <w:gridSpan w:val="2"/>
            <w:vMerge w:val="continue"/>
          </w:tcPr>
          <w:p>
            <w:pPr>
              <w:spacing w:after="0"/>
              <w:rPr>
                <w:sz w:val="12"/>
                <w:szCs w:val="12"/>
                <w:color w:val="auto"/>
              </w:rPr>
            </w:pPr>
          </w:p>
        </w:tc>
        <w:tc>
          <w:tcPr>
            <w:tcW w:w="1600" w:type="dxa"/>
            <w:vAlign w:val="bottom"/>
            <w:gridSpan w:val="2"/>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and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(18,093)</w:t>
            </w:r>
          </w:p>
        </w:tc>
        <w:tc>
          <w:tcPr>
            <w:tcW w:w="4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(24,328)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43,605,282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42,219,972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ordinary shares - diluted</w:t>
            </w: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43,605,282</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42,219,972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ordinary share:</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(0.41)</w:t>
            </w:r>
          </w:p>
        </w:tc>
        <w:tc>
          <w:tcPr>
            <w:tcW w:w="4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8"/>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460" w:type="dxa"/>
            <w:vAlign w:val="bottom"/>
            <w:gridSpan w:val="2"/>
          </w:tcPr>
          <w:p>
            <w:pPr>
              <w:jc w:val="right"/>
              <w:ind w:right="20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-488315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-471170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-471170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net loss per ordinary share as their effect would have been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1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6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4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92,800</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1,419,517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761,559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76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20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1,471,852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867,678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76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16</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-1079500</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-1079500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income taxes for the periods indicated:</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42"/>
        </w:trPr>
        <w:tc>
          <w:tcPr>
            <w:tcW w:w="69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(17,333)</w:t>
            </w: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(23,683)</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an expense for income taxes of $0.8 million and $0.6 million for the three months ended April 30, 2026 and 2025, respectively. The increased income tax expense for the three months ended April 30, 2026, as compared to the same period in the prior fiscal year, was primarily due to a projected decrease in net loss in the current fiscal year.</w:t>
      </w:r>
    </w:p>
    <w:p>
      <w:pPr>
        <w:spacing w:after="0" w:line="17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files federal and state income tax returns in the United States and in various foreign jurisdictions. The Company’s fiscal years 2023 through 2026 are generally open and subject to potential examination by U.S. federal tax authorities. The Company’s fiscal years 2022 through 2026 are generally open and subject to potential examination by state tax authorities. The Company’s fiscal years 2019 to 2026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As of April 30, 2026, the gross amount of unrecognized tax benefits was approximately $18.8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w:t>
      </w:r>
    </w:p>
    <w:p>
      <w:pPr>
        <w:spacing w:after="0" w:line="395" w:lineRule="exact"/>
        <w:rPr>
          <w:sz w:val="20"/>
          <w:szCs w:val="20"/>
          <w:color w:val="auto"/>
        </w:rPr>
      </w:pPr>
    </w:p>
    <w:p>
      <w:pPr>
        <w:ind w:left="520" w:right="7880" w:hanging="512"/>
        <w:spacing w:after="0" w:line="532" w:lineRule="auto"/>
        <w:tabs>
          <w:tab w:leader="none" w:pos="28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Contract Manufacturer Commitments</w:t>
      </w:r>
    </w:p>
    <w:p>
      <w:pPr>
        <w:spacing w:after="0" w:line="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April 30, 2026 and January 31, 2026, total manufacturing purchase commitments were approximately $53.9 million and $80.4 million, respectively. On a quarterly basis, the Company also reviews and assesses the need for any expected loss liabilities for products that it does not expect to sell for which it has committed purchases from suppliers and records the liabilities in accrued and other current liabilities in the condensed consolidated balance sheets. As of April 30, 2026, approximately $1.2 million of loss liabilities were recorded in the condensed consolidated balance sheets from adverse purchase commitments. There were no material loss liabilities recorded in the condensed consolidated balance sheets from adverse purchase commitments as of January 31, 2026.</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other commitments as compared to the other commitments described in the Company's Annual Report on Form 10-K for the 2026 fiscal year filed with the SEC on March 23, 2026.</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April 30, 2026, and no liabilities have been recorded for these obligations in the condensed consolidated balance sheets as of April 30, 2026 and January 31, 2026, respectively.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right="140" w:firstLine="562"/>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April 30, 2026 and January 31, 2026, there were no accruals for contingent liabilities related to such matters recorded in the condensed consolidated balance sheets.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29" w:lineRule="exact"/>
        <w:rPr>
          <w:sz w:val="20"/>
          <w:szCs w:val="20"/>
          <w:color w:val="auto"/>
        </w:rPr>
      </w:pPr>
    </w:p>
    <w:p>
      <w:pPr>
        <w:ind w:right="20" w:firstLine="554"/>
        <w:spacing w:after="0" w:line="254" w:lineRule="auto"/>
        <w:rPr>
          <w:sz w:val="20"/>
          <w:szCs w:val="20"/>
          <w:color w:val="auto"/>
        </w:rPr>
      </w:pPr>
      <w:r>
        <w:rPr>
          <w:rFonts w:ascii="Times New Roman" w:cs="Times New Roman" w:eastAsia="Times New Roman" w:hAnsi="Times New Roman"/>
          <w:sz w:val="18"/>
          <w:szCs w:val="18"/>
          <w:color w:val="auto"/>
        </w:rPr>
        <w:t xml:space="preserve">The Company operates as a single operating and reportable segment and derives substantially all of its revenue from development and sales of low-power AI-based processing and video and image processing SoC solutions. In determining the reportable segment, the Company considers the research and development deployed, the nature of the production process, the distribution channels of SoCs, as well as the Company’s management structure. The Chief Executive Officer of the Company has been identified as the Chief Operating Decision Maker (the CODM) and manages the Company’s operations as a whole. The CODM uses net loss presented on a consolidated basis to evaluate the financial performance and allocate resources. The CODM also monitors budget versus actual results of the operating segment. The measure of reportable segment assets is reported within the condensed consolidated balance sheets as total assets. The accounting policies for the measurement of net loss and total assets of the reportable segment are described in the Note 1, </w:t>
      </w:r>
      <w:r>
        <w:rPr>
          <w:rFonts w:ascii="Times New Roman" w:cs="Times New Roman" w:eastAsia="Times New Roman" w:hAnsi="Times New Roman"/>
          <w:sz w:val="18"/>
          <w:szCs w:val="18"/>
          <w:i w:val="1"/>
          <w:iCs w:val="1"/>
          <w:color w:val="auto"/>
        </w:rPr>
        <w:t xml:space="preserve">Organization and Summary of Significant Accounting Policies </w:t>
      </w:r>
      <w:r>
        <w:rPr>
          <w:rFonts w:ascii="Times New Roman" w:cs="Times New Roman" w:eastAsia="Times New Roman" w:hAnsi="Times New Roman"/>
          <w:sz w:val="18"/>
          <w:szCs w:val="18"/>
          <w:color w:val="auto"/>
        </w:rPr>
        <w:t>of the Notes to Consolidated Financial Statements included in the Company's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2026 fiscal year filed with the SEC on March 23, 2026.</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2"/>
          </w:tcPr>
          <w:p>
            <w:pPr>
              <w:jc w:val="center"/>
              <w:ind w:right="588"/>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29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60,980</w:t>
            </w:r>
          </w:p>
        </w:tc>
        <w:tc>
          <w:tcPr>
            <w:tcW w:w="1180" w:type="dxa"/>
            <w:vAlign w:val="bottom"/>
            <w:gridSpan w:val="2"/>
            <w:shd w:val="clear" w:color="auto" w:fill="CFF0FC"/>
          </w:tcPr>
          <w:p>
            <w:pPr>
              <w:jc w:val="center"/>
              <w:ind w:right="5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53,899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Taiwan</w:t>
            </w: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23,247</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9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9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9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100,357</w:t>
            </w:r>
          </w:p>
        </w:tc>
        <w:tc>
          <w:tcPr>
            <w:tcW w:w="1180" w:type="dxa"/>
            <w:vAlign w:val="bottom"/>
            <w:gridSpan w:val="2"/>
          </w:tcPr>
          <w:p>
            <w:pPr>
              <w:jc w:val="center"/>
              <w:ind w:right="5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960" w:type="dxa"/>
            <w:vAlign w:val="bottom"/>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-1079500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property and equipment were located in the United States, Taiwan, Europe and Asia Pacific region other than Taiwan. As of April 30, 2026, the net amount of fixed assets located in these regions was approximately $7.6 million, $3.7 million, $1.1 million and $0.2 million, respectively. As of January 31, 2026, the net amount of these fixed assets located in these regions was approximately $6.6 million, $3.6 million, $1.1 million and $0.3 million,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Additional Segment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significant segment expenses included in the condensed consolidated net loss for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jc w:val="right"/>
              <w:ind w:right="52"/>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588"/>
              <w:spacing w:after="0" w:line="124"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140" w:type="dxa"/>
            <w:vAlign w:val="bottom"/>
            <w:vMerge w:val="continue"/>
          </w:tcPr>
          <w:p>
            <w:pPr>
              <w:spacing w:after="0"/>
              <w:rPr>
                <w:sz w:val="20"/>
                <w:szCs w:val="20"/>
                <w:color w:val="auto"/>
              </w:rPr>
            </w:pPr>
          </w:p>
        </w:tc>
        <w:tc>
          <w:tcPr>
            <w:tcW w:w="354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100,357</w:t>
            </w:r>
          </w:p>
        </w:tc>
        <w:tc>
          <w:tcPr>
            <w:tcW w:w="160" w:type="dxa"/>
            <w:vAlign w:val="bottom"/>
          </w:tcPr>
          <w:p>
            <w:pPr>
              <w:spacing w:after="0"/>
              <w:rPr>
                <w:sz w:val="20"/>
                <w:szCs w:val="20"/>
                <w:color w:val="auto"/>
              </w:rPr>
            </w:pP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Less cost and expense:</w:t>
            </w:r>
          </w:p>
        </w:tc>
        <w:tc>
          <w:tcPr>
            <w:tcW w:w="26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cost</w:t>
            </w:r>
          </w:p>
        </w:tc>
        <w:tc>
          <w:tcPr>
            <w:tcW w:w="2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Employee-related</w:t>
            </w:r>
          </w:p>
        </w:tc>
        <w:tc>
          <w:tcPr>
            <w:tcW w:w="26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Semiconductor development cost</w:t>
            </w:r>
          </w:p>
        </w:tc>
        <w:tc>
          <w:tcPr>
            <w:tcW w:w="26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Tools &amp; equipment</w:t>
            </w:r>
          </w:p>
        </w:tc>
        <w:tc>
          <w:tcPr>
            <w:tcW w:w="2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6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Facilities-related</w:t>
            </w:r>
          </w:p>
        </w:tc>
        <w:tc>
          <w:tcPr>
            <w:tcW w:w="2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(a)</w:t>
            </w:r>
          </w:p>
        </w:tc>
        <w:tc>
          <w:tcPr>
            <w:tcW w:w="26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(18,093)</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(24,328)</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26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480" w:hanging="3"/>
        <w:spacing w:after="0" w:line="282" w:lineRule="auto"/>
        <w:tabs>
          <w:tab w:leader="none" w:pos="7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segment items include amortization of intangible assets acquired from business combinations, non-operating (income) expenses, income tax provision (benefit) and other immaterial items.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April 30, 2026 and 2025, the customer representing 10% or more of revenue was WT, which accounted for approximately 61% and 63% of total revenue, respectively. Accounts receivable with WT was approximately $18.7 million and $24.6 million as of April 30, 2026 and January 31, 2026,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May 12, 2026, the Company terminated a development project with a customer. Pursuant to the terms of the termination agreement, the Company agreed to refund $4.5 million of the $13.5 million deposit previously received from the customer. The remaining $9.0 million of the deposit is expected to be recognized as a reduction of research and development expense in the second quarter ending July 31, 2026.</w:t>
      </w:r>
    </w:p>
    <w:p>
      <w:pPr>
        <w:spacing w:after="0" w:line="17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May 27, 2026, the Company's Board of Directors authorized a new share repurchase program for a total of $50.0 million commencing July 1, 2026 through June 30, 2027. The new repurchase program replaces the existing program that expires on June 30, 2026 and does not obligate the Company to acquire any particular amount of ordinary shares, and it may be suspended at any time at the Company’s discretion. Repurchases may be made from time-to-time through open market purchases, 10b5-1 plans or privately negotiated transactions subject to market conditions, applicable legal requirements and other relevant factors. The repurchase program is funded using the Company’s working capital and any repurchased shares are recorded as authorized but unissued shares.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left="10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2026 and management’s discussion and analysis of our financial condition and results of operations included in our Annual Report on Form 10-K for the 2026 fiscal year filed with the Securities and Exchange Commission, or SEC, on March 23, 2026.</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risks associated with the overall economy, including higher inflation and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artificial intelligence and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a leading developer of low power system on a chip (SoC) semiconductors and software that enable advanced edge and physical AI applications. Our solutions combine state of the art video processing, high resolution image capture, and our proprietary CVflow® AI acceleration architecture to deliver high performance at extremely low power. Historically, our technologies supported human viewing applications such as enterprise, public infrastructure, and home security cameras, as well as sports cameras, wearables, aerial drones, and aftermarket automotive recorders. Building on this foundation, our recent product generations incorporate advanced AI inference capabilities that allow edge devices to interpret complex scenes, perform multi modal sensor fusion, and support autonomous decision making.</w:t>
      </w:r>
    </w:p>
    <w:p>
      <w:pPr>
        <w:spacing w:after="0" w:line="7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latest SoC families integrate third generation CVflow technology with advanced video processing, image signal processing, audio processing, and system control functions on a single chip. CVflow is optimized for a broad range of AI inference workloads, including object detection, classification, tracking, segmentation, stereo depth processing, radar perception, and transformer based models. This architecture supports multi modal sensor inputs, including camera, lidar, 4D radar, thermal, and near infrared, enabling environmental perception for edge devices. These capabilities allow our customers to deploy differentiated AI models and solutions across applications, such as next generation automotive camera systems, video security, robotics, and consumer devices, while achieving high image quality, low latency, and low power consumption.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development roadmap is focused on human viewing, AI inference, and radar based perception technologies that support the increasing automation and intelligence requirements of the Internet of Things (IoT), automotive, industrial, and robotics markets. As a result, we believe that our future revenue growth, if any, will significantly depend upon our ability to expand within camera markets with our AI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AI inference SoCs with increased functionality, and as we target new markets.</w:t>
      </w:r>
    </w:p>
    <w:p>
      <w:pPr>
        <w:spacing w:after="0" w:line="19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12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12 to 24 months. We anticipate that product life cycles will typically be longer than 24 months in the OEM automotive and industrial and robotics markets, as new product introductions occur less frequently in these markets.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21" w:lineRule="exact"/>
        <w:rPr>
          <w:sz w:val="20"/>
          <w:szCs w:val="20"/>
          <w:color w:val="auto"/>
        </w:rPr>
      </w:pPr>
    </w:p>
    <w:p>
      <w:pPr>
        <w:ind w:left="1540" w:right="260" w:hanging="514"/>
        <w:spacing w:after="0" w:line="261"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$100.4 million for the three months ended April 30, 2026, an increase of 16.9% as compared to the same period in the prior fiscal year. The increase in revenue was primarily attributable to higher product unit shipments and an increased percentage of sales from higher average selling price AI inference processors as a result of high demand for our edge AI solutions, partially offset by lower nonrecurring engineering (NRE) project service revenue.</w:t>
      </w:r>
    </w:p>
    <w:p>
      <w:pPr>
        <w:spacing w:after="0" w:line="71" w:lineRule="exact"/>
        <w:rPr>
          <w:rFonts w:ascii="Times New Roman" w:cs="Times New Roman" w:eastAsia="Times New Roman" w:hAnsi="Times New Roman"/>
          <w:sz w:val="18"/>
          <w:szCs w:val="18"/>
          <w:color w:val="auto"/>
        </w:rPr>
      </w:pPr>
    </w:p>
    <w:p>
      <w:pPr>
        <w:ind w:left="1540" w:right="60" w:hanging="514"/>
        <w:spacing w:after="0" w:line="25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operating losses of $19.4 million for the three months ended April 30, 2026, as compared to operating losses of $25.9 million for the three months ended April 30, 2025. The reduction in operating losses was primarily attributable to higher revenue and, consequently, higher gross profit, partially offset by higher operating expenses. The increase in operating expenses primarily resulted from higher payroll-related expenses as a result of an increase in headcount, higher engineering-related costs associated with the progress and number of chips in development, and higher marketing expense, partially offset by lower stock-based compensation expense.</w:t>
      </w:r>
    </w:p>
    <w:p>
      <w:pPr>
        <w:spacing w:after="0" w:line="79" w:lineRule="exact"/>
        <w:rPr>
          <w:rFonts w:ascii="Times New Roman" w:cs="Times New Roman" w:eastAsia="Times New Roman" w:hAnsi="Times New Roman"/>
          <w:sz w:val="18"/>
          <w:szCs w:val="18"/>
          <w:color w:val="auto"/>
        </w:rPr>
      </w:pPr>
    </w:p>
    <w:p>
      <w:pPr>
        <w:ind w:left="1540" w:right="160" w:hanging="514"/>
        <w:spacing w:after="0" w:line="261"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cash outflows from operating activities of $25.6 million for the three months ended April 30, 2026, as compared to cash inflows of $14.8 million for the three months ended April 30, 2025. The decrease in cash flows from operating activities was mainly driven by higher cash outflows from changes in working capital, primarily due to increased inventory purchases, partially offset by improved operating results.</w:t>
      </w:r>
    </w:p>
    <w:p>
      <w:pPr>
        <w:spacing w:after="0" w:line="71" w:lineRule="exact"/>
        <w:rPr>
          <w:rFonts w:ascii="Times New Roman" w:cs="Times New Roman" w:eastAsia="Times New Roman" w:hAnsi="Times New Roman"/>
          <w:sz w:val="18"/>
          <w:szCs w:val="18"/>
          <w:color w:val="auto"/>
        </w:rPr>
      </w:pPr>
    </w:p>
    <w:p>
      <w:pPr>
        <w:ind w:left="1540" w:right="240" w:hanging="514"/>
        <w:spacing w:after="0" w:line="26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April 30, 2026, we repurchased a total of 47,798 shares for approximately $2.4 million in cash. The repurchased shares were recorded as authorized but unissued shares. As of April 30, 2026, there was approximately $45.6 million available for repurchases under the existing repurchase program through June 30,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Ability to Capitalize on AI and Computer Vision Trends. </w:t>
      </w:r>
      <w:r>
        <w:rPr>
          <w:rFonts w:ascii="Times New Roman" w:cs="Times New Roman" w:eastAsia="Times New Roman" w:hAnsi="Times New Roman"/>
          <w:sz w:val="18"/>
          <w:szCs w:val="18"/>
          <w:color w:val="auto"/>
        </w:rPr>
        <w:t>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IoT, automotive, industrial and robotics markets. As a result, we believe that our ability to develop advanced AI and computer vision technologies,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our design wins with our customers.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Ability to Develop and Introduce New or Enhanced Solutions. </w:t>
      </w:r>
      <w:r>
        <w:rPr>
          <w:rFonts w:ascii="Times New Roman" w:cs="Times New Roman" w:eastAsia="Times New Roman" w:hAnsi="Times New Roman"/>
          <w:sz w:val="18"/>
          <w:szCs w:val="18"/>
          <w:color w:val="auto"/>
        </w:rPr>
        <w:t>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including advanced process technologies.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In addition, our ability to successfully develop new and enhanced solutions depends on our continuing ability to hire, train, motivate and retain highly skilled engineers, which is not ensured. Moreover, any reliability or quality problems with our solutions could harm our reputation, increase additional development and replacement costs, and prevent us from retaining existing customers and attracting new customers.</w:t>
      </w:r>
    </w:p>
    <w:p>
      <w:pPr>
        <w:spacing w:after="0" w:line="185"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Pricing, Product Cost and Margin. </w:t>
      </w:r>
      <w:r>
        <w:rPr>
          <w:rFonts w:ascii="Times New Roman" w:cs="Times New Roman" w:eastAsia="Times New Roman" w:hAnsi="Times New Roman"/>
          <w:sz w:val="18"/>
          <w:szCs w:val="18"/>
          <w:color w:val="auto"/>
        </w:rPr>
        <w:t>Our pricing and margins depend on a variety of factors, including the volumes and features of the solutions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to our customers. 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the launch of new products by us or our competitors, and by product mix.</w:t>
      </w:r>
    </w:p>
    <w:p>
      <w:pPr>
        <w:spacing w:after="0" w:line="18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Continued Concentration of Revenue by End Markets. </w:t>
      </w:r>
      <w:r>
        <w:rPr>
          <w:rFonts w:ascii="Times New Roman" w:cs="Times New Roman" w:eastAsia="Times New Roman" w:hAnsi="Times New Roman"/>
          <w:sz w:val="18"/>
          <w:szCs w:val="18"/>
          <w:color w:val="auto"/>
        </w:rPr>
        <w:t>Historically, our revenue has been significantly concentrated in a small number of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9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Volume. </w:t>
      </w:r>
      <w:r>
        <w:rPr>
          <w:rFonts w:ascii="Times New Roman" w:cs="Times New Roman" w:eastAsia="Times New Roman" w:hAnsi="Times New Roman"/>
          <w:sz w:val="18"/>
          <w:szCs w:val="18"/>
          <w:color w:val="auto"/>
        </w:rPr>
        <w:t>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2" w:name="page23"/>
    <w:bookmarkEnd w:id="22"/>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12 to 18 months following a design win; however, in some markets, lengthier product and development cycles are possible, depending on the scope and nature of the project, such as in the automotive market. An IoT product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Impact of Global Supply Chain Conditions on Our Business. </w:t>
      </w:r>
      <w:r>
        <w:rPr>
          <w:rFonts w:ascii="Times New Roman" w:cs="Times New Roman" w:eastAsia="Times New Roman" w:hAnsi="Times New Roman"/>
          <w:sz w:val="18"/>
          <w:szCs w:val="18"/>
          <w:color w:val="auto"/>
        </w:rPr>
        <w:t>The semiconductor industry has faced significant global supply chain challenges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past few years. Supply chain issues can impact our business as they relate to both our suppliers and our customers. We have seen cycles of supply chain challenges in the past, which may recur in future periods as well, with constant changes in the macro-economic environment, including potential retaliatory tariffs and restrictions on exports to foreign locations due to the recent imposition of tariffs by the U.S. Government on imports.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 of operations for the periods indicated:</w:t>
      </w:r>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100,357</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34,336</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58,589</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58,140</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78,005</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77,394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(19,416)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(25,858)</w:t>
            </w: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(17,333)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(23,683)</w:t>
            </w: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(18,093)</w:t>
            </w: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(24,328)</w:t>
            </w: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-1302385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-1302385</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-736600</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-736600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-453390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results as a percentage of revenue of each line item for the periods indicated:</w:t>
      </w:r>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2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9"/>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5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51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09"/>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(18) </w:t>
            </w:r>
            <w:r>
              <w:rPr>
                <w:rFonts w:ascii="Times New Roman" w:cs="Times New Roman" w:eastAsia="Times New Roman" w:hAnsi="Times New Roman"/>
                <w:sz w:val="24"/>
                <w:szCs w:val="24"/>
                <w:color w:val="auto"/>
                <w:vertAlign w:val="subscript"/>
              </w:rPr>
              <w:t>%</w:t>
            </w:r>
          </w:p>
        </w:tc>
        <w:tc>
          <w:tcPr>
            <w:tcW w:w="820" w:type="dxa"/>
            <w:vAlign w:val="bottom"/>
          </w:tcPr>
          <w:p>
            <w:pPr>
              <w:spacing w:after="0"/>
              <w:rPr>
                <w:sz w:val="18"/>
                <w:szCs w:val="18"/>
                <w:color w:val="auto"/>
              </w:rPr>
            </w:pPr>
          </w:p>
        </w:tc>
        <w:tc>
          <w:tcPr>
            <w:tcW w:w="56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(28) </w:t>
            </w:r>
            <w:r>
              <w:rPr>
                <w:rFonts w:ascii="Times New Roman" w:cs="Times New Roman" w:eastAsia="Times New Roman" w:hAnsi="Times New Roman"/>
                <w:sz w:val="24"/>
                <w:szCs w:val="24"/>
                <w:color w:val="auto"/>
                <w:vertAlign w:val="subscript"/>
              </w:rPr>
              <w:t>%</w:t>
            </w:r>
          </w:p>
        </w:tc>
      </w:tr>
      <w:tr>
        <w:trPr>
          <w:trHeight w:val="20"/>
        </w:trPr>
        <w:tc>
          <w:tcPr>
            <w:tcW w:w="5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-736600</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-736600</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-453390</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23" w:name="page24"/>
    <w:bookmarkEnd w:id="23"/>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low power AI-based processing and video and image processing SoC solutions to IoT OEMs, IoT ODMs, automotive OEMs or Tier-1 automotive suppliers, either directly or through our distributors. A substantial portion of our revenue from sales was made indirectly through one of our distributors, WT Microelectronics Co., Ltd., formerly Wintech Microelectronics Co., Ltd., or WT, which serves as our non-exclusive sales representative and fulfillment partner in Asia other than Japan.</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average selling prices fluctuate based on the mix of our solutions sold in a period which reflects the impact of both changes in unit sales of existing solutions as well as the introduction and sales of new solutions. Our AI-based solutions generally have higher selling prices than our traditional video and image processing SoC solutions that do not enable AI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customer preferences have evolved in response to new technologies. As a result, the composition and timing of our revenue may change in future periods. We expect shifts in use of video capture to continue to change over time, as AI specialized use cases emerge and video capture continues to proliferate.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and software licenses, warranty and other general overhead costs.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the cost and depreciation of equipment, outside services as well as allocated depreciation and facility expenses. All research and development costs are expensed as incurred. We expect our research and development expense to generally increase in absolute dollars as we continue to enhance and expand our product features and offerings, and increase headcount for new SoC development and development of AI technologies to address new markets.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such as accounting, tax, or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AI technology, including, but not limited to, costs expected to be incurred on the expansion of an indirect sales channel.</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and yields from our cash deposits and debt security investments, subsidies issued by governments, as well as gains and losses from foreign currency transaction remeasurements.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also conduct business in several locations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April 30, 2026 and 2025</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5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1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260" w:type="dxa"/>
            <w:vAlign w:val="bottom"/>
          </w:tcPr>
          <w:p>
            <w:pPr>
              <w:spacing w:after="0"/>
              <w:rPr>
                <w:sz w:val="12"/>
                <w:szCs w:val="12"/>
                <w:color w:val="auto"/>
              </w:rPr>
            </w:pPr>
          </w:p>
        </w:tc>
        <w:tc>
          <w:tcPr>
            <w:tcW w:w="182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60" w:type="dxa"/>
            <w:vAlign w:val="bottom"/>
            <w:vMerge w:val="continue"/>
          </w:tcPr>
          <w:p>
            <w:pPr>
              <w:spacing w:after="0"/>
              <w:rPr>
                <w:sz w:val="12"/>
                <w:szCs w:val="12"/>
                <w:color w:val="auto"/>
              </w:rPr>
            </w:pPr>
          </w:p>
        </w:tc>
        <w:tc>
          <w:tcPr>
            <w:tcW w:w="14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100,357</w:t>
            </w:r>
          </w:p>
        </w:tc>
        <w:tc>
          <w:tcPr>
            <w:tcW w:w="116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85,872</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for the three months ended April 30, 2026, as compared to the same period in the prior fiscal year, primarily due to higher product unit shipments and an increased percentage of sales from higher average selling price AI inference processors as a result of high demand for our edge AI solutions, partially offset by lower NRE project service revenue.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3240" w:type="dxa"/>
            <w:vAlign w:val="bottom"/>
          </w:tcPr>
          <w:p>
            <w:pPr>
              <w:spacing w:after="0"/>
              <w:rPr>
                <w:sz w:val="12"/>
                <w:szCs w:val="12"/>
                <w:color w:val="auto"/>
              </w:rPr>
            </w:pPr>
          </w:p>
        </w:tc>
        <w:tc>
          <w:tcPr>
            <w:tcW w:w="10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bottom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4240" w:type="dxa"/>
            <w:vAlign w:val="bottom"/>
            <w:gridSpan w:val="2"/>
            <w:shd w:val="clear" w:color="auto" w:fill="CFF0FC"/>
          </w:tcPr>
          <w:p>
            <w:pPr>
              <w:jc w:val="right"/>
              <w:ind w:right="3208"/>
              <w:spacing w:after="0"/>
              <w:rPr>
                <w:sz w:val="20"/>
                <w:szCs w:val="20"/>
                <w:color w:val="auto"/>
              </w:rPr>
            </w:pPr>
            <w:r>
              <w:rPr>
                <w:rFonts w:ascii="Times New Roman" w:cs="Times New Roman" w:eastAsia="Times New Roman" w:hAnsi="Times New Roman"/>
                <w:sz w:val="18"/>
                <w:szCs w:val="18"/>
                <w:color w:val="auto"/>
                <w:w w:val="96"/>
              </w:rPr>
              <w:t>Gross margin</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58.4%</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1120" w:type="dxa"/>
            <w:vAlign w:val="bottom"/>
            <w:shd w:val="clear" w:color="auto" w:fill="CFF0FC"/>
          </w:tcPr>
          <w:p>
            <w:pPr>
              <w:spacing w:after="0"/>
              <w:rPr>
                <w:sz w:val="18"/>
                <w:szCs w:val="18"/>
                <w:color w:val="auto"/>
              </w:rPr>
            </w:pPr>
          </w:p>
        </w:tc>
        <w:tc>
          <w:tcPr>
            <w:tcW w:w="94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Gross margin decreased for the three months ended April 30, 2026, as compared to the same period in the prior fiscal year, primarily due to higher manufacturing costs associated with advanced process technologies and additional charges from adverse purchase commitments.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2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r>
      <w:tr>
        <w:trPr>
          <w:trHeight w:val="142"/>
        </w:trPr>
        <w:tc>
          <w:tcPr>
            <w:tcW w:w="2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60" w:type="dxa"/>
            <w:vAlign w:val="bottom"/>
            <w:gridSpan w:val="3"/>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58,140</w:t>
            </w:r>
          </w:p>
        </w:tc>
        <w:tc>
          <w:tcPr>
            <w:tcW w:w="11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58,819</w:t>
            </w:r>
          </w:p>
        </w:tc>
        <w:tc>
          <w:tcPr>
            <w:tcW w:w="128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(679)</w:t>
            </w:r>
          </w:p>
        </w:tc>
        <w:tc>
          <w:tcPr>
            <w:tcW w:w="5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decreased for the three months ended April 30, 2026, as compared to the same period in the prior fiscal year, primarily due to approximately $3.9 million of lower stock-based compensation expense, partially offset by $2.3 million of higher payroll-related expenses as a result of an increase in headcount and $0.9 million of higher engineering-related expenses associated with the progress and number of chips in development.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142"/>
        </w:trPr>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20" w:type="dxa"/>
            <w:vAlign w:val="bottom"/>
            <w:gridSpan w:val="3"/>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4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11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bl>
    <w:p>
      <w:pPr>
        <w:spacing w:after="0" w:line="21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three months ended April 30, 2026, as compared to the same period in the prior fiscal year, primarily due to approximately $1.5 million of higher payroll-related expenses as a result of an increase in headcount, partially offset by $0.2 million of lower stock-based compensation expense.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2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20" w:type="dxa"/>
            <w:vAlign w:val="bottom"/>
            <w:gridSpan w:val="3"/>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9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1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3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5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9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marginal decrease in other income, net, for the three months ended April 30, 2026, as compared to the same period in the prior fiscal year, was primarily due to approximately $0.4 million of higher interest expense associated with financing purchases of software licenses, partially offset by an approximately $0.3 million subsidy received from a foreign government.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720" w:type="dxa"/>
            <w:vAlign w:val="bottom"/>
            <w:tcBorders>
              <w:bottom w:val="single" w:sz="8" w:color="auto"/>
            </w:tcBorders>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2"/>
                <w:szCs w:val="12"/>
                <w:color w:val="auto"/>
              </w:rPr>
            </w:pPr>
          </w:p>
        </w:tc>
        <w:tc>
          <w:tcPr>
            <w:tcW w:w="13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2"/>
                <w:szCs w:val="12"/>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2"/>
                <w:szCs w:val="12"/>
                <w:color w:val="auto"/>
              </w:rPr>
            </w:pPr>
          </w:p>
        </w:tc>
        <w:tc>
          <w:tcPr>
            <w:tcW w:w="1760" w:type="dxa"/>
            <w:vAlign w:val="bottom"/>
            <w:gridSpan w:val="2"/>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40" w:type="dxa"/>
            <w:vAlign w:val="bottom"/>
            <w:vMerge w:val="continue"/>
          </w:tcPr>
          <w:p>
            <w:pPr>
              <w:spacing w:after="0"/>
              <w:rPr>
                <w:sz w:val="12"/>
                <w:szCs w:val="12"/>
                <w:color w:val="auto"/>
              </w:rPr>
            </w:pPr>
          </w:p>
        </w:tc>
        <w:tc>
          <w:tcPr>
            <w:tcW w:w="10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3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3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ind w:lef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quarterly income taxes reflect an estimate of the corresponding fiscal year’s annual effective tax rate and include, when applicable, adjustments from discrete tax items arising in the quarter.</w:t>
      </w:r>
    </w:p>
    <w:p>
      <w:pPr>
        <w:spacing w:after="0" w:line="162" w:lineRule="exact"/>
        <w:rPr>
          <w:sz w:val="20"/>
          <w:szCs w:val="20"/>
          <w:color w:val="auto"/>
        </w:rPr>
      </w:pPr>
    </w:p>
    <w:p>
      <w:pPr>
        <w:ind w:firstLine="554"/>
        <w:spacing w:after="0" w:line="282" w:lineRule="auto"/>
        <w:rPr>
          <w:sz w:val="20"/>
          <w:szCs w:val="20"/>
          <w:color w:val="auto"/>
        </w:rPr>
      </w:pPr>
      <w:r>
        <w:rPr>
          <w:rFonts w:ascii="Times New Roman" w:cs="Times New Roman" w:eastAsia="Times New Roman" w:hAnsi="Times New Roman"/>
          <w:sz w:val="18"/>
          <w:szCs w:val="18"/>
          <w:color w:val="auto"/>
        </w:rPr>
        <w:t>The increased income tax expense for the three months ended April 30, 2026, as compared to the same period in the prior fiscal year, was primarily due to a projected decrease in net loss in the current fiscal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April 30, 2026, we had cash, cash equivalents and marketable debt securities of approximately $277.8 million. We invest in highly-liquid, short-term marketable debt securities and hold these investments as available-for-sale securities. Refer to Note 2 of the Notes to Condensed Consolidated Financial Statements for additional information.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42"/>
        </w:trPr>
        <w:tc>
          <w:tcPr>
            <w:tcW w:w="48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4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(25,626)</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8"/>
                <w:szCs w:val="18"/>
                <w:color w:val="auto"/>
              </w:rPr>
            </w:pP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(46,294)</w:t>
            </w:r>
          </w:p>
        </w:tc>
        <w:tc>
          <w:tcPr>
            <w:tcW w:w="4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(16,154)</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(4,656)</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(1,550)</w:t>
            </w:r>
          </w:p>
        </w:tc>
      </w:tr>
      <w:tr>
        <w:trPr>
          <w:trHeight w:val="20"/>
        </w:trPr>
        <w:tc>
          <w:tcPr>
            <w:tcW w:w="48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(76,576)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(2,903)</w:t>
            </w:r>
          </w:p>
        </w:tc>
      </w:tr>
      <w:tr>
        <w:trPr>
          <w:trHeight w:val="20"/>
        </w:trPr>
        <w:tc>
          <w:tcPr>
            <w:tcW w:w="4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22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decrease in cash flows from operating activities for the three months ended April 30, 2026, as compared to the same period in the prior fiscal year, was mainly driven by higher cash outflows from changes in working capital, primarily due to increased inventory purchases, partially offset by improved operating results.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for the three months ended April 30, 2026, as compared to the same period in the prior fiscal year, primarily due to approximately $30.7 million of additional funds invested in our security portfolio, partially offset by $0.6 million of lower payments for purchases of capital assets and software licenses.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1" w:right="39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for the three months ended April 30, 2026, as compared to the same period in the prior fiscal year, primarily due to an additional $2.7 million financing payment for the purchase of software licenses and $1.4 million of higher cash payment for the repurchase of our ordinary shares, partially offset by $1.0 million of additional cash received from stock compensation activities.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May 27, 2026, our Board of Directors authorized a new share repurchase program for a total of $50.0 million commencing July 1, 2026 through June 30, 2027. The new repurchase program replaces the existing program that expires on June 30, 2026. Refer to Note 16 of the Notes to Condensed Consolidated Financial Statements for additional information.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and Capital Expenditure Requirements</w:t>
      </w:r>
    </w:p>
    <w:p>
      <w:pPr>
        <w:spacing w:after="0" w:line="11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balances will be sufficient to meet our anticipated cash requirements through at least the next 12 months. In the future, we may require more working capital to meet our operating and capital expenditure needs. If our available cash balances are insufficient to satisfy our future liquidity requirements, we may seek to sell equity or convertible debt securities or borrow funds commercially.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2026, we had purchase obligations with our independent contract manufacturers of $53.9 million.</w:t>
      </w:r>
    </w:p>
    <w:p>
      <w:pPr>
        <w:spacing w:after="0" w:line="22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Except as described above, there were no other material changes in our contractual obligations, commitments and contingencies from those disclosed in our Annual Report on Form 10-K for the fiscal year ended January 31, 2026. Please see Item 7, “Management’s Discussion and Analysis of Financial Condition and Results of Operations – Contractual Obligations, Commitments and Contingencies” in our Annual Report on Form 10-K for the fiscal year ended January 31, 2026 for a description of our contractual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April 30, 2026, we did not engage in any off-balance sheet arrangements, including the use of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of Notes to Condensed Consolidated Financial Statements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right="20"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2026 fiscal year filed with the SEC on March 23,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market risk as described in Part II, Item 7A. “Quantitative and Qualitative Disclosures About Market Risk” in our Annual Report on Form 10-K for the 2026 fiscal year filed with the SEC on March 23, 2026.</w:t>
      </w: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7"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as of April 30, 2026,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fiscal quarter ended April 30, 2026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Disclosure Controls and Internal Control over Financial Reporting</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are not engaged in any material legal proceedings at this time. Refer to Note 14, Commitments and Contingencies of the Notes to Condensed Consolidated Financial Statements included in Part I, Item 1 of this Quarterly Report on Form 10-Q.</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6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54" w:lineRule="exact"/>
        <w:rPr>
          <w:sz w:val="20"/>
          <w:szCs w:val="20"/>
          <w:color w:val="auto"/>
        </w:rPr>
      </w:pPr>
    </w:p>
    <w:p>
      <w:pPr>
        <w:ind w:left="1020" w:right="1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and political conditions, including high inflation, recessionary concerns, trade restrictions, geopolitical tensions and war, may adversely impact our business and financial condition in ways that we currently cannot predict.</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left="503" w:right="2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if we fail to successfully penetrate new markets, our revenue and financial condition could be harmed.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global supply chain challenges could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adversely impact our gross margins and lead to reduced revenues.</w:t>
      </w:r>
    </w:p>
    <w:p>
      <w:pPr>
        <w:spacing w:after="0" w:line="117"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incorporate components supplied by multiple third parties, and a supply shortage or delay in delivery of these components could delay orders for our solutions by our customers.</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successfully develop and introduce new or enhanced solutions that meet market requirements on a timely basis, our ability to attract and retain customers could be impaired and our competitive position could be harmed.</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53" w:lineRule="exact"/>
        <w:rPr>
          <w:rFonts w:ascii="Times New Roman" w:cs="Times New Roman" w:eastAsia="Times New Roman" w:hAnsi="Times New Roman"/>
          <w:sz w:val="18"/>
          <w:szCs w:val="18"/>
          <w:color w:val="auto"/>
        </w:rPr>
      </w:pPr>
    </w:p>
    <w:p>
      <w:pPr>
        <w:ind w:left="503" w:right="76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inventory warehouse is located in Hong Kong and may be affected by continued political, social, health and economic conditions in Hong Kong.</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53" w:lineRule="exact"/>
        <w:rPr>
          <w:rFonts w:ascii="Times New Roman" w:cs="Times New Roman" w:eastAsia="Times New Roman" w:hAnsi="Times New Roman"/>
          <w:sz w:val="18"/>
          <w:szCs w:val="18"/>
          <w:color w:val="auto"/>
        </w:rPr>
      </w:pPr>
    </w:p>
    <w:p>
      <w:pPr>
        <w:ind w:left="503" w:right="44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3" w:lineRule="exact"/>
        <w:rPr>
          <w:rFonts w:ascii="Times New Roman" w:cs="Times New Roman" w:eastAsia="Times New Roman" w:hAnsi="Times New Roman"/>
          <w:sz w:val="18"/>
          <w:szCs w:val="18"/>
          <w:color w:val="auto"/>
        </w:rPr>
      </w:pPr>
    </w:p>
    <w:p>
      <w:pPr>
        <w:ind w:left="503" w:right="40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expect competition to increase in the future, which could have an adverse effect on our market share, revenue and results of operations.</w:t>
      </w:r>
    </w:p>
    <w:p>
      <w:pPr>
        <w:spacing w:after="0" w:line="53"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or other security breaches or incidents with respect to our products, networks or systems, may have a material adverse effect on our business.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which could harm our business.</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semiconductor solutions in our target markets have typically decreased over time and will likely do so in the future, which could harm our revenue and gross margins.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any future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w:t>
      </w:r>
    </w:p>
    <w:p>
      <w:pPr>
        <w:spacing w:after="0" w:line="117" w:lineRule="exact"/>
        <w:rPr>
          <w:rFonts w:ascii="Times New Roman" w:cs="Times New Roman" w:eastAsia="Times New Roman" w:hAnsi="Times New Roman"/>
          <w:sz w:val="18"/>
          <w:szCs w:val="18"/>
          <w:color w:val="auto"/>
        </w:rPr>
      </w:pPr>
    </w:p>
    <w:p>
      <w:pPr>
        <w:ind w:left="503" w:right="36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rFonts w:ascii="Times New Roman" w:cs="Times New Roman" w:eastAsia="Times New Roman" w:hAnsi="Times New Roman"/>
          <w:sz w:val="18"/>
          <w:szCs w:val="18"/>
          <w:color w:val="auto"/>
        </w:rPr>
      </w:pPr>
    </w:p>
    <w:p>
      <w:pPr>
        <w:ind w:left="503" w:right="6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industry standards could make our video and image processing solutions obsolete, which would cause our operating results to suffer.</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29" w:name="page30"/>
    <w:bookmarkEnd w:id="29"/>
    <w:p>
      <w:pPr>
        <w:ind w:left="1020" w:right="3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tax risks, including relating to the complexity of calculating our tax provision, changes in statutory tax rates, or unfavorable tax law changes.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117" w:lineRule="exact"/>
        <w:rPr>
          <w:rFonts w:ascii="Times New Roman" w:cs="Times New Roman" w:eastAsia="Times New Roman" w:hAnsi="Times New Roman"/>
          <w:sz w:val="18"/>
          <w:szCs w:val="18"/>
          <w:color w:val="auto"/>
        </w:rPr>
      </w:pPr>
    </w:p>
    <w:p>
      <w:pPr>
        <w:jc w:val="both"/>
        <w:ind w:left="1020" w:right="50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foundry vendors do not achieve satisfactory yields or quality, our reputation and customer relationships could be harmed.</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may cause disruptions in our shipments, which may adversely affect our operations and financial condition.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vendors to supply software development tools and intellectual property to us for the development of our new products, and we may be unable to obtain the tools necessary to develop or enhance new or existing products.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 including China. In addition, our ability to sell certain products to several Chinese customers has been restricted.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laws and regulatory compliance requirements, including Section 404 of the Sarbanes-Oxley Act of 2002, which are costly to comply with, and our failure to comply with these requirements could harm our business and operating results.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macroeconomic and political conditions, including high inflation, recessionary concerns, trade restrictions, geopolitical tensions and war, may adversely impact our business and financial condition in ways that we currently cannot predict.</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global company and our business, results of operations, and financial condition are impacted by global macroeconomic conditions. Macroeconomic events such as recession, high inflation, geopolitical tensions, war, public health crises, supply chain disruptions, rising energy costs, changes to U.S. trade policies and responses by foreign governments to such policies, and global banking concerns have caused economic volatility, which have in the past, and may continue to, harm our business. Economic volatility and adverse economic conditions have affected and may continue to affect the demand for our products and our customers’ products. Reduced demand for our customers’ products may negatively affect demand for our products and lead to a buildup of inventory at many of our customers, including their affiliates, partners, and contract manufacturers. Reduced demand for our products could result in decreases in our sales and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sell our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w:t>
      </w:r>
    </w:p>
    <w:p>
      <w:pPr>
        <w:spacing w:after="0" w:line="19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79"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if we fail to successfully penetrate new markets, our revenue and financial condition could be harmed.</w:t>
      </w:r>
    </w:p>
    <w:p>
      <w:pPr>
        <w:spacing w:after="0" w:line="159"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7"/>
          <w:szCs w:val="17"/>
          <w:color w:val="auto"/>
        </w:rPr>
        <w:t>We believe that our future revenue growth, if any, significantly depends on our ability to expand within the Internet of Things, or IoT, and automotive markets with our new artificial intelligence, or AI, SoC solutions, and penetrate, or further penetrate, the robotics and industrial markets. Each of these markets presents distinct and substantial risks and, in many cases, requires us to develop new functionality or software to address the particular requirements of that market. The application of AI functionality in these markets is relatively new, and we may be unable to predict the timing or development of these markets with accuracy. If any of these markets do not develop as we currently anticipate, the technical requirements of these markets evolve in ways we do not anticipate, the development of such markets is delayed or impacted by factors outside of our control, or if we are unable to penetrate, or further penetrate, them successfully with our solutions, our revenue could decline and our financial condition would be negatively impacted.</w:t>
      </w:r>
    </w:p>
    <w:p>
      <w:pPr>
        <w:spacing w:after="0" w:line="17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Some of these markets are primarily served by only a few large, multinational OEMs with substantial negotiating power relative to us and, in some instances, with internal solutions that are competitive to our products. Meeting the technical requirements and securing design wins in these markets requires a substantial investment of our time and resources and we cannot assure you that we will secure design wins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Impacts of the global supply chain challenges could adversely affect our business,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ind w:firstLine="509"/>
        <w:spacing w:after="0" w:line="253" w:lineRule="auto"/>
        <w:rPr>
          <w:sz w:val="20"/>
          <w:szCs w:val="20"/>
          <w:color w:val="auto"/>
        </w:rPr>
      </w:pPr>
      <w:r>
        <w:rPr>
          <w:rFonts w:ascii="Times New Roman" w:cs="Times New Roman" w:eastAsia="Times New Roman" w:hAnsi="Times New Roman"/>
          <w:sz w:val="18"/>
          <w:szCs w:val="18"/>
          <w:color w:val="auto"/>
        </w:rPr>
        <w:t>Managing our manufacturing capacity and supply chain is complex. Our ability to manage our supply chain has been, and could continue to be, adversely affected by a variety of factors including geopolitical conditions such as international trade tensions between the U.S. and China, military conflicts, natural disasters, health crises, and other factors beyond our control. Disruptions in the supply chain for materials used to produce semiconductors or significant increase in demand for semiconductors has, and may in the future, result in a lengthening of the manufacturing lead time for our products and impact the normal forecasting and ordering patterns of our customers. For example, we have experienced supply constraints for certain chips from Samsung Electronics Corporation (Samsung) and we may experience similar issues in the future, which could increase our manufacturing costs and reduce the gross margin of our products. There have been tightening supply conditions in the memory market and to the extent our customers face supply chain issues with respect to other components needed to pair with our products, such as memory components, in order to produce their end products, such customers may delay orders of our products or hold inventory of our products for longer periods of time, which could result in a decline in our revenue, a decline in gross margin, excess inventory or other adverse impact on our business.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22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Our suppliers may pass increases in the price of engineered materials, raw materials and commodity costs onto us, which could reduce our gross margin. The semiconductor industry is currently experiencing a tightening of manufacturing capacity, which may result in a lengthening of the manufacturing lead time for our products and could potentially negatively impact our revenue.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us and our customers having excess inventory.</w:t>
      </w:r>
    </w:p>
    <w:p>
      <w:pPr>
        <w:spacing w:after="0" w:line="188"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15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w:t>
      </w:r>
    </w:p>
    <w:p>
      <w:pPr>
        <w:spacing w:after="0" w:line="188"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develop and introduce new or enhanced solutions that meet market requirements on a timely basis, our ability to attract and retain customers could be impaired and our competitive position could be harmed.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including AI functionality, and that meet the technical and cost expectations of our customers. Our existing or future solutions could be rendered obsolete by the introduction of new products by our competitors, convergence of other markets with or into the video perception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Our failure to anticipate or timely develop new or enhanced solutions in response to technological shifts could result in decreased revenue and our competitors achieving design wins that we sought. As we develop and introduce new solutions, we also face the risk that customers may not value or be willing to bear the cost of incorporating these newer solutions into their products, particularly if they believe their customers are satisfied with current solutions. If we or our customers are unable to manage product transitions in a timely and cost-effective manner, our business and results of operations would suffer.</w:t>
      </w:r>
    </w:p>
    <w:p>
      <w:pPr>
        <w:spacing w:after="0" w:line="19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for some markets we address or seek to address we need to establish and maintain relationships with third-party suppliers or software providers in order to effectively market our solutions to end-customers. Failure to establish these relationships could harm our ability to achieve design wins.</w:t>
      </w:r>
    </w:p>
    <w:p>
      <w:pPr>
        <w:spacing w:after="0" w:line="172"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13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Most of our SoCs, including all of our recently introduced SoCs, support AI functionality implemented in our customers’ products, such as object detection, classification and tracking, image processing, and terrain mapping. Our latest generation of products also enable us to address computationally intense AI applications for deep fusion, deep planning, multi-modal vision-language models (VLMs), large language models (LLMs), vision-action models (VLAs) and reasoning models in edge devices. AI technologies are complex and rapidly evolving. The adoption of AI solutions may not develop in the manner or in the time periods we anticipate and, as the markets for AI solutions are still developing, demand for these products may be unpredictable and vary significantly from one period to another. These factors may adversely impact demand for our AI related products. In addition, compliance with evolving government regulations worldwide related to AI may increase the costs related to the development of AI products and solutions and limit global adoption, which may also adversely impact demand for our AI related products.</w:t>
      </w:r>
    </w:p>
    <w:p>
      <w:pPr>
        <w:spacing w:after="0" w:line="19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Concerns relating to the responsible use of AI in our and our customers’ products may result in reputational and financial harm and liability. AI poses emerging ethical issues and presents risks and challenges that could affect its adoption, and therefore our business. If we or our customers enable or offer solutions that draw controversy due to their perceived or actual impact on society, such as AI solutions that have unintended consequences or are controversial, we may experience reputational harm, competitive harm, financial harm or legal liability.</w:t>
      </w:r>
    </w:p>
    <w:p>
      <w:pPr>
        <w:spacing w:after="0" w:line="176"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health and economic conditions in Hong Kong.</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our logistic partners. Hong Kong has experienced, and continues to experience, political unrest and social strife. The Bureau of Industry and Security, or BIS, of the U.S. Department of Commerce, or Commerce, imposes on Hong Kong the same stringent export and reexport controls applicable to China, including licensing requirements such as those applicable to certain SoCs and semiconductor end-uses.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86"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3" w:name="page34"/>
    <w:bookmarkEnd w:id="33"/>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customers may seek to cancel, change or delay their product purchase commitments with little or no notice to us. Because production lead times often exceed the amount of time required by our customers to fill their orders, we often must build SoCs in advance of receiving orders from customers, relying on an imperfect demand forecast to project volumes and product mix. As a result, from time to time, we may see an increase in our inventory levels.</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pandemics, adverse changes in our product order mix and fluctuating demand for our customers’ products. Even after an order is received, our customers may seek to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8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79"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2026, the customer representing 10% or more of our revenue was WT Microelectronics Co., Ltd., or WT, which serves as our non-exclusive sales representative and fulfillment partner in Asia other than Japan, accounted for approximately 70% of total revenue. For the three months ended April 30, 2026, the customer representing 10% or more of our revenue was WT, which accounted for approximately 61% of total revenue. In addition, we believe that revenue from our top 10 end customers, either directly or through a distributor or an ODM, accounted for approximately 67% of our total revenue in fiscal year 2026 and accounted for approximately 67% of our total revenue for the three months ended April 30, 2026. Our largest end customer in fiscal year 2027 to date was Arashi Vision Inc. dba Insta360, or Arashi, for which we indirectly supply SoCs through WT to multiple ODMs that build products on behalf of Arashi. We believe that our operating results in the near term will continue to depend on sales to a relatively small number of customers and end customers. In the future, these customers may decide not to purchase our SoC solutions at all, may purchase fewer solutions than they did in the past or may alter their purchasing patterns. The loss of a significant customer, or substantial reduction in purchases by a significant customer, could happen again at any time and without notice, and such loss would likely lead to unanticipated revenue shortfalls and excess inventory and otherwise harm our financial condition and results of operations. Furthermore, any credit issues from WT could impair its ability to make timely payment to us. Moreover, because several of our largest OEM customers have a dominant position in their markets, a loss of a significant customer may not be easily replaced.</w:t>
      </w:r>
    </w:p>
    <w:p>
      <w:pPr>
        <w:spacing w:after="0" w:line="193"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4" w:name="page35"/>
    <w:bookmarkEnd w:id="34"/>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12 to 18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third-party contractors’ manufacturing or assembly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90"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expect competition to increase in the future, which could have an adverse effect on our market share, revenue and results of operations.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Once an OEM designs a competitor’s device into its product, it becomes significantly more difficult for us to sell our SoC solutions to that OEM because changing suppliers involves significant cost, time, effort and risk for the OEM. So a design loss to a competitor will likely preclude any opportunity for future revenue from such customer’s product. Increased competition could result in price pressure, reduced profitability and loss of market share, any of which could harm our business, revenue and operating results.</w:t>
      </w:r>
    </w:p>
    <w:p>
      <w:pPr>
        <w:spacing w:after="0" w:line="19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In the IoT market, our primary competitors include HiSilicon Technologies Co., Ltd., or HiSilicon, which is owned by Huawei Technologies Co., Novatek Microelectronics Corp., or Novatek, NVIDIA Corporation, or NVIDIA, Qualcomm Incorporated, or Qualcomm, and SigmaStar Technology Corp. In the automotive camera market, we primarily compete against Horizon Robotics Inc., Mobileye, a subsidiary of Intel Corporation, Novatek, NVIDIA,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291" w:lineRule="exact"/>
        <w:rPr>
          <w:sz w:val="20"/>
          <w:szCs w:val="20"/>
          <w:color w:val="auto"/>
        </w:rPr>
      </w:pPr>
    </w:p>
    <w:p>
      <w:pPr>
        <w:ind w:left="5540" w:right="2040" w:hanging="5023"/>
        <w:spacing w:after="0" w:line="532" w:lineRule="auto"/>
        <w:tabs>
          <w:tab w:leader="none" w:pos="10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or other security breaches or incidents with respect to our products, networks or systems, may have a material adverse effect on our business.</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confidential information and that of our customers, suppliers and employees. Accidental or willful security breaches or incidents or other unauthorized access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Our efforts to eliminate or alleviate cyber or other security problems, bugs, viruses, ransomware and other malicious software programs and security vulnerabilities could impose significant costs, may not be successful, and could result in interruptions and delays that may impede critical functions.</w:t>
      </w:r>
    </w:p>
    <w:p>
      <w:pPr>
        <w:spacing w:after="0" w:line="18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Security breaches and incidents, computer malware and computer hacking attacks have become more prevalent and sophisticated. These threats are constantly evolving, making it difficult to defend against or implement preventive measures, and we may face difficulties or delays in identifying and otherwise responding to any security breach or incident. The prevalence and use of new AI tools, both externally by third parties and internally by our employees, exacerbates these risks. Moreover, remote work by our personnel and remote access to our systems increase our cybersecurity risk profile. We expect to incur significant costs in an effort to detect and prevent security breaches and incidents, and any actual or perceived security breach or incident may require us to incur significant costs in notifying relevant persons and entities and may otherwise increase our costs and require us to expend substantial resources. Our policies and security measures cannot guarantee security, and our information technology (IT) infrastructure, including our networks and systems, may be vulnerable to security breaches and incidents, cyber-attacks, or fraud. Third parties have attempted, and will likely continue to attempt, to penetrate and/or infect our network and systems with malicious software and phishing attacks in an effort to gain access to our network and systems. Hackers or others may be able to penetrate our security controls, misappropriate or compromise our confidential information or that of third parties, deploy viruses, worms, ransomware or other malicious code, or cause damage or disruptions to our IT infrastructure. For portions of our IT infrastructure, we rely on offerings provided by third parties. These third-party offerings relate to, among other things, human resources, electronic communication services and some finance functions, and we are dependent on these third parties' security systems. These third parties are subject to similar, and in certain cases greater, security threats than we face. These third parties may also experience breaches, incidents, and attacks compromising or otherwise impacting their offerings, and their offerings may contain security vulnerabilities or malicious code, or otherwise detrimentally impact our systems. Any unauthorized access to, or other security breaches or incidents impacting, the systems of our service providers, or any computer viruses, ransomware or other malicious code in their data or software, could expose us to risks of unauthorized access to our IT infrastructure and loss, misappropriation, unavailability and other unauthorized processing of information. Security breaches and incidents may also result from non-technical means, such as employee or contractor malfeasance or negligence. Any security breach or incident or theft, misuse, loss, unavailability or other unauthorized processing of information, or the perception that any of these matters has occurred, could result in, among other things, damage to our reputation, allegations by our customers that we have not performed our contractual obligations, regulatory investigations and other proceedings,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ind w:right="80"/>
        <w:spacing w:after="0" w:line="254" w:lineRule="auto"/>
        <w:rPr>
          <w:sz w:val="20"/>
          <w:szCs w:val="20"/>
          <w:color w:val="auto"/>
        </w:rPr>
      </w:pPr>
      <w:r>
        <w:rPr>
          <w:rFonts w:ascii="Times New Roman" w:cs="Times New Roman" w:eastAsia="Times New Roman" w:hAnsi="Times New Roman"/>
          <w:sz w:val="18"/>
          <w:szCs w:val="18"/>
          <w:color w:val="auto"/>
        </w:rPr>
        <w:t>litigation and possible penalties, damages, and other liabilities, any of which could have a material adverse effect on our business, financial condition, our reputation, and our relationships with our customers and partners. We may also encounter or be subject to bugs, errors, or hacking or other events resulting in system interruptions or other disruptions, corruption or loss of data, an inability to accurately process or record transactions, and security or technical reliability issues. All of these could harm our ability to conduct core operating functions and could impact our internal control compliance efforts. Due to conflicts and geopolitical events, we and many third parties we work with are vulnerable to a heightened risk of cybersecurity attacks, and other means of causing security breaches and incidents from nation-state and affiliated actors. Further, the use of AI technologies may result in security breaches and incidents and our use of AI technologies may create additional cybersecurity risks or increase cybersecurity risks, including risks of security breaches and incidents. Further, AI technologies may be used in connection with certain cybersecurity attacks and may increase the intensity or effectiveness of such attacks or otherwise create heightened cybersecurity risks.</w:t>
      </w:r>
    </w:p>
    <w:p>
      <w:pPr>
        <w:spacing w:after="0" w:line="188" w:lineRule="exact"/>
        <w:rPr>
          <w:sz w:val="20"/>
          <w:szCs w:val="20"/>
          <w:color w:val="auto"/>
        </w:rPr>
      </w:pPr>
    </w:p>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54"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approximately $238.5 million, $226.1 million and $215.1 million in fiscal years 2026, 2025 and 2024, respectively. For the three months ended April 30, 2026, our research and development expense was approximately $58.1 million. In general, we expect to increase our research and development expenditures in future periods as compared to prior periods as part of our strategy of focusing on the development of innovative AI inference SoCs with increasing levels of functionality. We are unable to predict whether we will have sufficient resources to achieve the level of investment in research and development required to remain competitive. For example, development in the latest process nodes, such as 4 nanometer, or nm, or smaller, costs significantly more than required to develop in larger process nodes. This added cost could prevent us from being able to achieve or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 In addition, the U.S. government recently introduced regulations that require notification of, or prohibit certain transactions with entities in China or with linkages to China, which could apply to certain intracompany activities between a U.S. based corporation and its China subsidiaries that support research and development activities, which could limit our ability to carry out certain research and development activities in China.</w:t>
      </w:r>
    </w:p>
    <w:p>
      <w:pPr>
        <w:spacing w:after="0" w:line="183"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 which could harm our business.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our performance depends in large part on the talents and efforts of our senior management and other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AI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senior executives and employees. Our continued ability to compete effectively, and to grow our business, depends on our ability to attract new employees, including VLSI and AI engineers, and to retain and motivate our existing senior executives and employees.</w:t>
      </w:r>
    </w:p>
    <w:p>
      <w:pPr>
        <w:spacing w:after="0" w:line="184"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semiconductor solutions in our target markets have typically decreased over time and will likely do so in the future, which could harm our revenue and gross margins.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ind w:firstLine="509"/>
        <w:spacing w:after="0" w:line="254"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inference AI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to attract new customers or retain existing customers, new product introductions by us or our competitors and other factors. We expect that we will have to address pricing pressures again in the future, particularly in markets experiencing consolidation or with respect to our larger end customers, which could require us to reduce the prices of our SoC solutions and harm our operating results.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business has, at times,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industrial, robotics and intelligent transportation systems.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any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future revenues and collection of accounts receivable. For the fiscal year ended January 31, 2026, the customer representing 10% or more of revenue was WT, which accounted for approximately 70% of total revenue. For the three months ended April 30, 2026, the customer representing 10% or more of revenue was WT, which accounted for approximately 61% of total revenue. As of April 30, 2026 and January 31, 2026, accounts receivable with WT was approximately $18.7 million and $24.6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and cash flows would be negatively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22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The semiconductor industry is facing shortages of capacity for certain components used by our customers and certain semiconductor assembly processes, which could have an adverse impact on demand for our products, increase our expenses, impact customer relationships and otherwise negatively impact our results of operations. Challenges may recur in future periods with changes in the macro-economic environment, including imposition of higher or additional tariffs by the U.S. Government on imports and new or additional restrictions on exports to foreign locations.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8" w:name="page39"/>
    <w:bookmarkEnd w:id="38"/>
    <w:p>
      <w:pPr>
        <w:jc w:val="both"/>
        <w:ind w:right="2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84"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may face difficulties, delays and increased expense as we transition our products to new processes, such as the 2 nm process node,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 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20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design our solutions to conform to a broad range of technology standards set by industry standards setting bodies, including video compression standards such as MPEG-2, H.264 Advanced Video Coding (AVC) and H.265 High Efficiency Video Coding (HEVC). In addition, new or revised industry standards relating to AI technologies may impose additional requirements. Generally, our solutions comprise only a part of a customer’s device. All components of these devices must uniformly comply with industry standards in order to operate efficiently together.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w:t>
      </w:r>
    </w:p>
    <w:p>
      <w:pPr>
        <w:spacing w:after="0" w:line="184"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5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29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 from customers;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conflicts in Ukraine and the Middle East;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and/or additional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329"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tax risks, including relating to the complexity of calculating our tax provision, changes in statutory tax rates, or unfavorable tax law changes.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future pandemics or disease outbreaks, supply chain disruptions and semiconductor capacity shortages, including the buildup of inventory by customers in response to such shortages, and continued high inflation. In future periods, our forecasted or actual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0" w:name="page41"/>
    <w:bookmarkEnd w:id="40"/>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socioeconomic and political conditions in the countries where we operate or where our products are sold or used, including recent macroeconomic volatility, pandemics or widespread public health problems, U.S.-China relations and the conditions in Hong Kong; and</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profitability and cash flows, or incur losses.</w:t>
      </w:r>
    </w:p>
    <w:p>
      <w:pPr>
        <w:spacing w:after="0" w:line="188"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and we anticipate that this will continue. Sales to customers in Asia accounted for approximately 88%, 85% and 79% of our total revenue in fiscal years 2026, 2025 and 2024, respectively. For the three months ended April 30, 2026, sales to customers in Asia accounted for approximately 84% of total revenue.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or otherwise become illiquid, which could materially and adversely affect our financial results.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April 30, 2026, we had approximately $163.4 million invested in marketable debt securities. The marketable debt security investments primarily consisted of corporate bonds, asset-backed securities, U.S. government securities and commercial paper.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pandemics or widespread public health problems, the Eurozone crisis, the U.S. debt ceiling crisis, and imposition of tariffs, which affected various sectors of the financial markets and led to global credit and liquidity issues. We regularly maintain cash balances that are not insured or are in excess of the Federal Deposit Insurance Corporation’s (FDIC)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 The increasing demand for semiconductor chips for use in AI datacenter applications could cause our supply chain to prioritize their hyperscale customers over our production needs, which could harm our business.</w:t>
      </w:r>
    </w:p>
    <w:p>
      <w:pPr>
        <w:spacing w:after="0" w:line="19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179"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adverse manufacturing cost variances or supply chain disruptions,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We have experienced and may again experience in the future supply constraints at our primary foundry and assembly vendors resulting from industry wide supply chain challenges.</w:t>
      </w:r>
    </w:p>
    <w:p>
      <w:pPr>
        <w:spacing w:after="0" w:line="19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In addition, the current high demand for semiconductor chips for use in AI datacenter applications could cause our supply chain to prioritize their hyperscale customers over our production needs, which could harm our business.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4 nm or 2 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18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We do not seek to maintain sufficient inventory to address a lengthy transition period because we believe it is uneconomical. As a result, we may not be able to meet customer needs during such a transition, which could result in a decline in our sales, negatively impact our financial results and damage our customer relationships.</w:t>
      </w:r>
    </w:p>
    <w:p>
      <w:pPr>
        <w:spacing w:after="0" w:line="179"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WT, which serves as our non-exclusive sales representative and fulfillment partner in Asia other than Japan. Approximately 70%, 63% and 53% of our revenue was derived from sales through WT for the fiscal years ended January 31, 2026, 2025 and 2024, respectively, and approximately 61% of our revenue was derived from sales through WT for the three months ended April 30, 2026. We anticipate that a significant portion of our revenue will continue to be derived from sales through WT in the foreseeable future. Our current agreement with WT is effective until January 2029,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w:t>
      </w:r>
    </w:p>
    <w:p>
      <w:pPr>
        <w:spacing w:after="0" w:line="183"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and intellectual property to us for the development of our new products, and we may be unable to obtain the tools necessary to develop or enhance new or existing products.</w:t>
      </w:r>
    </w:p>
    <w:p>
      <w:pPr>
        <w:spacing w:after="0" w:line="15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We also rely upon third-party intellectual property to enable certain advanced features in our products. In the future, the design requirements necessary to meet consumer demands for more features and greater functionality from our solutions may exceed the capabilities of available intellectual property and software development tools. Unavailability of software development tools or intellectual property may result in our missing design cycles or losing design wins, either of which could result in a loss of market share or negatively impact our operating results.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4" w:name="page45"/>
    <w:bookmarkEnd w:id="44"/>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76"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84"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We have had disruptions in the past due to natural disasters disrupting the operations of our suppliers and this could happen again.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political conditions, including trade relations and regulations, may have an impact on our business and financial condition in ways that we currently cannot predict.</w:t>
      </w:r>
    </w:p>
    <w:p>
      <w:pPr>
        <w:spacing w:after="0" w:line="15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w:t>
      </w:r>
    </w:p>
    <w:p>
      <w:pPr>
        <w:spacing w:after="0" w:line="18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have escalated, which has, in our view, created and will perpetuate an uncertain business environment. Tariffs on Chinese-origin products increased and may do so further. The specific duty rates have fluctuated, with the United States imposing, revoking, and postponing various tariffs. Similarly, China has taken measures in response, including increased tariffs on U.S. products and the imposition of new export controls on rare earth metals, critical minerals, and other items. Further U.S. government investigations are currently underway that may result in new tariffs on certain products, including semiconductors, computers, and other products derivative of critical minerals. We are closely monitoring U.S. tariff policies, and retaliatory tariffs and actions from U.S. trading partners, which could have an adverse impact on our business and financial results. The full impact of these tariff measures on our business is uncertain.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5" w:name="page46"/>
    <w:bookmarkEnd w:id="45"/>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Additionally, in 2022, the U.S. government announced new controls restricting the ability to send certain products and technology related to semiconductors, semiconductor manufacturing, advanced computing, supercomputing, and artificial intelligence to China, including Hong Kong and Macau, without an export license. In many cases, these licenses are subject to a policy of denial and will not be issued. These controls have continued to expand both in scope and to include additional countries. While our current products are not restricted by these controls, such controls could impact our ability to export products to China in the future. It also is possible that the Chinese government will retaliate in ways that could impact our business. End-user and end-use restrictions continue to evolve and may change what we can provide to certain entities both in China and other countries.</w:t>
      </w:r>
    </w:p>
    <w:p>
      <w:pPr>
        <w:spacing w:after="0" w:line="1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to negative impacts from existing tariffs and trade restrictions,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w:t>
      </w:r>
    </w:p>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U.S. government recently introduced regulations that require notification of or prohibit certain transactions by the Company with entities in China or with linkages to China. These regulations could apply to certain intracompany activities with our China subsidiary or other activities with entities in China or with linkages to China. These regulations could also limit the ability of others to transact certain business with the Company if those transactions involve or benefit, directly or indirectly our operations in China.</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Changes in U.S. trade policy could trigger retaliatory actions by Russia, its allies and other affected countries, including China, resulting in a trade war.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or if other countries, including the U.S., become further involved in the conflict, we could face significant adverse effects to our business and financial condition.</w:t>
      </w:r>
    </w:p>
    <w:p>
      <w:pPr>
        <w:spacing w:after="0" w:line="183"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have significant business operations in Taiwan, including 374 employees as of April 30, 2026,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85"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6" w:name="page47"/>
    <w:bookmarkEnd w:id="4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Chinese customers has been restricted.</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Several of our Chinese customers have been added to the BIS Entity List, which imposes limitations on the supply of U.S. controlled items to the listed entities. These customers have sought to, and may continue to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8" w:lineRule="exact"/>
        <w:rPr>
          <w:sz w:val="20"/>
          <w:szCs w:val="20"/>
          <w:color w:val="auto"/>
        </w:rPr>
      </w:pPr>
    </w:p>
    <w:p>
      <w:pPr>
        <w:ind w:right="9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data processing, privacy, data protection and cybersecurity.</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legislative and regulatory framework for data processing, privacy, data protection and cybersecurity issues worldwide is rapidly evolving and is likely to remain uncertain for the foreseeable future. We collect, maintain, transfer and otherwise process personal information and other data as part of our business processes and activities. These actions are subject to a variety of U.S. and international laws and regulations, and oversight by various regulatory or other governmental bodies. Many foreign countries and governmental bodies, including China, the European Union and other relevant jurisdictions where we conduct business, have laws and regulations concerning these matters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The CCPA was modified by the California Privacy Rights Act of 2020, which became effective on January 1, 2023. Numerous other U.S. states have proposed, and in certain cases enacted privacy laws, many of which are similar to the CCPA. The U.S. Department of Justice has also issued regulations regarding certain bulk sensitive personal data transfers.</w:t>
      </w:r>
    </w:p>
    <w:p>
      <w:pPr>
        <w:spacing w:after="0" w:line="19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and provides for substantial fines and other remedies. The Data Security Law contains provisions that allow substantial government oversight and includes fines for failure to obtain required approval from China’s cyber and data protection regulators for cross-border personal information-related data transfers.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7" w:name="page48"/>
    <w:bookmarkEnd w:id="47"/>
    <w:p>
      <w:pPr>
        <w:ind w:firstLine="509"/>
        <w:spacing w:after="0" w:line="254" w:lineRule="auto"/>
        <w:rPr>
          <w:sz w:val="20"/>
          <w:szCs w:val="20"/>
          <w:color w:val="auto"/>
        </w:rPr>
      </w:pPr>
      <w:r>
        <w:rPr>
          <w:rFonts w:ascii="Times New Roman" w:cs="Times New Roman" w:eastAsia="Times New Roman" w:hAnsi="Times New Roman"/>
          <w:sz w:val="18"/>
          <w:szCs w:val="18"/>
          <w:color w:val="auto"/>
        </w:rPr>
        <w:t>Aspects of laws and regulations relating to data processing, privacy, data protection and cybersecurity, and their interpretation and enforcement, remain unclear, and these laws and regulations, as well as relevant industry standards or other actual or asserted obligations, may be interpreted or applied in a manner that is inconsistent with our practices or the features of our products or solutions. We may find it necessary to modify our products, solutions or practices and to incur substantial costs and expenses in an effort to comply. Further, in the event of any actual or alleged failure to comply with such laws, regulations, industry standards or other actual or asserted obligations,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data processing, privacy, data protection or cybersecurity concerns, or to comply with applicable laws, regulations, industry standards, or other actual or asserted obligations relating to these matters, even if unfounded, could result in additional cost and liability to us, inhibit sales, damage our reputation and adversely affect our business.</w:t>
      </w:r>
    </w:p>
    <w:p>
      <w:pPr>
        <w:spacing w:after="0" w:line="184"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Anti-corruption and anti-bribery laws have been enforced aggressively in recent years and are interpreted broadly to generally prohibit companies, their employees, agents, representatives, distributors, business partners, and third-party intermediaries from authorizing, offering, or providing, directly or indirectly, improper payments or benefits to recipients in the public or private sector. In many foreign countries, particularly in countries with developing economies, it may be a local custom that businesses operating in such countries engage in business practices that are prohibited by the FCPA or other applicable laws and regulations.</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Although we implemented an anti-corruption compliance program, we cannot assure you that none of our employees, agents, representatives, distributors, business partners or third-party intermediaries will take actions in violation of our policies and applicable law, for which we may be ultimately held responsible. Any allegations or violation of the FCPA or other applicable anti-corruption laws could result in whistleblower complaints, investigations, enforcement actions, severe criminal or civil sanctions, fines, adverse media coverage, and suspension or debarment from U.S. government contracting, all of which could have an adverse effect on our reputation, business, financial condition, operating results and cash flows. Responding to any investigation or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ind w:right="6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8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Failure to comply with these and similar laws and regulations could subject us to fines, penalties, civil or criminal sanctions, contract damage claims, and take-back of non-compliant products, which could harm our business, reputation and operating results. Similarly,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Global Select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or statutory tax rates or adverse outcomes resulting from examination of our tax returns could adversely affect our results.</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Changes in applicable laws could cause us to experience fluctuations in our tax obligations and effective tax rates and otherwise adversely affect our tax positions and/or our tax liabilities.</w:t>
      </w:r>
    </w:p>
    <w:p>
      <w:pPr>
        <w:spacing w:after="0" w:line="162"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For example, the Organization for Economic Co-operation and Development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One proposal is a framework that ensures an effective global minimum tax rate of 15% on certain multinationals that meet a consolidated revenues threshold of EUR 750 million or equivalent annually (Pillar Two). The Company believes that its consolidated revenues have not exceeded the relevant annual threshold.</w:t>
      </w:r>
    </w:p>
    <w:p>
      <w:pPr>
        <w:spacing w:after="0" w:line="187"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Further, the One Big Beautiful Bill Act (OBBBA) was enacted on July 4, 2025, and made a number of changes to existing tax law. The U.S. Treasury Department, the Internal Revenue Service (IRS), and other standard-setting bodies could interpret or issue guidance on how provisions of the OBBBA will be applied or otherwise administered, which can adversely affect our future income tax obligations and effective tax rates.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 changes to global tax laws are likely to occur, and such changes may adversely affect our statutory tax rate, operating results, and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9" w:name="page50"/>
    <w:bookmarkEnd w:id="49"/>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For example, our income tax returns are subject to continuous examination by the Internal Revenue Service and other tax authorities. Any such audit, examination or review requires management’s time, diverts internal resources and, in the event of an unfavorable outcome, may result in additional tax liabilities or other adjustments to our historical results.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for any taxable year, either (a) at least 75% of our gross income is passive income or (b) at least 50% of the value of our assets (based on an average of the quarterly values of those assets during the taxable year) is attributable to assets that produce or are held for the production of passive income, in each case including a pro rata portion of the income and assets of each subsidiary in which we own, directly or indirectly, at least 25% by value of such subsidiary’s equity interests, we may be characterized as a passive foreign investment company, or PFIC, for U.S. federal income tax purposes. If we are treated as a PFIC for any taxable year during which a U.S. holder holds ordinary shares, certain adverse U.S. federal income tax consequences could apply for such U.S. holder.</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PFIC for our 2027 fiscal year. However, a separate determination must be made at the close of each taxable year as to whether we are a PFIC for that taxable year, and we cannot assure you that we will not be a PFIC for our 2028 fiscal year or any future taxable year.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ind w:firstLine="509"/>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1"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certain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our ordinary shares has historically been highly volatile. The trading price of our ordinary shares is likely to remain volatile and could be subject to wide fluctuations in price in response to various factors, some of which are beyond our control. These factors include:</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failing to meet or exceed our guidance or investor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related to the banking industry or caused by pandemics, military conflicts, high inflation, and slow or negative market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a substantial number of our ordinary shares by us, our officers, or our significant stockholders as well as the perception that such sales or purchases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ordinary shares, short seller reports, and related media coverage;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or repurchase of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ordinary shares under our share repurchase program or failure to meet any expectations relating to our share repurchase program;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or failure of securities analysts to maintain coverage of us.</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52" w:name="page53"/>
    <w:bookmarkEnd w:id="52"/>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15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3" w:name="page54"/>
    <w:bookmarkEnd w:id="53"/>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adopted a share repurchase program to repurchase our ordinary shares; however, any future decisions to reduce or discontinue repurchasing our ordinary shares pursuant to such share repurchase program could cause the market price of our ordinary shares to decline.</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Although our Board of Directors has authorized a share repurchase program, any determination to execute share repurchases will be subject to, among other things, our financial position and results of operations, available cash and cash flow, capital requirements, market and business conditions, share price, acquisition opportunities and other factors, as well as our Board of Director’s continuing determination that the repurchase program is in the best interests of our shareholders and is in compliance with all laws and agreements applicable to the repurchase programs. Our share repurchase program does not oblige us to acquire any particular amount of ordinary shares, and it may be suspended at any time at the Company’s discretion. If we fail to meet any expectations related to share repurchases, the market price of our ordinary shares could decline. Additionally, price volatility of our ordinary shares over a given period may cause the average price at which we repurchase our ordinary shares to exceed the share’s market price at a given point in time. We may further increase or decrease the amount of repurchases of our ordinary shares in the future. Any reduction or discontinuance by us of repurchases of our ordinary shares pursuant to our current share repurchase program could cause the market price of our ordinary shares to decline.</w:t>
      </w:r>
    </w:p>
    <w:p>
      <w:pPr>
        <w:spacing w:after="0" w:line="184"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pandemics, and regional health issues, earthquakes, natural disasters,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climate change-related policies and regulations may have a long-term impact on our business.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Global climate change is causing, and is projected to continue to cause, an increase in the frequency and intensity of certain natural disasters. Additionally, adverse weather, such as drought, wildfires, severe storms, sea-level rise, flooding, heat waves and cold waves, may occur more frequently and/or with greater intensity. Such extreme events are driving changes in market dynamics, and local, national and international policies and regulations, which could result in disruptions to us, our suppliers, customers, and employees. These disruptions could make it more difficult and costly for us to deliver our products, obtain components or other supplies through our supply chain, maintain, or resume operations or perform other critical corporate functions, and could reduce customer demand for our products, which would harm our business.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displays information with respect to repurchases of the Company’s ordinary shares during the three months ended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148"/>
        </w:trPr>
        <w:tc>
          <w:tcPr>
            <w:tcW w:w="424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(i)</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(ii)</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(i)</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 2026 to February 28, 2026</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1, 2026 to March 31, 2026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47,198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2026 to April 30, 2026</w:t>
            </w:r>
          </w:p>
        </w:tc>
        <w:tc>
          <w:tcPr>
            <w:tcW w:w="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47,798</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47,798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-156845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-156845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-156845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-156845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1140" w:right="20" w:hanging="758"/>
        <w:spacing w:after="0" w:line="254"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$50.0 million share repurchase program, which we publicly announced on May 29, 2025, expires on June 30, 2026. As of April 30, 2026, we had repurchased an aggregate amount of $4.4 million of our ordinary shares, and we had approximately $45.6 million available to repurchase shares under the program through June 30, 2026. On May 27, 2026, our Board of Directors approved a new $50.0 million share repurchase program commencing July 1, 2026 through June 30, 2027. The new repurchase program replaces the existing program that expires on June 30, 2026. The repurchase programs do not obligate us to acquire any particular amount of ordinary shares, and they may be suspended at any time at our discretion. Shares may be repurchased through open market purchases, 10b5-1 plans or privately negotiated transactions. Repurchases are funded using our working capital and any repurchased shares are recorded as authorized but unissued shares.</w:t>
      </w:r>
    </w:p>
    <w:p>
      <w:pPr>
        <w:spacing w:after="0" w:line="83" w:lineRule="exact"/>
        <w:rPr>
          <w:rFonts w:ascii="Times New Roman" w:cs="Times New Roman" w:eastAsia="Times New Roman" w:hAnsi="Times New Roman"/>
          <w:sz w:val="18"/>
          <w:szCs w:val="18"/>
          <w:color w:val="auto"/>
        </w:rPr>
      </w:pPr>
    </w:p>
    <w:p>
      <w:pPr>
        <w:ind w:left="1140" w:right="140" w:hanging="758"/>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is calculated by total cash utilized (excluding commission) divided by total shares repurchased during the period.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During our fiscal quarter ending April 30, 2026, no director or officer, as defined in Rule 16a-1(f), adopted or terminated a “Rule 10b5-1 trading arrangement” or a “non-Rule 10b5-1 trading arrangement,” each as defined in Regulation S-K Item 408.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00" w:type="dxa"/>
            <w:vAlign w:val="bottom"/>
            <w:gridSpan w:val="8"/>
          </w:tcPr>
          <w:p>
            <w:pPr>
              <w:ind w:left="6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4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94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Amended and Restated Memorandum of Association and Second Amended and Restated Articles of Association of the Registrant.</w:t>
              </w:r>
            </w:hyperlink>
          </w:p>
        </w:tc>
        <w:tc>
          <w:tcPr>
            <w:tcW w:w="20" w:type="dxa"/>
            <w:vAlign w:val="bottom"/>
            <w:tcBorders>
              <w:bottom w:val="single" w:sz="8" w:color="0000EE"/>
            </w:tcBorders>
          </w:tcPr>
          <w:p>
            <w:pPr>
              <w:spacing w:after="0"/>
              <w:rPr>
                <w:sz w:val="24"/>
                <w:szCs w:val="24"/>
                <w:color w:val="auto"/>
              </w:rPr>
            </w:pPr>
          </w:p>
        </w:tc>
        <w:tc>
          <w:tcPr>
            <w:tcW w:w="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4"/>
                <w:szCs w:val="24"/>
                <w:color w:val="auto"/>
              </w:rPr>
            </w:pPr>
          </w:p>
        </w:tc>
        <w:tc>
          <w:tcPr>
            <w:tcW w:w="9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Amendment No. 8 to Sales Representative Agreement dated February 2, 2026 by and between Ambarella, Inc. and WT Microelectronics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 Ltd.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96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 13a-14(a) and 15d-14(a) of the Securities Exchange Act of 1934, as</w:t>
            </w:r>
          </w:p>
        </w:tc>
        <w:tc>
          <w:tcPr>
            <w:tcW w:w="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spacing w:after="0"/>
              <w:rPr>
                <w:sz w:val="24"/>
                <w:szCs w:val="24"/>
                <w:color w:val="auto"/>
              </w:rPr>
            </w:pPr>
          </w:p>
        </w:tc>
        <w:tc>
          <w:tcPr>
            <w:tcW w:w="96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Under Rule 13a-14(a) and 15d-14(a) of the Securities Exchange Act of 1934, as</w:t>
            </w:r>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32.1±</w:t>
            </w:r>
          </w:p>
        </w:tc>
        <w:tc>
          <w:tcPr>
            <w:tcW w:w="620" w:type="dxa"/>
            <w:vAlign w:val="bottom"/>
          </w:tcPr>
          <w:p>
            <w:pPr>
              <w:spacing w:after="0"/>
              <w:rPr>
                <w:sz w:val="24"/>
                <w:szCs w:val="24"/>
                <w:color w:val="auto"/>
              </w:rPr>
            </w:pPr>
          </w:p>
        </w:tc>
        <w:tc>
          <w:tcPr>
            <w:tcW w:w="100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Required Under Rule 13a-14(b) of the Securities Exchange Act</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of 1934, as amended, and 18 U.S.C. §1350.</w:t>
            </w:r>
          </w:p>
        </w:tc>
        <w:tc>
          <w:tcPr>
            <w:tcW w:w="20" w:type="dxa"/>
            <w:vAlign w:val="bottom"/>
            <w:tcBorders>
              <w:bottom w:val="single" w:sz="8" w:color="0000EE"/>
            </w:tcBorders>
          </w:tcPr>
          <w:p>
            <w:pPr>
              <w:spacing w:after="0"/>
              <w:rPr>
                <w:sz w:val="17"/>
                <w:szCs w:val="17"/>
                <w:color w:val="auto"/>
              </w:rPr>
            </w:pPr>
          </w:p>
        </w:tc>
        <w:tc>
          <w:tcPr>
            <w:tcW w:w="69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right="320" w:hanging="1132"/>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April 30, 2026,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8312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96" w:lineRule="exact"/>
        <w:rPr>
          <w:sz w:val="20"/>
          <w:szCs w:val="20"/>
          <w:color w:val="auto"/>
        </w:rPr>
      </w:pPr>
    </w:p>
    <w:p>
      <w:pPr>
        <w:ind w:left="1140" w:hanging="113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(No. 333-174838) Amendment No. 3 as filed with the</w:t>
      </w:r>
    </w:p>
    <w:p>
      <w:pPr>
        <w:spacing w:after="0" w:line="225" w:lineRule="exact"/>
        <w:rPr>
          <w:sz w:val="20"/>
          <w:szCs w:val="20"/>
          <w:color w:val="auto"/>
        </w:rPr>
      </w:pPr>
    </w:p>
    <w:p>
      <w:pPr>
        <w:ind w:left="1140" w:hanging="113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w:t>
      </w:r>
    </w:p>
    <w:p>
      <w:pPr>
        <w:spacing w:after="0" w:line="27" w:lineRule="exact"/>
        <w:rPr>
          <w:rFonts w:ascii="Times New Roman" w:cs="Times New Roman" w:eastAsia="Times New Roman" w:hAnsi="Times New Roman"/>
          <w:sz w:val="18"/>
          <w:szCs w:val="18"/>
          <w:color w:val="auto"/>
        </w:rPr>
      </w:pPr>
    </w:p>
    <w:p>
      <w:pPr>
        <w:ind w:left="1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Reports on Internal Control Over Financial Reporting and Certification of Disclosure in Exchange Act Periodic Reports, the certifications furnished in Exhibit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6" w:name="page57"/>
    <w:bookmarkEnd w:id="56"/>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56" w:lineRule="exact"/>
        <w:rPr>
          <w:sz w:val="20"/>
          <w:szCs w:val="20"/>
          <w:color w:val="auto"/>
        </w:rPr>
      </w:pPr>
    </w:p>
    <w:p>
      <w:pPr>
        <w:spacing w:after="0"/>
        <w:tabs>
          <w:tab w:leader="none" w:pos="5760" w:val="left"/>
          <w:tab w:leader="none" w:pos="798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26035</wp:posOffset>
            </wp:positionV>
            <wp:extent cx="31457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04"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Feng-Ming Wang</w:t>
      </w:r>
    </w:p>
    <w:p>
      <w:pPr>
        <w:spacing w:after="0" w:line="8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37" w:lineRule="exact"/>
        <w:rPr>
          <w:sz w:val="20"/>
          <w:szCs w:val="20"/>
          <w:color w:val="auto"/>
        </w:rPr>
      </w:pPr>
    </w:p>
    <w:p>
      <w:pPr>
        <w:spacing w:after="0"/>
        <w:tabs>
          <w:tab w:leader="none" w:pos="5760" w:val="left"/>
          <w:tab w:leader="none" w:pos="808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26035</wp:posOffset>
            </wp:positionV>
            <wp:extent cx="31457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04"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John A. Young</w:t>
      </w:r>
    </w:p>
    <w:p>
      <w:pPr>
        <w:spacing w:after="0" w:line="8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AMENDMENT NO. 8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SALES REPRESENTATIVE AGREEMENT</w:t>
      </w:r>
    </w:p>
    <w:p>
      <w:pPr>
        <w:spacing w:after="0" w:line="175" w:lineRule="exact"/>
        <w:rPr>
          <w:sz w:val="20"/>
          <w:szCs w:val="20"/>
          <w:color w:val="auto"/>
        </w:rPr>
      </w:pPr>
    </w:p>
    <w:p>
      <w:pPr>
        <w:ind w:right="320"/>
        <w:spacing w:after="0"/>
        <w:rPr>
          <w:sz w:val="20"/>
          <w:szCs w:val="20"/>
          <w:color w:val="auto"/>
        </w:rPr>
      </w:pPr>
      <w:r>
        <w:rPr>
          <w:rFonts w:ascii="Arial" w:cs="Arial" w:eastAsia="Arial" w:hAnsi="Arial"/>
          <w:sz w:val="20"/>
          <w:szCs w:val="20"/>
          <w:color w:val="auto"/>
        </w:rPr>
        <w:t>This Amendment No. 8 to Sales Representative Agreement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by and between Ambarella International LP, an Ontario, Canada limited partnership having a place of business at PO Box 309, Ugland House, Grand Cayman, KY1-1104, Cayman Islands (“</w:t>
      </w:r>
      <w:r>
        <w:rPr>
          <w:rFonts w:ascii="Arial" w:cs="Arial" w:eastAsia="Arial" w:hAnsi="Arial"/>
          <w:sz w:val="20"/>
          <w:szCs w:val="20"/>
          <w:b w:val="1"/>
          <w:bCs w:val="1"/>
          <w:color w:val="auto"/>
        </w:rPr>
        <w:t>COMPANY</w:t>
      </w:r>
      <w:r>
        <w:rPr>
          <w:rFonts w:ascii="Arial" w:cs="Arial" w:eastAsia="Arial" w:hAnsi="Arial"/>
          <w:sz w:val="20"/>
          <w:szCs w:val="20"/>
          <w:color w:val="auto"/>
        </w:rPr>
        <w:t>”), and WT Microelectronics Co., Ltd., with a place of business at 14F, No. 738, Chung Cheng Road, Chung Ho City, Taipei Hsien, Taiwan, R.O.C. (“</w:t>
      </w:r>
      <w:r>
        <w:rPr>
          <w:rFonts w:ascii="Arial" w:cs="Arial" w:eastAsia="Arial" w:hAnsi="Arial"/>
          <w:sz w:val="20"/>
          <w:szCs w:val="20"/>
          <w:b w:val="1"/>
          <w:bCs w:val="1"/>
          <w:color w:val="auto"/>
        </w:rPr>
        <w:t>Representative</w:t>
      </w:r>
      <w:r>
        <w:rPr>
          <w:rFonts w:ascii="Arial" w:cs="Arial" w:eastAsia="Arial" w:hAnsi="Arial"/>
          <w:sz w:val="20"/>
          <w:szCs w:val="20"/>
          <w:color w:val="auto"/>
        </w:rPr>
        <w:t>”).</w:t>
      </w:r>
    </w:p>
    <w:p>
      <w:pPr>
        <w:spacing w:after="0" w:line="122"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WHEREAS, Ambarella, Inc. (an affiliate of Ambarella International LP) and Representative entered into a Sales Representative Agreement, effective January 31, 2011, as amended by Amendment No. 1 to Sales Representative Agreement, effective February 1, 2012, Amendment No. 2 to Sales Representative Agreement, effective October 1, 2012, Amendment No. 3 to Sales Representative Agreement, effective February 1, 2013, Amendment to Extend Term of Sales Representative Agreement, effective August 1, 2015, Amendment to Sales Representative Agreement, effective June 1, 2019, Amendment No. 6 to Sales Representative Agreement, effective May 1, 2021, and Amendment No. 7 to Sales Representative Agreement, effective March 6, 2023 (collectively,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2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WHEREAS, Ambarella, Inc. assigned the Agreement to Ambarella International LP, effective December 7, 2020, and the parties now wish to amend the Agreement.</w:t>
      </w:r>
    </w:p>
    <w:p>
      <w:pPr>
        <w:spacing w:after="0" w:line="128"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NOW, THEREFORE, in consideration of the terms and conditions set forth in this Amendment, and for other good and valuable consideration, the receipt and sufficiency of which is hereby acknowledged, the parties agree that the Agreement is hereby amended as follows:</w:t>
      </w:r>
    </w:p>
    <w:p>
      <w:pPr>
        <w:spacing w:after="0" w:line="131" w:lineRule="exact"/>
        <w:rPr>
          <w:sz w:val="20"/>
          <w:szCs w:val="20"/>
          <w:color w:val="auto"/>
        </w:rPr>
      </w:pPr>
    </w:p>
    <w:p>
      <w:pPr>
        <w:ind w:left="760" w:right="140" w:hanging="378"/>
        <w:spacing w:after="0" w:line="234" w:lineRule="auto"/>
        <w:tabs>
          <w:tab w:leader="none" w:pos="7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Unless otherwise defined herein, all capitalized terms set forth herein shall have the same meanings attributed to such terms in the Agreement.</w:t>
      </w:r>
    </w:p>
    <w:p>
      <w:pPr>
        <w:spacing w:after="0" w:line="1" w:lineRule="exact"/>
        <w:rPr>
          <w:rFonts w:ascii="Arial" w:cs="Arial" w:eastAsia="Arial" w:hAnsi="Arial"/>
          <w:sz w:val="20"/>
          <w:szCs w:val="20"/>
          <w:color w:val="auto"/>
        </w:rPr>
      </w:pPr>
    </w:p>
    <w:p>
      <w:pPr>
        <w:ind w:left="760" w:right="220" w:hanging="378"/>
        <w:spacing w:after="0" w:line="225" w:lineRule="auto"/>
        <w:tabs>
          <w:tab w:leader="none" w:pos="7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This Amendment shall become effective on February 1, 2026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and expire or terminate upon the expiration or termination of the Agreement. The provisions of this Amendment shall survive expiration or termination to the extent set forth in the Agreement.</w:t>
      </w:r>
    </w:p>
    <w:p>
      <w:pPr>
        <w:spacing w:after="0" w:line="1" w:lineRule="exact"/>
        <w:rPr>
          <w:rFonts w:ascii="Arial" w:cs="Arial" w:eastAsia="Arial" w:hAnsi="Arial"/>
          <w:sz w:val="20"/>
          <w:szCs w:val="20"/>
          <w:color w:val="auto"/>
        </w:rPr>
      </w:pPr>
    </w:p>
    <w:p>
      <w:pPr>
        <w:ind w:left="760" w:right="140" w:hanging="378"/>
        <w:spacing w:after="0" w:line="225" w:lineRule="auto"/>
        <w:tabs>
          <w:tab w:leader="none" w:pos="76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Extension of Term</w:t>
      </w:r>
      <w:r>
        <w:rPr>
          <w:rFonts w:ascii="Arial" w:cs="Arial" w:eastAsia="Arial" w:hAnsi="Arial"/>
          <w:sz w:val="20"/>
          <w:szCs w:val="20"/>
          <w:color w:val="auto"/>
        </w:rPr>
        <w:t xml:space="preserve">. With effect from February 1, 2026, and subject to the provisions of Section 14 of the Agreement, the term of the Agreement shall be extended to and including </w:t>
      </w:r>
      <w:r>
        <w:rPr>
          <w:rFonts w:ascii="Arial" w:cs="Arial" w:eastAsia="Arial" w:hAnsi="Arial"/>
          <w:sz w:val="20"/>
          <w:szCs w:val="20"/>
          <w:b w:val="1"/>
          <w:bCs w:val="1"/>
          <w:color w:val="auto"/>
        </w:rPr>
        <w:t>January 31, 2029</w:t>
      </w:r>
      <w:r>
        <w:rPr>
          <w:rFonts w:ascii="Arial" w:cs="Arial" w:eastAsia="Arial" w:hAnsi="Arial"/>
          <w:sz w:val="20"/>
          <w:szCs w:val="20"/>
          <w:color w:val="auto"/>
        </w:rPr>
        <w:t xml:space="preserve"> (the “</w:t>
      </w:r>
      <w:r>
        <w:rPr>
          <w:rFonts w:ascii="Arial" w:cs="Arial" w:eastAsia="Arial" w:hAnsi="Arial"/>
          <w:sz w:val="20"/>
          <w:szCs w:val="20"/>
          <w:b w:val="1"/>
          <w:bCs w:val="1"/>
          <w:color w:val="auto"/>
        </w:rPr>
        <w:t>Term</w:t>
      </w:r>
      <w:r>
        <w:rPr>
          <w:rFonts w:ascii="Arial" w:cs="Arial" w:eastAsia="Arial" w:hAnsi="Arial"/>
          <w:sz w:val="20"/>
          <w:szCs w:val="20"/>
          <w:color w:val="auto"/>
        </w:rPr>
        <w:t>”). If the parties continue to perform under the Agreement after the expiration of the foregoing Term, the Agreement will then automatically renew for successive fixed terms of twelve (12) months each unless terminated by written notice at least sixty (60) days prior to each consecutive anniversary date hereof.</w:t>
      </w:r>
    </w:p>
    <w:p>
      <w:pPr>
        <w:spacing w:after="0" w:line="1" w:lineRule="exact"/>
        <w:rPr>
          <w:rFonts w:ascii="Arial" w:cs="Arial" w:eastAsia="Arial" w:hAnsi="Arial"/>
          <w:sz w:val="20"/>
          <w:szCs w:val="20"/>
          <w:color w:val="auto"/>
        </w:rPr>
      </w:pPr>
    </w:p>
    <w:p>
      <w:pPr>
        <w:jc w:val="both"/>
        <w:ind w:left="760" w:right="320" w:hanging="378"/>
        <w:spacing w:after="0" w:line="225" w:lineRule="auto"/>
        <w:tabs>
          <w:tab w:leader="none" w:pos="7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Except as otherwise provided in this Amendment, all terms and conditions of the Agreement shall remain in full force and effect. To the extent this Amendment conflicts with the Agreement, the terms and conditions of this Amendment shall control.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218" w:lineRule="exact"/>
        <w:rPr>
          <w:sz w:val="20"/>
          <w:szCs w:val="20"/>
          <w:color w:val="auto"/>
        </w:rPr>
      </w:pPr>
    </w:p>
    <w:p>
      <w:pPr>
        <w:ind w:right="360"/>
        <w:spacing w:after="0" w:line="257" w:lineRule="auto"/>
        <w:rPr>
          <w:sz w:val="20"/>
          <w:szCs w:val="20"/>
          <w:color w:val="auto"/>
        </w:rPr>
      </w:pPr>
      <w:r>
        <w:rPr>
          <w:rFonts w:ascii="Arial" w:cs="Arial" w:eastAsia="Arial" w:hAnsi="Arial"/>
          <w:sz w:val="20"/>
          <w:szCs w:val="20"/>
          <w:color w:val="auto"/>
        </w:rPr>
        <w:t>IN WITNESS WHEREOF, the parties have caused their duly authorized representatives to execute this Amendment No. 8 to Sales Representative Agreement as of the Amendment Effective Date.</w:t>
      </w:r>
    </w:p>
    <w:p>
      <w:pPr>
        <w:spacing w:after="0" w:line="200" w:lineRule="exact"/>
        <w:rPr>
          <w:sz w:val="20"/>
          <w:szCs w:val="20"/>
          <w:color w:val="auto"/>
        </w:rPr>
      </w:pP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460" w:type="dxa"/>
            <w:vAlign w:val="bottom"/>
            <w:gridSpan w:val="6"/>
          </w:tcPr>
          <w:p>
            <w:pPr>
              <w:spacing w:after="0"/>
              <w:rPr>
                <w:sz w:val="20"/>
                <w:szCs w:val="20"/>
                <w:color w:val="auto"/>
              </w:rPr>
            </w:pPr>
            <w:r>
              <w:rPr>
                <w:rFonts w:ascii="Arial" w:cs="Arial" w:eastAsia="Arial" w:hAnsi="Arial"/>
                <w:sz w:val="20"/>
                <w:szCs w:val="20"/>
                <w:b w:val="1"/>
                <w:bCs w:val="1"/>
                <w:color w:val="auto"/>
              </w:rPr>
              <w:t>Ambarella International LP</w:t>
            </w:r>
          </w:p>
        </w:tc>
        <w:tc>
          <w:tcPr>
            <w:tcW w:w="3060" w:type="dxa"/>
            <w:vAlign w:val="bottom"/>
            <w:gridSpan w:val="5"/>
          </w:tcPr>
          <w:p>
            <w:pPr>
              <w:ind w:left="160"/>
              <w:spacing w:after="0"/>
              <w:rPr>
                <w:sz w:val="20"/>
                <w:szCs w:val="20"/>
                <w:color w:val="auto"/>
              </w:rPr>
            </w:pPr>
            <w:r>
              <w:rPr>
                <w:rFonts w:ascii="Arial" w:cs="Arial" w:eastAsia="Arial" w:hAnsi="Arial"/>
                <w:sz w:val="20"/>
                <w:szCs w:val="20"/>
                <w:b w:val="1"/>
                <w:bCs w:val="1"/>
                <w:color w:val="auto"/>
              </w:rPr>
              <w:t>WT Microelectronics Co., Ltd.</w:t>
            </w:r>
          </w:p>
        </w:tc>
      </w:tr>
      <w:tr>
        <w:trPr>
          <w:trHeight w:val="216"/>
        </w:trPr>
        <w:tc>
          <w:tcPr>
            <w:tcW w:w="5460" w:type="dxa"/>
            <w:vAlign w:val="bottom"/>
            <w:gridSpan w:val="6"/>
          </w:tcPr>
          <w:p>
            <w:pPr>
              <w:spacing w:after="0" w:line="216" w:lineRule="exact"/>
              <w:rPr>
                <w:sz w:val="20"/>
                <w:szCs w:val="20"/>
                <w:color w:val="auto"/>
              </w:rPr>
            </w:pPr>
            <w:r>
              <w:rPr>
                <w:rFonts w:ascii="Arial" w:cs="Arial" w:eastAsia="Arial" w:hAnsi="Arial"/>
                <w:sz w:val="20"/>
                <w:szCs w:val="20"/>
                <w:b w:val="1"/>
                <w:bCs w:val="1"/>
                <w:color w:val="auto"/>
              </w:rPr>
              <w:t>(represented by Ambarella, Inc., acting in its capacity as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73"/>
        </w:trPr>
        <w:tc>
          <w:tcPr>
            <w:tcW w:w="5460" w:type="dxa"/>
            <w:vAlign w:val="bottom"/>
            <w:gridSpan w:val="6"/>
          </w:tcPr>
          <w:p>
            <w:pPr>
              <w:spacing w:after="0"/>
              <w:rPr>
                <w:sz w:val="20"/>
                <w:szCs w:val="20"/>
                <w:color w:val="auto"/>
              </w:rPr>
            </w:pPr>
            <w:r>
              <w:rPr>
                <w:rFonts w:ascii="Arial" w:cs="Arial" w:eastAsia="Arial" w:hAnsi="Arial"/>
                <w:sz w:val="20"/>
                <w:szCs w:val="20"/>
                <w:b w:val="1"/>
                <w:bCs w:val="1"/>
                <w:color w:val="auto"/>
              </w:rPr>
              <w:t>General Partner of Ambarella International LP)</w:t>
            </w: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371"/>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00" w:type="dxa"/>
            <w:vAlign w:val="bottom"/>
          </w:tcPr>
          <w:p>
            <w:pPr>
              <w:spacing w:after="0"/>
              <w:rPr>
                <w:sz w:val="24"/>
                <w:szCs w:val="24"/>
                <w:color w:val="auto"/>
              </w:rPr>
            </w:pPr>
          </w:p>
        </w:tc>
        <w:tc>
          <w:tcPr>
            <w:tcW w:w="4960" w:type="dxa"/>
            <w:vAlign w:val="bottom"/>
            <w:gridSpan w:val="4"/>
          </w:tcPr>
          <w:p>
            <w:pPr>
              <w:ind w:left="20"/>
              <w:spacing w:after="0"/>
              <w:rPr>
                <w:sz w:val="20"/>
                <w:szCs w:val="20"/>
                <w:color w:val="auto"/>
              </w:rPr>
            </w:pPr>
            <w:r>
              <w:rPr>
                <w:rFonts w:ascii="Arial" w:cs="Arial" w:eastAsia="Arial" w:hAnsi="Arial"/>
                <w:sz w:val="20"/>
                <w:szCs w:val="20"/>
                <w:color w:val="auto"/>
              </w:rPr>
              <w:t>/s/ Yun-Lung Chen</w:t>
            </w:r>
          </w:p>
        </w:tc>
        <w:tc>
          <w:tcPr>
            <w:tcW w:w="740" w:type="dxa"/>
            <w:vAlign w:val="bottom"/>
            <w:gridSpan w:val="3"/>
          </w:tcPr>
          <w:p>
            <w:pPr>
              <w:ind w:left="160"/>
              <w:spacing w:after="0"/>
              <w:rPr>
                <w:sz w:val="20"/>
                <w:szCs w:val="20"/>
                <w:color w:val="auto"/>
              </w:rPr>
            </w:pPr>
            <w:r>
              <w:rPr>
                <w:rFonts w:ascii="Arial" w:cs="Arial" w:eastAsia="Arial" w:hAnsi="Arial"/>
                <w:sz w:val="20"/>
                <w:szCs w:val="20"/>
                <w:color w:val="auto"/>
              </w:rPr>
              <w:t>By:</w:t>
            </w:r>
          </w:p>
        </w:tc>
        <w:tc>
          <w:tcPr>
            <w:tcW w:w="2320" w:type="dxa"/>
            <w:vAlign w:val="bottom"/>
            <w:gridSpan w:val="2"/>
          </w:tcPr>
          <w:p>
            <w:pPr>
              <w:ind w:left="140"/>
              <w:spacing w:after="0"/>
              <w:rPr>
                <w:sz w:val="20"/>
                <w:szCs w:val="20"/>
                <w:color w:val="auto"/>
              </w:rPr>
            </w:pPr>
            <w:r>
              <w:rPr>
                <w:rFonts w:ascii="Arial" w:cs="Arial" w:eastAsia="Arial" w:hAnsi="Arial"/>
                <w:sz w:val="20"/>
                <w:szCs w:val="20"/>
                <w:color w:val="auto"/>
                <w:w w:val="98"/>
              </w:rPr>
              <w:t>/s/ Eric Cheng ________</w:t>
            </w:r>
          </w:p>
        </w:tc>
      </w:tr>
      <w:tr>
        <w:trPr>
          <w:trHeight w:val="20"/>
        </w:trPr>
        <w:tc>
          <w:tcPr>
            <w:tcW w:w="4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463"/>
        </w:trPr>
        <w:tc>
          <w:tcPr>
            <w:tcW w:w="5460" w:type="dxa"/>
            <w:vAlign w:val="bottom"/>
            <w:gridSpan w:val="6"/>
          </w:tcPr>
          <w:p>
            <w:pPr>
              <w:spacing w:after="0"/>
              <w:rPr>
                <w:sz w:val="20"/>
                <w:szCs w:val="20"/>
                <w:color w:val="auto"/>
              </w:rPr>
            </w:pPr>
            <w:r>
              <w:rPr>
                <w:rFonts w:ascii="Arial" w:cs="Arial" w:eastAsia="Arial" w:hAnsi="Arial"/>
                <w:sz w:val="20"/>
                <w:szCs w:val="20"/>
                <w:color w:val="auto"/>
              </w:rPr>
              <w:t>Name: Yun-Lung Chen</w:t>
            </w:r>
          </w:p>
        </w:tc>
        <w:tc>
          <w:tcPr>
            <w:tcW w:w="740" w:type="dxa"/>
            <w:vAlign w:val="bottom"/>
            <w:gridSpan w:val="3"/>
          </w:tcPr>
          <w:p>
            <w:pPr>
              <w:ind w:left="160"/>
              <w:spacing w:after="0"/>
              <w:rPr>
                <w:sz w:val="20"/>
                <w:szCs w:val="20"/>
                <w:color w:val="auto"/>
              </w:rPr>
            </w:pPr>
            <w:r>
              <w:rPr>
                <w:rFonts w:ascii="Arial" w:cs="Arial" w:eastAsia="Arial" w:hAnsi="Arial"/>
                <w:sz w:val="20"/>
                <w:szCs w:val="20"/>
                <w:color w:val="auto"/>
                <w:w w:val="94"/>
              </w:rPr>
              <w:t>Name:</w:t>
            </w:r>
          </w:p>
        </w:tc>
        <w:tc>
          <w:tcPr>
            <w:tcW w:w="2320" w:type="dxa"/>
            <w:vAlign w:val="bottom"/>
            <w:gridSpan w:val="2"/>
          </w:tcPr>
          <w:p>
            <w:pPr>
              <w:ind w:left="160"/>
              <w:spacing w:after="0"/>
              <w:rPr>
                <w:sz w:val="20"/>
                <w:szCs w:val="20"/>
                <w:color w:val="auto"/>
              </w:rPr>
            </w:pPr>
            <w:r>
              <w:rPr>
                <w:rFonts w:ascii="Arial" w:cs="Arial" w:eastAsia="Arial" w:hAnsi="Arial"/>
                <w:sz w:val="20"/>
                <w:szCs w:val="20"/>
                <w:color w:val="auto"/>
              </w:rPr>
              <w:t>Eric Cheng</w:t>
            </w:r>
          </w:p>
        </w:tc>
      </w:tr>
      <w:tr>
        <w:trPr>
          <w:trHeight w:val="432"/>
        </w:trPr>
        <w:tc>
          <w:tcPr>
            <w:tcW w:w="500" w:type="dxa"/>
            <w:vAlign w:val="bottom"/>
            <w:gridSpan w:val="2"/>
          </w:tcPr>
          <w:p>
            <w:pPr>
              <w:spacing w:after="0"/>
              <w:rPr>
                <w:sz w:val="20"/>
                <w:szCs w:val="20"/>
                <w:color w:val="auto"/>
              </w:rPr>
            </w:pPr>
            <w:r>
              <w:rPr>
                <w:rFonts w:ascii="Arial" w:cs="Arial" w:eastAsia="Arial" w:hAnsi="Arial"/>
                <w:sz w:val="20"/>
                <w:szCs w:val="20"/>
                <w:color w:val="auto"/>
              </w:rPr>
              <w:t>Title:</w:t>
            </w:r>
          </w:p>
        </w:tc>
        <w:tc>
          <w:tcPr>
            <w:tcW w:w="80" w:type="dxa"/>
            <w:vAlign w:val="bottom"/>
          </w:tcPr>
          <w:p>
            <w:pPr>
              <w:spacing w:after="0"/>
              <w:rPr>
                <w:sz w:val="24"/>
                <w:szCs w:val="24"/>
                <w:color w:val="auto"/>
              </w:rPr>
            </w:pPr>
          </w:p>
        </w:tc>
        <w:tc>
          <w:tcPr>
            <w:tcW w:w="4880" w:type="dxa"/>
            <w:vAlign w:val="bottom"/>
            <w:gridSpan w:val="3"/>
          </w:tcPr>
          <w:p>
            <w:pPr>
              <w:ind w:left="20"/>
              <w:spacing w:after="0"/>
              <w:rPr>
                <w:sz w:val="20"/>
                <w:szCs w:val="20"/>
                <w:color w:val="auto"/>
              </w:rPr>
            </w:pPr>
            <w:r>
              <w:rPr>
                <w:rFonts w:ascii="Arial" w:cs="Arial" w:eastAsia="Arial" w:hAnsi="Arial"/>
                <w:sz w:val="20"/>
                <w:szCs w:val="20"/>
                <w:color w:val="auto"/>
              </w:rPr>
              <w:t>VP</w:t>
            </w:r>
          </w:p>
        </w:tc>
        <w:tc>
          <w:tcPr>
            <w:tcW w:w="740" w:type="dxa"/>
            <w:vAlign w:val="bottom"/>
            <w:gridSpan w:val="3"/>
          </w:tcPr>
          <w:p>
            <w:pPr>
              <w:ind w:left="160"/>
              <w:spacing w:after="0"/>
              <w:rPr>
                <w:sz w:val="20"/>
                <w:szCs w:val="20"/>
                <w:color w:val="auto"/>
              </w:rPr>
            </w:pPr>
            <w:r>
              <w:rPr>
                <w:rFonts w:ascii="Arial" w:cs="Arial" w:eastAsia="Arial" w:hAnsi="Arial"/>
                <w:sz w:val="20"/>
                <w:szCs w:val="20"/>
                <w:color w:val="auto"/>
              </w:rPr>
              <w:t>Title:</w:t>
            </w:r>
          </w:p>
        </w:tc>
        <w:tc>
          <w:tcPr>
            <w:tcW w:w="2320" w:type="dxa"/>
            <w:vAlign w:val="bottom"/>
            <w:gridSpan w:val="2"/>
          </w:tcPr>
          <w:p>
            <w:pPr>
              <w:ind w:left="20"/>
              <w:spacing w:after="0"/>
              <w:rPr>
                <w:sz w:val="20"/>
                <w:szCs w:val="20"/>
                <w:color w:val="auto"/>
              </w:rPr>
            </w:pPr>
            <w:r>
              <w:rPr>
                <w:rFonts w:ascii="Arial" w:cs="Arial" w:eastAsia="Arial" w:hAnsi="Arial"/>
                <w:sz w:val="20"/>
                <w:szCs w:val="20"/>
                <w:color w:val="auto"/>
              </w:rPr>
              <w:t>Chairman and CEO</w:t>
            </w:r>
          </w:p>
        </w:tc>
      </w:tr>
      <w:tr>
        <w:trPr>
          <w:trHeight w:val="381"/>
        </w:trPr>
        <w:tc>
          <w:tcPr>
            <w:tcW w:w="500" w:type="dxa"/>
            <w:vAlign w:val="bottom"/>
            <w:gridSpan w:val="2"/>
          </w:tcPr>
          <w:p>
            <w:pPr>
              <w:spacing w:after="0"/>
              <w:rPr>
                <w:sz w:val="20"/>
                <w:szCs w:val="20"/>
                <w:color w:val="auto"/>
              </w:rPr>
            </w:pPr>
            <w:r>
              <w:rPr>
                <w:rFonts w:ascii="Arial" w:cs="Arial" w:eastAsia="Arial" w:hAnsi="Arial"/>
                <w:sz w:val="20"/>
                <w:szCs w:val="20"/>
                <w:color w:val="auto"/>
              </w:rPr>
              <w:t>Date:</w:t>
            </w:r>
          </w:p>
        </w:tc>
        <w:tc>
          <w:tcPr>
            <w:tcW w:w="80" w:type="dxa"/>
            <w:vAlign w:val="bottom"/>
          </w:tcPr>
          <w:p>
            <w:pPr>
              <w:spacing w:after="0"/>
              <w:rPr>
                <w:sz w:val="24"/>
                <w:szCs w:val="24"/>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20"/>
                <w:szCs w:val="20"/>
                <w:color w:val="auto"/>
              </w:rPr>
              <w:t>2/2/2026____</w:t>
            </w:r>
          </w:p>
        </w:tc>
        <w:tc>
          <w:tcPr>
            <w:tcW w:w="3300" w:type="dxa"/>
            <w:vAlign w:val="bottom"/>
          </w:tcPr>
          <w:p>
            <w:pPr>
              <w:spacing w:after="0"/>
              <w:rPr>
                <w:sz w:val="24"/>
                <w:szCs w:val="24"/>
                <w:color w:val="auto"/>
              </w:rPr>
            </w:pPr>
          </w:p>
        </w:tc>
        <w:tc>
          <w:tcPr>
            <w:tcW w:w="740" w:type="dxa"/>
            <w:vAlign w:val="bottom"/>
            <w:gridSpan w:val="3"/>
          </w:tcPr>
          <w:p>
            <w:pPr>
              <w:ind w:left="160"/>
              <w:spacing w:after="0"/>
              <w:rPr>
                <w:sz w:val="20"/>
                <w:szCs w:val="20"/>
                <w:color w:val="auto"/>
              </w:rPr>
            </w:pPr>
            <w:r>
              <w:rPr>
                <w:rFonts w:ascii="Arial" w:cs="Arial" w:eastAsia="Arial" w:hAnsi="Arial"/>
                <w:sz w:val="20"/>
                <w:szCs w:val="20"/>
                <w:color w:val="auto"/>
              </w:rPr>
              <w:t>Date:</w:t>
            </w:r>
          </w:p>
        </w:tc>
        <w:tc>
          <w:tcPr>
            <w:tcW w:w="2320" w:type="dxa"/>
            <w:vAlign w:val="bottom"/>
            <w:gridSpan w:val="2"/>
          </w:tcPr>
          <w:p>
            <w:pPr>
              <w:jc w:val="right"/>
              <w:ind w:right="880"/>
              <w:spacing w:after="0"/>
              <w:rPr>
                <w:sz w:val="20"/>
                <w:szCs w:val="20"/>
                <w:color w:val="auto"/>
              </w:rPr>
            </w:pPr>
            <w:r>
              <w:rPr>
                <w:rFonts w:ascii="Arial" w:cs="Arial" w:eastAsia="Arial" w:hAnsi="Arial"/>
                <w:sz w:val="20"/>
                <w:szCs w:val="20"/>
                <w:color w:val="auto"/>
              </w:rPr>
              <w:t>2/2/2026____</w:t>
            </w:r>
          </w:p>
        </w:tc>
      </w:tr>
      <w:tr>
        <w:trPr>
          <w:trHeight w:val="20"/>
        </w:trPr>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2</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17"/>
        <w:spacing w:after="0" w:line="282" w:lineRule="auto"/>
        <w:tabs>
          <w:tab w:leader="none" w:pos="7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20" w:firstLine="517"/>
        <w:spacing w:after="0" w:line="266" w:lineRule="auto"/>
        <w:tabs>
          <w:tab w:leader="none" w:pos="7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Feng-Ming Wang</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Young, certify that:</w:t>
      </w:r>
    </w:p>
    <w:p>
      <w:pPr>
        <w:spacing w:after="0" w:line="225"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17"/>
        <w:spacing w:after="0" w:line="282" w:lineRule="auto"/>
        <w:tabs>
          <w:tab w:leader="none" w:pos="7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20" w:firstLine="517"/>
        <w:spacing w:after="0" w:line="266" w:lineRule="auto"/>
        <w:tabs>
          <w:tab w:leader="none" w:pos="7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John A. Young</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Quarterly Report of Ambarella, Inc. on Form 10-Q for the fiscal quarter ended April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52" w:lineRule="exact"/>
        <w:rPr>
          <w:sz w:val="20"/>
          <w:szCs w:val="20"/>
          <w:color w:val="auto"/>
        </w:rPr>
      </w:pPr>
    </w:p>
    <w:tbl>
      <w:tblPr>
        <w:tblLayout w:type="fixed"/>
        <w:tblInd w:w="64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191"/>
        </w:trPr>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Feng-Ming Wang</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 John A. Young, certify, pursuant to 18 U.S.C. Section 1350, as adopted pursuant to Section 906 of the Sarbanes-Oxley Act of 2002, that the Quarterly Report of Ambarella, Inc. on Form 10-Q for the fiscal quarter ended April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Young</w:t>
            </w:r>
          </w:p>
        </w:tc>
      </w:tr>
      <w:tr>
        <w:trPr>
          <w:trHeight w:val="191"/>
        </w:trPr>
        <w:tc>
          <w:tcPr>
            <w:tcW w:w="7240" w:type="dxa"/>
            <w:vAlign w:val="bottom"/>
          </w:tcPr>
          <w:p>
            <w:pPr>
              <w:ind w:left="6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A. Young</w:t>
            </w:r>
          </w:p>
        </w:tc>
      </w:tr>
      <w:tr>
        <w:trPr>
          <w:trHeight w:val="234"/>
        </w:trPr>
        <w:tc>
          <w:tcPr>
            <w:tcW w:w="724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72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0"/>
    </w:lvl>
  </w:abstractNum>
  <w:abstractNum w:abstractNumId="3">
    <w:nsid w:val="1BEFD79F"/>
    <w:multiLevelType w:val="hybridMultilevel"/>
    <w:lvl w:ilvl="0">
      <w:lvlJc w:val="left"/>
      <w:lvlText w:val="(%1)"/>
      <w:numFmt w:val="lowerRoman"/>
      <w:start w:val="2"/>
    </w:lvl>
  </w:abstractNum>
  <w:abstractNum w:abstractNumId="4">
    <w:nsid w:val="41A7C4C9"/>
    <w:multiLevelType w:val="hybridMultilevel"/>
    <w:lvl w:ilvl="0">
      <w:lvlJc w:val="left"/>
      <w:lvlText w:val="%1."/>
      <w:numFmt w:val="decimal"/>
      <w:start w:val="14"/>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1"/>
      <w:numFmt w:val="decimal"/>
      <w:start w:val="104"/>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52" Type="http://schemas.openxmlformats.org/officeDocument/2006/relationships/hyperlink" Target="https://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2026-06-02T13:44:02Z</dcterms:created>
  <dcterms:modified xsi:type="dcterms:W3CDTF">2026-06-02T13:44:02Z</dcterms:modified>
</cp:coreProperties>
</file>