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3" w:lineRule="exact"/>
        <w:rPr>
          <w:rFonts w:ascii="MS PGothic" w:cs="MS PGothic" w:eastAsia="MS PGothic" w:hAnsi="MS PGothic"/>
          <w:sz w:val="18"/>
          <w:szCs w:val="18"/>
          <w:color w:val="auto"/>
        </w:rPr>
      </w:pPr>
    </w:p>
    <w:p>
      <w:pPr>
        <w:ind w:left="41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January 31, 2025</w:t>
      </w:r>
    </w:p>
    <w:p>
      <w:pPr>
        <w:spacing w:after="0" w:line="42"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5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rFonts w:ascii="MS PGothic" w:cs="MS PGothic" w:eastAsia="MS PGothic" w:hAnsi="MS PGothic"/>
          <w:sz w:val="18"/>
          <w:szCs w:val="18"/>
          <w:color w:val="auto"/>
        </w:rPr>
      </w:pPr>
    </w:p>
    <w:p>
      <w:pPr>
        <w:ind w:left="3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transition period from</w:t>
      </w:r>
      <w:r>
        <w:rPr>
          <w:rFonts w:ascii="Times New Roman" w:cs="Times New Roman" w:eastAsia="Times New Roman" w:hAnsi="Times New Roman"/>
          <w:sz w:val="16"/>
          <w:szCs w:val="16"/>
          <w:b w:val="1"/>
          <w:bCs w:val="1"/>
          <w:u w:val="single" w:color="auto"/>
          <w:color w:val="auto"/>
        </w:rPr>
        <w:t>______</w:t>
      </w:r>
      <w:r>
        <w:rPr>
          <w:rFonts w:ascii="Times New Roman" w:cs="Times New Roman" w:eastAsia="Times New Roman" w:hAnsi="Times New Roman"/>
          <w:sz w:val="16"/>
          <w:szCs w:val="16"/>
          <w:b w:val="1"/>
          <w:bCs w:val="1"/>
          <w:color w:val="auto"/>
        </w:rPr>
        <w:t xml:space="preserve"> to</w:t>
      </w:r>
      <w:r>
        <w:rPr>
          <w:rFonts w:ascii="Times New Roman" w:cs="Times New Roman" w:eastAsia="Times New Roman" w:hAnsi="Times New Roman"/>
          <w:sz w:val="16"/>
          <w:szCs w:val="16"/>
          <w:b w:val="1"/>
          <w:bCs w:val="1"/>
          <w:u w:val="single" w:color="auto"/>
          <w:color w:val="auto"/>
        </w:rPr>
        <w:t>______</w:t>
      </w:r>
    </w:p>
    <w:p>
      <w:pPr>
        <w:spacing w:after="0" w:line="42"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001-35667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479"/>
        </w:trPr>
        <w:tc>
          <w:tcPr>
            <w:tcW w:w="3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4040" w:type="dxa"/>
            <w:vAlign w:val="bottom"/>
            <w:gridSpan w:val="4"/>
          </w:tcPr>
          <w:p>
            <w:pPr>
              <w:ind w:left="80"/>
              <w:spacing w:after="0"/>
              <w:rPr>
                <w:sz w:val="20"/>
                <w:szCs w:val="20"/>
                <w:color w:val="auto"/>
              </w:rPr>
            </w:pPr>
            <w:r>
              <w:rPr>
                <w:rFonts w:ascii="Times New Roman" w:cs="Times New Roman" w:eastAsia="Times New Roman" w:hAnsi="Times New Roman"/>
                <w:sz w:val="36"/>
                <w:szCs w:val="36"/>
                <w:b w:val="1"/>
                <w:bCs w:val="1"/>
                <w:color w:val="auto"/>
              </w:rPr>
              <w:t>AMBARELLA,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8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3860" w:type="dxa"/>
            <w:vAlign w:val="bottom"/>
            <w:vMerge w:val="restart"/>
          </w:tcPr>
          <w:p>
            <w:pPr>
              <w:jc w:val="center"/>
              <w:ind w:left="1703"/>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64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340" w:type="dxa"/>
            <w:vAlign w:val="bottom"/>
            <w:vMerge w:val="restart"/>
          </w:tcPr>
          <w:p>
            <w:pPr>
              <w:jc w:val="right"/>
              <w:ind w:right="2286"/>
              <w:spacing w:after="0"/>
              <w:rPr>
                <w:sz w:val="20"/>
                <w:szCs w:val="20"/>
                <w:color w:val="auto"/>
              </w:rPr>
            </w:pPr>
            <w:r>
              <w:rPr>
                <w:rFonts w:ascii="Times New Roman" w:cs="Times New Roman" w:eastAsia="Times New Roman" w:hAnsi="Times New Roman"/>
                <w:sz w:val="16"/>
                <w:szCs w:val="16"/>
                <w:b w:val="1"/>
                <w:bCs w:val="1"/>
                <w:color w:val="auto"/>
              </w:rPr>
              <w:t>98-0459628</w:t>
            </w:r>
          </w:p>
        </w:tc>
        <w:tc>
          <w:tcPr>
            <w:tcW w:w="0" w:type="dxa"/>
            <w:vAlign w:val="bottom"/>
          </w:tcPr>
          <w:p>
            <w:pPr>
              <w:spacing w:after="0"/>
              <w:rPr>
                <w:sz w:val="1"/>
                <w:szCs w:val="1"/>
                <w:color w:val="auto"/>
              </w:rPr>
            </w:pPr>
          </w:p>
        </w:tc>
      </w:tr>
      <w:tr>
        <w:trPr>
          <w:trHeight w:val="239"/>
        </w:trPr>
        <w:tc>
          <w:tcPr>
            <w:tcW w:w="386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tcPr>
          <w:p>
            <w:pPr>
              <w:jc w:val="center"/>
              <w:ind w:left="170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40" w:type="dxa"/>
            <w:vAlign w:val="bottom"/>
          </w:tcPr>
          <w:p>
            <w:pPr>
              <w:jc w:val="center"/>
              <w:ind w:right="206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60" w:type="dxa"/>
            <w:vAlign w:val="bottom"/>
          </w:tcPr>
          <w:p>
            <w:pPr>
              <w:jc w:val="center"/>
              <w:ind w:left="170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tcPr>
          <w:p>
            <w:pPr>
              <w:jc w:val="center"/>
              <w:ind w:right="2086"/>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24"/>
        </w:trPr>
        <w:tc>
          <w:tcPr>
            <w:tcW w:w="3860" w:type="dxa"/>
            <w:vAlign w:val="bottom"/>
          </w:tcPr>
          <w:p>
            <w:pPr>
              <w:jc w:val="center"/>
              <w:ind w:left="1723"/>
              <w:spacing w:after="0"/>
              <w:rPr>
                <w:sz w:val="20"/>
                <w:szCs w:val="20"/>
                <w:color w:val="auto"/>
              </w:rPr>
            </w:pPr>
            <w:r>
              <w:rPr>
                <w:rFonts w:ascii="Times New Roman" w:cs="Times New Roman" w:eastAsia="Times New Roman" w:hAnsi="Times New Roman"/>
                <w:sz w:val="16"/>
                <w:szCs w:val="16"/>
                <w:b w:val="1"/>
                <w:bCs w:val="1"/>
                <w:color w:val="auto"/>
              </w:rPr>
              <w:t>3101 Jay Street</w:t>
            </w:r>
          </w:p>
        </w:tc>
        <w:tc>
          <w:tcPr>
            <w:tcW w:w="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60" w:type="dxa"/>
            <w:vAlign w:val="bottom"/>
          </w:tcPr>
          <w:p>
            <w:pPr>
              <w:jc w:val="center"/>
              <w:ind w:left="1723"/>
              <w:spacing w:after="0"/>
              <w:rPr>
                <w:sz w:val="20"/>
                <w:szCs w:val="20"/>
                <w:color w:val="auto"/>
              </w:rPr>
            </w:pPr>
            <w:r>
              <w:rPr>
                <w:rFonts w:ascii="Times New Roman" w:cs="Times New Roman" w:eastAsia="Times New Roman" w:hAnsi="Times New Roman"/>
                <w:sz w:val="16"/>
                <w:szCs w:val="16"/>
                <w:b w:val="1"/>
                <w:bCs w:val="1"/>
                <w:color w:val="auto"/>
              </w:rPr>
              <w:t>Santa Clara, California</w:t>
            </w:r>
          </w:p>
        </w:tc>
        <w:tc>
          <w:tcPr>
            <w:tcW w:w="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tcPr>
          <w:p>
            <w:pPr>
              <w:jc w:val="right"/>
              <w:ind w:right="2466"/>
              <w:spacing w:after="0"/>
              <w:rPr>
                <w:sz w:val="20"/>
                <w:szCs w:val="20"/>
                <w:color w:val="auto"/>
              </w:rPr>
            </w:pPr>
            <w:r>
              <w:rPr>
                <w:rFonts w:ascii="Times New Roman" w:cs="Times New Roman" w:eastAsia="Times New Roman" w:hAnsi="Times New Roman"/>
                <w:sz w:val="16"/>
                <w:szCs w:val="16"/>
                <w:b w:val="1"/>
                <w:bCs w:val="1"/>
                <w:color w:val="auto"/>
              </w:rPr>
              <w:t>95054</w:t>
            </w:r>
          </w:p>
        </w:tc>
        <w:tc>
          <w:tcPr>
            <w:tcW w:w="0" w:type="dxa"/>
            <w:vAlign w:val="bottom"/>
          </w:tcPr>
          <w:p>
            <w:pPr>
              <w:spacing w:after="0"/>
              <w:rPr>
                <w:sz w:val="1"/>
                <w:szCs w:val="1"/>
                <w:color w:val="auto"/>
              </w:rPr>
            </w:pPr>
          </w:p>
        </w:tc>
      </w:tr>
      <w:tr>
        <w:trPr>
          <w:trHeight w:val="184"/>
        </w:trPr>
        <w:tc>
          <w:tcPr>
            <w:tcW w:w="7900" w:type="dxa"/>
            <w:vAlign w:val="bottom"/>
            <w:gridSpan w:val="5"/>
          </w:tcPr>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40" w:type="dxa"/>
            <w:vAlign w:val="bottom"/>
          </w:tcPr>
          <w:p>
            <w:pPr>
              <w:jc w:val="center"/>
              <w:ind w:right="208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2"/>
        </w:trPr>
        <w:tc>
          <w:tcPr>
            <w:tcW w:w="1124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734-8888</w:t>
            </w:r>
          </w:p>
        </w:tc>
        <w:tc>
          <w:tcPr>
            <w:tcW w:w="0" w:type="dxa"/>
            <w:vAlign w:val="bottom"/>
          </w:tcPr>
          <w:p>
            <w:pPr>
              <w:spacing w:after="0"/>
              <w:rPr>
                <w:sz w:val="1"/>
                <w:szCs w:val="1"/>
                <w:color w:val="auto"/>
              </w:rPr>
            </w:pPr>
          </w:p>
        </w:tc>
      </w:tr>
      <w:tr>
        <w:trPr>
          <w:trHeight w:val="246"/>
        </w:trPr>
        <w:tc>
          <w:tcPr>
            <w:tcW w:w="7900" w:type="dxa"/>
            <w:vAlign w:val="bottom"/>
            <w:tcBorders>
              <w:bottom w:val="single" w:sz="8" w:color="auto"/>
            </w:tcBorders>
            <w:gridSpan w:val="5"/>
          </w:tcPr>
          <w:p>
            <w:pPr>
              <w:jc w:val="center"/>
              <w:ind w:left="322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640" w:type="dxa"/>
            <w:vAlign w:val="bottom"/>
            <w:tcBorders>
              <w:bottom w:val="single" w:sz="8" w:color="auto"/>
            </w:tcBorders>
          </w:tcPr>
          <w:p>
            <w:pPr>
              <w:spacing w:after="0"/>
              <w:rPr>
                <w:sz w:val="15"/>
                <w:szCs w:val="15"/>
                <w:color w:val="auto"/>
              </w:rPr>
            </w:pPr>
          </w:p>
        </w:tc>
        <w:tc>
          <w:tcPr>
            <w:tcW w:w="3040" w:type="dxa"/>
            <w:vAlign w:val="bottom"/>
            <w:tcBorders>
              <w:bottom w:val="single" w:sz="8" w:color="auto"/>
              <w:right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Trading Symbol</w:t>
            </w:r>
          </w:p>
        </w:tc>
        <w:tc>
          <w:tcPr>
            <w:tcW w:w="360" w:type="dxa"/>
            <w:vAlign w:val="bottom"/>
            <w:tcBorders>
              <w:bottom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ind w:right="306"/>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86"/>
        </w:trPr>
        <w:tc>
          <w:tcPr>
            <w:tcW w:w="3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Ordinary Shares, $0.00045 Par Value Per Share</w:t>
            </w:r>
          </w:p>
        </w:tc>
        <w:tc>
          <w:tcPr>
            <w:tcW w:w="64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AMBA</w:t>
            </w:r>
          </w:p>
        </w:tc>
        <w:tc>
          <w:tcPr>
            <w:tcW w:w="360" w:type="dxa"/>
            <w:vAlign w:val="bottom"/>
            <w:tcBorders>
              <w:bottom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jc w:val="center"/>
              <w:ind w:right="306"/>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298"/>
        </w:trPr>
        <w:tc>
          <w:tcPr>
            <w:tcW w:w="7900" w:type="dxa"/>
            <w:vAlign w:val="bottom"/>
            <w:gridSpan w:val="5"/>
          </w:tcPr>
          <w:p>
            <w:pPr>
              <w:jc w:val="center"/>
              <w:ind w:left="322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0" w:type="dxa"/>
            <w:vAlign w:val="bottom"/>
            <w:gridSpan w:val="3"/>
          </w:tcPr>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None</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4500" w:type="dxa"/>
            <w:vAlign w:val="bottom"/>
            <w:gridSpan w:val="2"/>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160" w:type="dxa"/>
            <w:vAlign w:val="bottom"/>
            <w:gridSpan w:val="2"/>
          </w:tcPr>
          <w:p>
            <w:pPr>
              <w:spacing w:after="0"/>
              <w:rPr>
                <w:sz w:val="6"/>
                <w:szCs w:val="6"/>
                <w:color w:val="auto"/>
              </w:rPr>
            </w:pPr>
          </w:p>
        </w:tc>
        <w:tc>
          <w:tcPr>
            <w:tcW w:w="3340" w:type="dxa"/>
            <w:vAlign w:val="bottom"/>
            <w:vMerge w:val="restart"/>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5"/>
        </w:trPr>
        <w:tc>
          <w:tcPr>
            <w:tcW w:w="7900" w:type="dxa"/>
            <w:vAlign w:val="bottom"/>
            <w:gridSpan w:val="5"/>
          </w:tcPr>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520"/>
        <w:spacing w:after="0" w:line="161" w:lineRule="exact"/>
        <w:tabs>
          <w:tab w:leader="none" w:pos="808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1" w:lineRule="exact"/>
        <w:rPr>
          <w:sz w:val="24"/>
          <w:szCs w:val="24"/>
          <w:color w:val="auto"/>
        </w:rPr>
      </w:pPr>
    </w:p>
    <w:p>
      <w:pPr>
        <w:ind w:right="420" w:firstLine="509"/>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(Exchange Act) during the preceding 12 months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509"/>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Accelerated filer</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6"/>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ind w:right="40" w:firstLine="509"/>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34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ind w:right="80" w:firstLine="509"/>
        <w:spacing w:after="0" w:line="233" w:lineRule="auto"/>
        <w:rPr>
          <w:sz w:val="20"/>
          <w:szCs w:val="20"/>
          <w:color w:val="auto"/>
        </w:rPr>
      </w:pPr>
      <w:r>
        <w:rPr>
          <w:rFonts w:ascii="Times New Roman" w:cs="Times New Roman" w:eastAsia="Times New Roman" w:hAnsi="Times New Roman"/>
          <w:sz w:val="14"/>
          <w:szCs w:val="14"/>
          <w:color w:val="auto"/>
        </w:rPr>
        <w:t>The aggregate market value of the voting and non-voting ordinary shares held by non-affiliates of the Registrant as of July 31, 2024, was approximately $1.6 billion based upon the closing price reported for such date on the Nasdaq Global Select Market. For purposes of this disclosure, ordinary shares held by persons known to the Registrant (based on information provided by such persons and/or the most recent schedule 13Gs filed by such persons) to beneficially own more than 5% of the Registrant’s ordinary shares and ordinary shares held by officers and directors of the Registrant have been excluded because such persons may be deemed to be affiliates. This determination is not necessarily a conclusive determination for other purposes.</w:t>
      </w:r>
    </w:p>
    <w:p>
      <w:pPr>
        <w:spacing w:after="0" w:line="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Number of ordinary shares, $0.00045 par value, outstanding as of March 20, 2025: 42,437,410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902335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Certain information is incorporated into Part III of this report by reference to the Proxy Statement for the Registrant’s 2025 annual meeting of shareholders to be filed with the Securities and Exchange Commission not later than 120 days after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774065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7" w:right="39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18"/>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12"/>
            <w:vMerge w:val="restart"/>
          </w:tcPr>
          <w:p>
            <w:pPr>
              <w:jc w:val="center"/>
              <w:ind w:right="462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20" w:type="dxa"/>
            <w:vAlign w:val="bottom"/>
            <w:gridSpan w:val="12"/>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7"/>
                <w:szCs w:val="17"/>
                <w:color w:val="auto"/>
              </w:rPr>
            </w:pPr>
          </w:p>
        </w:tc>
        <w:tc>
          <w:tcPr>
            <w:tcW w:w="3840" w:type="dxa"/>
            <w:vAlign w:val="bottom"/>
            <w:gridSpan w:val="20"/>
          </w:tcPr>
          <w:p>
            <w:pPr>
              <w:spacing w:after="0"/>
              <w:rPr>
                <w:sz w:val="17"/>
                <w:szCs w:val="17"/>
                <w:color w:val="auto"/>
              </w:rPr>
            </w:pPr>
          </w:p>
        </w:tc>
        <w:tc>
          <w:tcPr>
            <w:tcW w:w="600" w:type="dxa"/>
            <w:vAlign w:val="bottom"/>
            <w:tcBorders>
              <w:top w:val="single" w:sz="8" w:color="0000FF"/>
            </w:tcBorders>
            <w:gridSpan w:val="3"/>
          </w:tcPr>
          <w:p>
            <w:pPr>
              <w:spacing w:after="0"/>
              <w:rPr>
                <w:sz w:val="17"/>
                <w:szCs w:val="17"/>
                <w:color w:val="auto"/>
              </w:rPr>
            </w:pPr>
          </w:p>
        </w:tc>
        <w:tc>
          <w:tcPr>
            <w:tcW w:w="462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800" w:type="dxa"/>
            <w:vAlign w:val="bottom"/>
            <w:gridSpan w:val="2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7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680" w:type="dxa"/>
            <w:vAlign w:val="bottom"/>
            <w:gridSpan w:val="2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720" w:type="dxa"/>
            <w:vAlign w:val="bottom"/>
            <w:gridSpan w:val="2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18"/>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20" w:type="dxa"/>
            <w:vAlign w:val="bottom"/>
            <w:tcBorders>
              <w:bottom w:val="single" w:sz="8" w:color="0000EE"/>
            </w:tcBorders>
          </w:tcPr>
          <w:p>
            <w:pPr>
              <w:spacing w:after="0"/>
              <w:rPr>
                <w:sz w:val="24"/>
                <w:szCs w:val="24"/>
                <w:color w:val="auto"/>
              </w:rPr>
            </w:pPr>
          </w:p>
        </w:tc>
        <w:tc>
          <w:tcPr>
            <w:tcW w:w="456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7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80" w:type="dxa"/>
            <w:vAlign w:val="bottom"/>
            <w:tcBorders>
              <w:top w:val="single" w:sz="8" w:color="0000FF"/>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6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26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36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7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7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322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960" w:type="dxa"/>
            <w:vAlign w:val="bottom"/>
            <w:gridSpan w:val="2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0" w:type="dxa"/>
            <w:vAlign w:val="bottom"/>
            <w:tcBorders>
              <w:bottom w:val="single" w:sz="8" w:color="0000EE"/>
            </w:tcBorders>
          </w:tcPr>
          <w:p>
            <w:pPr>
              <w:spacing w:after="0"/>
              <w:rPr>
                <w:sz w:val="17"/>
                <w:szCs w:val="17"/>
                <w:color w:val="auto"/>
              </w:rPr>
            </w:pPr>
          </w:p>
        </w:tc>
        <w:tc>
          <w:tcPr>
            <w:tcW w:w="480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18"/>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0000FF"/>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454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7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5"/>
          </w:tcPr>
          <w:p>
            <w:pPr>
              <w:spacing w:after="0"/>
              <w:rPr>
                <w:sz w:val="17"/>
                <w:szCs w:val="17"/>
                <w:color w:val="auto"/>
              </w:rPr>
            </w:pPr>
          </w:p>
        </w:tc>
        <w:tc>
          <w:tcPr>
            <w:tcW w:w="564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7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44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428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18"/>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4"/>
          </w:tcPr>
          <w:p>
            <w:pPr>
              <w:jc w:val="center"/>
              <w:ind w:right="456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1280" w:type="dxa"/>
            <w:vAlign w:val="bottom"/>
            <w:gridSpan w:val="5"/>
          </w:tcPr>
          <w:p>
            <w:pPr>
              <w:spacing w:after="0"/>
              <w:rPr>
                <w:sz w:val="17"/>
                <w:szCs w:val="17"/>
                <w:color w:val="auto"/>
              </w:rPr>
            </w:pPr>
          </w:p>
        </w:tc>
        <w:tc>
          <w:tcPr>
            <w:tcW w:w="720" w:type="dxa"/>
            <w:vAlign w:val="bottom"/>
            <w:tcBorders>
              <w:top w:val="single" w:sz="8" w:color="0000FF"/>
            </w:tcBorders>
            <w:gridSpan w:val="7"/>
          </w:tcPr>
          <w:p>
            <w:pPr>
              <w:spacing w:after="0"/>
              <w:rPr>
                <w:sz w:val="17"/>
                <w:szCs w:val="17"/>
                <w:color w:val="auto"/>
              </w:rPr>
            </w:pPr>
          </w:p>
        </w:tc>
        <w:tc>
          <w:tcPr>
            <w:tcW w:w="456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7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4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300" w:type="dxa"/>
            <w:vAlign w:val="bottom"/>
            <w:gridSpan w:val="3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Section 27A of the Securities Act and Section 21E of the Exchange Act. The forward-looking statements are contained principally in, but not limited to, the sections titled “Business,” “Risk Factors,” and “Management’s Discussion and Analysis of Financial Condition and Results of Operations,” as well as elsewhere in this Annual Report on Form 10-K. Forward-looking statements are identified by the use of the words “would,” “could,” “will,” “may,” “expect,” “believe,” “should,” “anticipate,” “outlook,” “if,” “future,” “intend,” “plan,” “estimate,” “predict,” “potential,” “target,” “seek,” “continue,” “foreseeable” or “forecast” and similar words and phrases, including the negatives of these terms, or other variations of these terms, that denote future events. Forward-looking statements include, but are not limited to, information concerning our possible or assumed future results of operations, competitive position, industry environment, potential growth opportunities and the effects of competition, our product development strategy and areas of focus, our market opportunity, our ability to develop new solutions, including our ability to integrate and apply acquired technologies to our solutions, our future financial and operating performance, sales and marketing strategy, investment strategy and the results of our investments, research and development, customer and supplier relationships, inventory levels, customer demand and our ability to secure design wins, industry trends, our cash needs and capital requirements, and expectations about seasonality, taxes, and operating expenses.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Annual Report on Form 10-K.</w:t>
      </w:r>
    </w:p>
    <w:p>
      <w:pPr>
        <w:spacing w:after="0" w:line="18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Factors that could affect such forward-looking statements include, but are not limited to, risks associated with revenue being generated from new customers or design wins, neither of which is assured; our ability to retain and expand customer relationships and to achieve design wins; economic factors beyond our control, including risks associated with high inflation and recessionary concerns; geopolitical factors beyond our control, including tensions between the United States and China and the ongoing hostility between Russia and Ukraine; the potential impact of pandemics and endemics on our operations or the operations of our supply chain or our customers; our ability to timely produce sufficient quantities of our products on a cost-effective basis through our third-party vendors; the commercial success of our customers’ products; our growth strategy; our ability to anticipate future market demands and future needs and preferences of our customers; our ability to introduce new and enhanced solutions, including our ability to license software modules; the expansion of our current markets and our ability to successfully enter new markets; anticipated trends and challenges, including competition, in the markets in which we operate; our expectations regarding the adoption of computer vision technology; our ability to effectively generate and manage growth; our ability to retain key employees; the potential for intellectual property disputes or other litigation; the risks described under Item 1A of Part I —“Risk Factors,” Item 7 of Part II—“Management’s Discussion and Analysis of Financial Condition and Results of Operations,” and elsewhere in this Annual Report on Form 10-K; and those discussed in other documents we file with the Securities and Exchange Commission. You are cautioned not to place undue reliance on the forward-looking statements, which speak only as of the date of this Annual Report on Form 10-K. We have no obligation (and expressly disclaim any such obligation) to update or alter any forward-looking statements, whether as a result of new information or otherwise except as otherwise required by securities regulations.</w:t>
      </w:r>
    </w:p>
    <w:p>
      <w:pPr>
        <w:spacing w:after="0" w:line="196"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For purposes of this Annual Report, the terms “Ambarella”, “the Company”, “we”, “us” and “our” refer to Ambarella,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Incorporated in 2004, Ambarella is a leading developer of low-power system-on-a-chip, or SoC, semiconductors and software for edge artificial intelligence, or AI, applications. Our technologies make electronic systems smarter, enabling them to become partially or fully autonomous with features such as person detection, object classification, and analytics, in addition to performing complex data analysis in real time, delivering high quality imagery, and preserving vital system resources such as power and network bandwidth. We specialize in the development of deployable, scalable designs for intelligent electronic systems that utilize high-bandwidth sensors offering a proven path to mass production. Ambarella’s products are used in a wide variety of human viewing, computer vision and edge AI applications, including a variety of automotive camera systems, video security cameras, mobile and fixed robots, industrial applications, and consumer devices, such as action, drone and 360° cameras.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2023, a majority of our revenue originated from human-viewing only applications with video and image processors for enterprise, public infrastructure and home applications, such as internet protocol, or IP, security cameras, sports cameras, wearables, aerial drones, and aftermarket automotive video recorders. Since 2018, we have been leveraging our human-viewing heritage to pursue the machine sensing market. Our recent development efforts have focused on creating advanced AI inference technology that enables edge devices to perceive the environment and make decisions based on the data collected from cameras and other types of sensors, such as 4D radar. This is known as edge AI, and our AI inference SoCs integrate our state-of-the-art video processor technology together with our proprietary AI accelerator, also known as a deep learning neural network processor, which we refer to as CVflow®. The CVflow-architecture supports a variety of AI inference algorithms, including object detection, classification and tracking, semantic and instance segmentation, image processing, stereo object detection, and terrain mapping. Our latest third generation CVflow technology enables us to efficiently process transformer AI networks, which facilitate incremental and computationally intense advanced AI applications, including deep fusion, deep planning, large language models (LLMs) and reasoning models. In addition, CVflow can process data from other sensing modalities, including lidar, radar, time of flight, thermal and near infrared (NIR), and allows customers to differentiate their products by porting their own or third party neural networks and/or AI algorithms to our CVflow-based SoCs. Our AI technology is creating opportunities for us to address a broader range of markets and applications while also allowing us to capture more content per electronic system.</w:t>
      </w:r>
    </w:p>
    <w:p>
      <w:pPr>
        <w:spacing w:after="0" w:line="194" w:lineRule="exact"/>
        <w:rPr>
          <w:sz w:val="20"/>
          <w:szCs w:val="20"/>
          <w:color w:val="auto"/>
        </w:rPr>
      </w:pPr>
    </w:p>
    <w:p>
      <w:pPr>
        <w:jc w:val="both"/>
        <w:ind w:right="100" w:firstLine="509"/>
        <w:spacing w:after="0" w:line="237" w:lineRule="auto"/>
        <w:rPr>
          <w:sz w:val="20"/>
          <w:szCs w:val="20"/>
          <w:color w:val="auto"/>
        </w:rPr>
      </w:pPr>
      <w:r>
        <w:rPr>
          <w:rFonts w:ascii="Times New Roman" w:cs="Times New Roman" w:eastAsia="Times New Roman" w:hAnsi="Times New Roman"/>
          <w:sz w:val="18"/>
          <w:szCs w:val="18"/>
          <w:color w:val="auto"/>
        </w:rPr>
        <w:t>Our newest product families, CV7, CV3 and N1 integrate our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generation CVflow AI accelerator and are all built on advanced 5 nanometer (nm) process technology. These products can run some of the latest transformer neural networks which can provide incremental efficiency and utility relative to convolutional neural networks. The CV7 family provides an industry-leading combination of low power and high performance in human vision, computer vision and advanced AI applications, including both automotive and Internet-of-Things (IoT) edge AI applications.</w:t>
      </w:r>
    </w:p>
    <w:p>
      <w:pPr>
        <w:spacing w:after="0" w:line="20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CV3 AI central domain controller family of SoCs is specifically architected for partially to fully automated driving applications. In addition to offering our existing advanced camera perception processing, CV3 adds sensor fusion and planning layers that enable a broader set of fully-automated devices.</w:t>
      </w:r>
    </w:p>
    <w:p>
      <w:pPr>
        <w:spacing w:after="0" w:line="176"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N1 SoC is capable of running LLM inferencing with models up to 34 billion parameters, enabling a range of AI applications in IoT devices, including industrial robotics, intelligent healthcare imaging and diagnostics, edge AI servers running multi-modal vision-language models (VLMs) and traditional LLMs, and autonomous fleet telematics.</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Oculii adaptive AI software algorithms are designed to enable radar perception using current production radar chips to achieve significantly higher resolution, longer range and greater accuracy. We have introduced a centralized radar architecture that synergistically leverages these adaptive AI software algorithms together with our CV3 domain controller family, resulting in improved perception, lower power consumption and reduced bills-of-material for mobility applications compared to the current generation of radar systems utilized in the market today.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 and Target Markets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AI functionality has historically been executed with graphics processing units (GPU), field programmable gate-arrays (FPGA) or general purpose microprocessors (CPU) in servers or data centers. This approach requires large amounts of data to be transported from an end-point electronic system or device into the network infrastructure, where the data may be stored, processed, and then sent back to the end point, creating added delay, power consumption and incremental expense from data communications, server processing and storage. In some applications, unacceptable levels of latency are introduced by the transportation of this data, minimizing or, in some cases, eliminating the utility of the product. In addition, this approach often requires personal information to be transmitted from the end-point device to the network infrastructure, potentially raising privacy and security concerns.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997585</wp:posOffset>
            </wp:positionV>
            <wp:extent cx="6172200" cy="2777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believe the AI inference end-point market, sometimes referred to as the system’s edge, requires a fundamentally different SoC architecture versus the GPU, FPGA and CPU approach commonly used in the data center. Our AI SoCs are optimized for the requirements of the edge inference market to provide highly accurate results, significant processing power, small form factor and minimal latency while consuming very low amounts of power and simultaneously delivering both human viewing and AI inference functionality, often while supporting multiple cameras and multiple applications with a single SoC incorporated in an end-point device. In addition, privacy and security can be enhanced, as critical personal information may not need to enter the network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-306070</wp:posOffset>
            </wp:positionV>
            <wp:extent cx="28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59" w:lineRule="exact"/>
        <w:rPr>
          <w:sz w:val="20"/>
          <w:szCs w:val="20"/>
          <w:color w:val="auto"/>
        </w:rPr>
      </w:pPr>
    </w:p>
    <w:p>
      <w:pPr>
        <w:jc w:val="both"/>
        <w:ind w:right="620" w:firstLine="509"/>
        <w:spacing w:after="0" w:line="266" w:lineRule="auto"/>
        <w:rPr>
          <w:sz w:val="20"/>
          <w:szCs w:val="20"/>
          <w:color w:val="auto"/>
        </w:rPr>
      </w:pPr>
      <w:r>
        <w:rPr>
          <w:rFonts w:ascii="Times New Roman" w:cs="Times New Roman" w:eastAsia="Times New Roman" w:hAnsi="Times New Roman"/>
          <w:sz w:val="18"/>
          <w:szCs w:val="18"/>
          <w:color w:val="auto"/>
        </w:rPr>
        <w:t>Our first AI SoC was introduced in 2018 and the CV3 SoC integrates our third generation AI accelerator, which we refer to as CVflow. Our development efforts are now focused on SoCs that provide both human viewing and AI inference functionality. With the acquisition of Oculii, we complement our advanced camera perception capabilities with advanced radar perception to enable higher levels of autonomy.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are focusing on the automotive and IoT end markets that require increasingly sophisticated AI inference workloads and processing performance:</w:t>
      </w:r>
    </w:p>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Automotive Applications:</w:t>
      </w:r>
    </w:p>
    <w:p>
      <w:pPr>
        <w:spacing w:after="0" w:line="121" w:lineRule="exact"/>
        <w:rPr>
          <w:sz w:val="20"/>
          <w:szCs w:val="20"/>
          <w:color w:val="auto"/>
        </w:rPr>
      </w:pPr>
    </w:p>
    <w:p>
      <w:pPr>
        <w:ind w:left="520" w:right="220" w:firstLine="509"/>
        <w:spacing w:after="0" w:line="266" w:lineRule="auto"/>
        <w:rPr>
          <w:sz w:val="20"/>
          <w:szCs w:val="20"/>
          <w:color w:val="auto"/>
        </w:rPr>
      </w:pPr>
      <w:r>
        <w:rPr>
          <w:rFonts w:ascii="Times New Roman" w:cs="Times New Roman" w:eastAsia="Times New Roman" w:hAnsi="Times New Roman"/>
          <w:sz w:val="18"/>
          <w:szCs w:val="18"/>
          <w:color w:val="auto"/>
        </w:rPr>
        <w:t>Cameras and other sensors, as well as high performance computing processors, are utilized for a variety of applications in the automotive market and our products are designed into both original equipment manufacturer (OEM) and aftermarket applications. We address both the safety (e.g., advanced driver assistance systems (“ADAS") and autonomy automotive market applications:</w:t>
      </w:r>
    </w:p>
    <w:p>
      <w:pPr>
        <w:spacing w:after="0" w:line="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Safety and ADAS:</w:t>
      </w:r>
    </w:p>
    <w:p>
      <w:pPr>
        <w:spacing w:after="0" w:line="117" w:lineRule="exact"/>
        <w:rPr>
          <w:sz w:val="20"/>
          <w:szCs w:val="20"/>
          <w:color w:val="auto"/>
        </w:rPr>
      </w:pPr>
    </w:p>
    <w:p>
      <w:pPr>
        <w:ind w:left="1880" w:right="280" w:hanging="375"/>
        <w:spacing w:after="0" w:line="259" w:lineRule="auto"/>
        <w:tabs>
          <w:tab w:leader="none" w:pos="1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Front Advanced Driver Assistance System (ADAS) Cameras. </w:t>
      </w:r>
      <w:r>
        <w:rPr>
          <w:rFonts w:ascii="Times New Roman" w:cs="Times New Roman" w:eastAsia="Times New Roman" w:hAnsi="Times New Roman"/>
          <w:sz w:val="18"/>
          <w:szCs w:val="18"/>
          <w:color w:val="auto"/>
        </w:rPr>
        <w:t>These front-facing cameras are often positioned behind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rearview mirror, enabling functions such as automatic emergency braking, lane departure warning, forward collision warning, intelligent headlight control, and speed assistance functions, many of which are required by an increasing number of regional New Car Assessment Programs, or NCAP. These cameras may also be used by telematic service providers to help improve safety, lower insurance costs, and improve driver performance.</w:t>
      </w:r>
    </w:p>
    <w:p>
      <w:pPr>
        <w:spacing w:after="0" w:line="71" w:lineRule="exact"/>
        <w:rPr>
          <w:rFonts w:ascii="Times New Roman" w:cs="Times New Roman" w:eastAsia="Times New Roman" w:hAnsi="Times New Roman"/>
          <w:sz w:val="18"/>
          <w:szCs w:val="18"/>
          <w:color w:val="auto"/>
        </w:rPr>
      </w:pPr>
    </w:p>
    <w:p>
      <w:pPr>
        <w:ind w:left="1880" w:hanging="375"/>
        <w:spacing w:after="0" w:line="262" w:lineRule="auto"/>
        <w:tabs>
          <w:tab w:leader="none" w:pos="1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Cabin Monitoring System (CMS) and Driver Monitoring System (DMS) Cameras. </w:t>
      </w:r>
      <w:r>
        <w:rPr>
          <w:rFonts w:ascii="Times New Roman" w:cs="Times New Roman" w:eastAsia="Times New Roman" w:hAnsi="Times New Roman"/>
          <w:sz w:val="18"/>
          <w:szCs w:val="18"/>
          <w:color w:val="auto"/>
        </w:rPr>
        <w:t>These interior mounted cameras track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drivers and passengers to help prevent accidents by alerting a drowsy or distracted driver and assisting with the deployment of safety features, such as airbags. These interior cameras may also be utilized by telematic service providers to provide feedback on driver performance and behavior.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ind w:left="1363" w:right="200" w:hanging="375"/>
        <w:spacing w:after="0" w:line="262" w:lineRule="auto"/>
        <w:tabs>
          <w:tab w:leader="none" w:pos="13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Electronic Mirrors. </w:t>
      </w:r>
      <w:r>
        <w:rPr>
          <w:rFonts w:ascii="Times New Roman" w:cs="Times New Roman" w:eastAsia="Times New Roman" w:hAnsi="Times New Roman"/>
          <w:sz w:val="18"/>
          <w:szCs w:val="18"/>
          <w:color w:val="auto"/>
        </w:rPr>
        <w:t>One or more cameras, in conjunction with an electronic display, are used to augment, or in some cases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replace, reflective glass rear view and/or side view mirrors to provide a wider and unobstructed field of view. Smart electronic mirrors that incorporate our AI SoCs may also help with detecting objects in blind spots, overtaking vehicles and alerting for vulnerable road users, such as pedestrians and bicycles.</w:t>
      </w:r>
    </w:p>
    <w:p>
      <w:pPr>
        <w:spacing w:after="0" w:line="68" w:lineRule="exact"/>
        <w:rPr>
          <w:rFonts w:ascii="Times New Roman" w:cs="Times New Roman" w:eastAsia="Times New Roman" w:hAnsi="Times New Roman"/>
          <w:sz w:val="18"/>
          <w:szCs w:val="18"/>
          <w:color w:val="auto"/>
        </w:rPr>
      </w:pPr>
    </w:p>
    <w:p>
      <w:pPr>
        <w:ind w:left="1363" w:right="380" w:hanging="375"/>
        <w:spacing w:after="0" w:line="291" w:lineRule="auto"/>
        <w:tabs>
          <w:tab w:leader="none" w:pos="136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Automotive Video Recorders (also known as data loggers). </w:t>
      </w:r>
      <w:r>
        <w:rPr>
          <w:rFonts w:ascii="Times New Roman" w:cs="Times New Roman" w:eastAsia="Times New Roman" w:hAnsi="Times New Roman"/>
          <w:sz w:val="17"/>
          <w:szCs w:val="17"/>
          <w:color w:val="auto"/>
        </w:rPr>
        <w:t>These video cameras are pre-installed in vehicles or mounted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(aftermarket) to record events for reconciliation, such as for insurance and liability, driver scoring or training, and security purposes. We offer solutions for both OEM and aftermarket drive recording devices, some of which include ADAS features.</w:t>
      </w:r>
    </w:p>
    <w:p>
      <w:pPr>
        <w:spacing w:after="0" w:line="45" w:lineRule="exact"/>
        <w:rPr>
          <w:sz w:val="20"/>
          <w:szCs w:val="20"/>
          <w:color w:val="auto"/>
        </w:rPr>
      </w:pPr>
    </w:p>
    <w:p>
      <w:pPr>
        <w:ind w:left="503"/>
        <w:spacing w:after="0"/>
        <w:rPr>
          <w:sz w:val="20"/>
          <w:szCs w:val="20"/>
          <w:color w:val="auto"/>
        </w:rPr>
      </w:pPr>
      <w:r>
        <w:rPr>
          <w:rFonts w:ascii="Times New Roman" w:cs="Times New Roman" w:eastAsia="Times New Roman" w:hAnsi="Times New Roman"/>
          <w:sz w:val="18"/>
          <w:szCs w:val="18"/>
          <w:b w:val="1"/>
          <w:bCs w:val="1"/>
          <w:i w:val="1"/>
          <w:iCs w:val="1"/>
          <w:color w:val="auto"/>
        </w:rPr>
        <w:t>Autonomy:</w:t>
      </w:r>
    </w:p>
    <w:p>
      <w:pPr>
        <w:spacing w:after="0" w:line="117" w:lineRule="exact"/>
        <w:rPr>
          <w:sz w:val="20"/>
          <w:szCs w:val="20"/>
          <w:color w:val="auto"/>
        </w:rPr>
      </w:pPr>
    </w:p>
    <w:p>
      <w:pPr>
        <w:ind w:left="983" w:right="180" w:hanging="369"/>
        <w:spacing w:after="0" w:line="256" w:lineRule="auto"/>
        <w:tabs>
          <w:tab w:leader="none" w:pos="9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Central domain controllers for L2+ to L4 Autonomous Vehicles. </w:t>
      </w:r>
      <w:r>
        <w:rPr>
          <w:rFonts w:ascii="Times New Roman" w:cs="Times New Roman" w:eastAsia="Times New Roman" w:hAnsi="Times New Roman"/>
          <w:sz w:val="18"/>
          <w:szCs w:val="18"/>
          <w:color w:val="auto"/>
        </w:rPr>
        <w:t>We continue to advance our research in critical areas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autonomous vehicle development, such as vehicle detection, obstacle detection, pedestrian detection, lane detection, traffic sign recognition, stereovision processing, and sensor fusion and planning, enabling us to design strong platforms for applications ranging from Level2+ autopilot to full autonomy. The CV3 family enables centralized, single-chip processing for multi-sensor perception, including high-resolution vision, radar, ultrasonic and lidar, as well as deep fusion for multiple sensor modalities and autonomous vehicle path planning. In addition, the domain controller can simultaneously process in-cabin sensing applications, including driver and occupant monitoring.</w:t>
      </w:r>
    </w:p>
    <w:p>
      <w:pPr>
        <w:spacing w:after="0" w:line="39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IoT Applications:</w:t>
      </w:r>
    </w:p>
    <w:p>
      <w:pPr>
        <w:spacing w:after="0" w:line="117" w:lineRule="exact"/>
        <w:rPr>
          <w:sz w:val="20"/>
          <w:szCs w:val="20"/>
          <w:color w:val="auto"/>
        </w:rPr>
      </w:pPr>
    </w:p>
    <w:p>
      <w:pPr>
        <w:ind w:left="423" w:right="40" w:hanging="370"/>
        <w:spacing w:after="0" w:line="259" w:lineRule="auto"/>
        <w:tabs>
          <w:tab w:leader="none" w:pos="4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Security Cameras</w:t>
      </w:r>
      <w:r>
        <w:rPr>
          <w:rFonts w:ascii="Times New Roman" w:cs="Times New Roman" w:eastAsia="Times New Roman" w:hAnsi="Times New Roman"/>
          <w:sz w:val="18"/>
          <w:szCs w:val="18"/>
          <w:color w:val="2D373B"/>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a leader in enterprise and home security camera markets, with solutions that deliver exceptional AI inference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industry-leading compression efficiency, low power consumption, and outstanding image quality, including high dynamic range (HDR), low-light processing and fisheye lens de-warping. Our AI products enable higher levels of automation than our vision processors through advanced algorithms, such as object detection, classification and tracking, license plate recognition and facial recognition. We address the following security camera applications:</w:t>
      </w:r>
    </w:p>
    <w:p>
      <w:pPr>
        <w:spacing w:after="0" w:line="71" w:lineRule="exact"/>
        <w:rPr>
          <w:rFonts w:ascii="Times New Roman" w:cs="Times New Roman" w:eastAsia="Times New Roman" w:hAnsi="Times New Roman"/>
          <w:sz w:val="18"/>
          <w:szCs w:val="18"/>
          <w:color w:val="auto"/>
        </w:rPr>
      </w:pPr>
    </w:p>
    <w:p>
      <w:pPr>
        <w:ind w:left="1363" w:hanging="375"/>
        <w:spacing w:after="0" w:line="259" w:lineRule="auto"/>
        <w:tabs>
          <w:tab w:leader="none" w:pos="1363"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Enterprise and Public Class Security</w:t>
      </w:r>
      <w:r>
        <w:rPr>
          <w:rFonts w:ascii="Times New Roman" w:cs="Times New Roman" w:eastAsia="Times New Roman" w:hAnsi="Times New Roman"/>
          <w:sz w:val="18"/>
          <w:szCs w:val="18"/>
          <w:color w:val="auto"/>
        </w:rPr>
        <w:t>. These cameras are used for video monitoring and security surveillance in enterprise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infrastructure applications. Embedded advanced AI technology supports advanced analytics at the system’s edge, including people counting and tracking, facial recognition and retail behavior analysis. In addition, our latest GenAI SoC, the N1-655, can run the latest AI models, without the need for an internet connection, on a variety of on-premise devices, including smart-city security video recorders.</w:t>
      </w:r>
    </w:p>
    <w:p>
      <w:pPr>
        <w:spacing w:after="0" w:line="71" w:lineRule="exact"/>
        <w:rPr>
          <w:rFonts w:ascii="Times New Roman" w:cs="Times New Roman" w:eastAsia="Times New Roman" w:hAnsi="Times New Roman"/>
          <w:sz w:val="18"/>
          <w:szCs w:val="18"/>
          <w:color w:val="auto"/>
        </w:rPr>
      </w:pPr>
    </w:p>
    <w:p>
      <w:pPr>
        <w:jc w:val="both"/>
        <w:ind w:left="1363" w:right="40" w:hanging="375"/>
        <w:spacing w:after="0" w:line="291" w:lineRule="auto"/>
        <w:tabs>
          <w:tab w:leader="none" w:pos="1363"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Home Security</w:t>
      </w:r>
      <w:r>
        <w:rPr>
          <w:rFonts w:ascii="Times New Roman" w:cs="Times New Roman" w:eastAsia="Times New Roman" w:hAnsi="Times New Roman"/>
          <w:sz w:val="17"/>
          <w:szCs w:val="17"/>
          <w:color w:val="auto"/>
        </w:rPr>
        <w:t>. Home security cameras are designed for home or small business use and may be connected to cloud services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applications via home networks using WiFi. Form factors include smart video door-bells and video-enabled lights. Embedded AI technology supports advanced functions, including intruder and pet detection, face recognition and package monitoring.</w:t>
      </w:r>
    </w:p>
    <w:p>
      <w:pPr>
        <w:spacing w:after="0" w:line="44" w:lineRule="exact"/>
        <w:rPr>
          <w:rFonts w:ascii="Times New Roman" w:cs="Times New Roman" w:eastAsia="Times New Roman" w:hAnsi="Times New Roman"/>
          <w:sz w:val="17"/>
          <w:szCs w:val="17"/>
          <w:color w:val="auto"/>
        </w:rPr>
      </w:pPr>
    </w:p>
    <w:p>
      <w:pPr>
        <w:ind w:left="503" w:right="40" w:hanging="503"/>
        <w:spacing w:after="0" w:line="257"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Emerging Robotic and Industrial Applications</w:t>
      </w:r>
      <w:r>
        <w:rPr>
          <w:rFonts w:ascii="Times New Roman" w:cs="Times New Roman" w:eastAsia="Times New Roman" w:hAnsi="Times New Roman"/>
          <w:sz w:val="18"/>
          <w:szCs w:val="18"/>
          <w:color w:val="auto"/>
        </w:rPr>
        <w:t>. Our solutions can add intelligence to a range of partially or fully robotic applications,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access control, industrial/factory automation, sensing cameras, and a variety of industrial and home robotic applications. Our advanced AI SoCs handle an array of complex algorithms, from low-level perception functions and neural networks to higher-level autonomous software stacks, while our neural network-based image signal processing (NN-ISP) provides advanced noise reduction to enable better performance in challenging lighting conditions such as high-contrast scenes and extremely low-light environments, all with low power consumption. We address the following industrial and robotic market applications:</w:t>
      </w:r>
    </w:p>
    <w:p>
      <w:pPr>
        <w:spacing w:after="0" w:line="74" w:lineRule="exact"/>
        <w:rPr>
          <w:rFonts w:ascii="Times New Roman" w:cs="Times New Roman" w:eastAsia="Times New Roman" w:hAnsi="Times New Roman"/>
          <w:sz w:val="18"/>
          <w:szCs w:val="18"/>
          <w:color w:val="auto"/>
        </w:rPr>
      </w:pPr>
    </w:p>
    <w:p>
      <w:pPr>
        <w:ind w:left="1363" w:right="100" w:hanging="375"/>
        <w:spacing w:after="0" w:line="268" w:lineRule="auto"/>
        <w:tabs>
          <w:tab w:leader="none" w:pos="1363"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Identification/Authentication Cameras. </w:t>
      </w:r>
      <w:r>
        <w:rPr>
          <w:rFonts w:ascii="Times New Roman" w:cs="Times New Roman" w:eastAsia="Times New Roman" w:hAnsi="Times New Roman"/>
          <w:sz w:val="18"/>
          <w:szCs w:val="18"/>
          <w:color w:val="auto"/>
        </w:rPr>
        <w:t>Our video-based sensing solutions enable contactless access control for home,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enterprise and public applications. Applications include enterprise access control panels, electronic locks and contactless mobile payment terminals.</w:t>
      </w:r>
    </w:p>
    <w:p>
      <w:pPr>
        <w:spacing w:after="0" w:line="62" w:lineRule="exact"/>
        <w:rPr>
          <w:rFonts w:ascii="Times New Roman" w:cs="Times New Roman" w:eastAsia="Times New Roman" w:hAnsi="Times New Roman"/>
          <w:sz w:val="18"/>
          <w:szCs w:val="18"/>
          <w:color w:val="auto"/>
        </w:rPr>
      </w:pPr>
    </w:p>
    <w:p>
      <w:pPr>
        <w:ind w:left="1363" w:right="60" w:hanging="375"/>
        <w:spacing w:after="0" w:line="262" w:lineRule="auto"/>
        <w:tabs>
          <w:tab w:leader="none" w:pos="1363"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Robotic Products. </w:t>
      </w:r>
      <w:r>
        <w:rPr>
          <w:rFonts w:ascii="Times New Roman" w:cs="Times New Roman" w:eastAsia="Times New Roman" w:hAnsi="Times New Roman"/>
          <w:sz w:val="18"/>
          <w:szCs w:val="18"/>
          <w:color w:val="auto"/>
        </w:rPr>
        <w:t>Our products and technology are well suited for a variety of smart home and enterprise robotic applications.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stereovision capabilities, convolutional neural network (CNN)-based object classification and transformer neural networks, our solutions are also suited for a variety of industrial machine vision systems, mobile robots for delivery or factory/warehouse applications, aerial drones, robotic vacuum cleaners, and other emerging robotic applications.</w:t>
      </w:r>
    </w:p>
    <w:p>
      <w:pPr>
        <w:spacing w:after="0" w:line="68" w:lineRule="exact"/>
        <w:rPr>
          <w:rFonts w:ascii="Times New Roman" w:cs="Times New Roman" w:eastAsia="Times New Roman" w:hAnsi="Times New Roman"/>
          <w:sz w:val="18"/>
          <w:szCs w:val="18"/>
          <w:color w:val="auto"/>
        </w:rPr>
      </w:pPr>
    </w:p>
    <w:p>
      <w:pPr>
        <w:ind w:left="1363" w:right="40" w:hanging="375"/>
        <w:spacing w:after="0" w:line="262" w:lineRule="auto"/>
        <w:tabs>
          <w:tab w:leader="none" w:pos="1363"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Sensing Cameras. </w:t>
      </w:r>
      <w:r>
        <w:rPr>
          <w:rFonts w:ascii="Times New Roman" w:cs="Times New Roman" w:eastAsia="Times New Roman" w:hAnsi="Times New Roman"/>
          <w:sz w:val="18"/>
          <w:szCs w:val="18"/>
          <w:color w:val="auto"/>
        </w:rPr>
        <w:t>Our AI SoCs enable sensing cameras that analyze video using AI-based algorithms running in the camera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remote users with updates, warnings or business data based on the analysis. Since no video, audio or image data needs to leave the camera, privacy can be prioritized. Applications for sensing cameras include elderly monitoring, building occupancy monitoring and retail store business analytics.</w:t>
      </w:r>
    </w:p>
    <w:p>
      <w:pPr>
        <w:spacing w:after="0" w:line="180"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16" w:right="359" w:bottom="1440" w:gutter="0" w:footer="0" w:header="0"/>
        </w:sectPr>
      </w:pPr>
    </w:p>
    <w:bookmarkStart w:id="7" w:name="page8"/>
    <w:bookmarkEnd w:id="7"/>
    <w:p>
      <w:pPr>
        <w:ind w:left="1020" w:right="24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IoT Applications. </w:t>
      </w:r>
      <w:r>
        <w:rPr>
          <w:rFonts w:ascii="Times New Roman" w:cs="Times New Roman" w:eastAsia="Times New Roman" w:hAnsi="Times New Roman"/>
          <w:sz w:val="18"/>
          <w:szCs w:val="18"/>
          <w:color w:val="auto"/>
        </w:rPr>
        <w:t>Cameras for the enterprise, home, public spaces and consumer leisure applications that provide high-definition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(HD) video quality increasingly include embedded connectivity to share and display video. Our low power, high-resolution and connected solutions can be found in a variety of cameras, including wearable body cameras, sports action cameras, social media cameras, drones for capturing aerial video or photographs, video conferencing and virtual reality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platform technology solutions provide performance attributes that satisfy the stringent demands of the camera market, enable integration of HD video and image capture capabilities in portable devices, and provide AI inference capabilities that address the evolving needs of the automotive and IoT markets. We believe that our leadership is the result of our competitive strengths, including:</w:t>
      </w:r>
    </w:p>
    <w:p>
      <w:pPr>
        <w:spacing w:after="0" w:line="64" w:lineRule="exact"/>
        <w:rPr>
          <w:sz w:val="20"/>
          <w:szCs w:val="20"/>
          <w:color w:val="auto"/>
        </w:rPr>
      </w:pPr>
    </w:p>
    <w:p>
      <w:pPr>
        <w:ind w:left="1020" w:right="40" w:hanging="503"/>
        <w:spacing w:after="0" w:line="25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AI, Radar and Computer Vision Architecture. </w:t>
      </w:r>
      <w:r>
        <w:rPr>
          <w:rFonts w:ascii="Times New Roman" w:cs="Times New Roman" w:eastAsia="Times New Roman" w:hAnsi="Times New Roman"/>
          <w:sz w:val="18"/>
          <w:szCs w:val="18"/>
          <w:color w:val="auto"/>
        </w:rPr>
        <w:t>Our proprietary AI processing architecture, known as CVflow, uses a flexible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engine programmed with a high level algorithm description to achieve increased performance while minimizing die size and power consumption. The CVflow architecture supports a variety of AI, radar and computer vision algorithms, including object detection, classification and tracking, semantic and instance segmentation, image processing, and stereo object detection. Our third generation CVflow technology enables us to efficiently process transformer AI networks, which are an enabling technology for next generation automotive and generative AI markets. CVflow also allows customers to differentiate their products by porting their own algorithms and neural networks to our SoCs.</w:t>
      </w:r>
    </w:p>
    <w:p>
      <w:pPr>
        <w:spacing w:after="0" w:line="74" w:lineRule="exact"/>
        <w:rPr>
          <w:rFonts w:ascii="Times New Roman" w:cs="Times New Roman" w:eastAsia="Times New Roman" w:hAnsi="Times New Roman"/>
          <w:sz w:val="18"/>
          <w:szCs w:val="18"/>
          <w:color w:val="auto"/>
        </w:rPr>
      </w:pPr>
    </w:p>
    <w:p>
      <w:pPr>
        <w:ind w:left="1020" w:right="8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Deep Sensor Fusion</w:t>
      </w:r>
      <w:r>
        <w:rPr>
          <w:rFonts w:ascii="Times New Roman" w:cs="Times New Roman" w:eastAsia="Times New Roman" w:hAnsi="Times New Roman"/>
          <w:sz w:val="18"/>
          <w:szCs w:val="18"/>
          <w:color w:val="auto"/>
        </w:rPr>
        <w:t>. Ambarella provides AI perception processing for cameras and software that enables efficient HD 4D radar perception.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CV3 SoC family implements centralized camera and radar perception processing on the same SoC, allowing data from all camera and radar sensors in the sensor suite to be fused at a deeper data level, which we believe will facilitate improved levels of perception accuracy.</w:t>
      </w:r>
    </w:p>
    <w:p>
      <w:pPr>
        <w:spacing w:after="0" w:line="62" w:lineRule="exact"/>
        <w:rPr>
          <w:rFonts w:ascii="Times New Roman" w:cs="Times New Roman" w:eastAsia="Times New Roman" w:hAnsi="Times New Roman"/>
          <w:sz w:val="18"/>
          <w:szCs w:val="18"/>
          <w:color w:val="auto"/>
        </w:rPr>
      </w:pPr>
    </w:p>
    <w:p>
      <w:pPr>
        <w:ind w:left="1020" w:right="40" w:hanging="503"/>
        <w:spacing w:after="0" w:line="25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High-Performance, Low Power, AI, Video and Image Algorithm Expertise</w:t>
      </w:r>
      <w:r>
        <w:rPr>
          <w:rFonts w:ascii="Times New Roman" w:cs="Times New Roman" w:eastAsia="Times New Roman" w:hAnsi="Times New Roman"/>
          <w:sz w:val="18"/>
          <w:szCs w:val="18"/>
          <w:color w:val="auto"/>
        </w:rPr>
        <w:t>. Our extensive algorithm expertise, which facilitates efficient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 video and image compression, enables our solutions to achieve low power consumption without compromising performance. Our solutions support high resolution, high frame-rate and multi-stream video capabilities. Our solutions achieve high storage and transmission efficiencies through innovative and complex video and image compression algorithms that significantly reduce the output bitrate, which directly benefits the performance of our solutions in several ways, including lower memory storage requirements, reduced bandwidth needs for transmission and lower cloud storage costs. Our solutions can deliver clear images in low light conditions because of our advanced noise reduction, including 3D motion compensated temporal filtering (MCTF) and multiple exposure processing. Additionally, our HDR processing capabilities handle scenes with large dynamic range between the lightest and darkest areas to reveal details that would otherwise be lost in shadow or highlight areas. Our neural network-based image signal processing (NN-ISP) provides advanced noise reduction in extremely low lighting conditions. Our advanced de-warping capability enables cameras to use wide angle lenses, making it ideal for a variety of security camera applications, as well as 3D electronic image stabilization and surround view for automotive applications.</w:t>
      </w:r>
    </w:p>
    <w:p>
      <w:pPr>
        <w:spacing w:after="0" w:line="74" w:lineRule="exact"/>
        <w:rPr>
          <w:rFonts w:ascii="Times New Roman" w:cs="Times New Roman" w:eastAsia="Times New Roman" w:hAnsi="Times New Roman"/>
          <w:sz w:val="18"/>
          <w:szCs w:val="18"/>
          <w:color w:val="auto"/>
        </w:rPr>
      </w:pPr>
    </w:p>
    <w:p>
      <w:pPr>
        <w:ind w:left="1020" w:right="100" w:hanging="503"/>
        <w:spacing w:after="0" w:line="25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Highly Integrated SoC Solutions Based on a Scalable Platform</w:t>
      </w:r>
      <w:r>
        <w:rPr>
          <w:rFonts w:ascii="Times New Roman" w:cs="Times New Roman" w:eastAsia="Times New Roman" w:hAnsi="Times New Roman"/>
          <w:sz w:val="18"/>
          <w:szCs w:val="18"/>
          <w:color w:val="auto"/>
        </w:rPr>
        <w:t>. Our product families leverage a flexible and highly-scalable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core high-performance AI and video processing architecture combined with an extensive set of integrated peripherals. Our flexible and highly-scalable platform enables our customers to address multiple applications and markets with reduced design cycles and costs. Our software compatible portfolio of products, with a broad range of performance and price points, allows our customers to develop a wide range of differentiated end products from a common software base.</w:t>
      </w:r>
    </w:p>
    <w:p>
      <w:pPr>
        <w:spacing w:after="0" w:line="71"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Comprehensive and Flexible Software</w:t>
      </w:r>
      <w:r>
        <w:rPr>
          <w:rFonts w:ascii="Times New Roman" w:cs="Times New Roman" w:eastAsia="Times New Roman" w:hAnsi="Times New Roman"/>
          <w:sz w:val="18"/>
          <w:szCs w:val="18"/>
          <w:color w:val="auto"/>
        </w:rPr>
        <w:t>. Our years of investment in developing and optimizing our comprehensive and flexible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serve as the foundation of our high-performance video application solutions. We provide our customers full-function software development kits with a suite of application programming interfaces or APIs, which allow customers to rapidly integrate our solution, adjust product specifications and provide additional functionality to their systems, thereby enabling them to differentiate their product offerings and reduce time to market. We also provide a toolkit to accelerate the development of computer vision algorithms onto our hardware. </w:t>
      </w:r>
      <w:r>
        <w:rPr>
          <w:rFonts w:ascii="Times New Roman" w:cs="Times New Roman" w:eastAsia="Times New Roman" w:hAnsi="Times New Roman"/>
          <w:sz w:val="18"/>
          <w:szCs w:val="18"/>
          <w:color w:val="2D373B"/>
        </w:rPr>
        <w:t>Our Cooper™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D373B"/>
        </w:rPr>
        <w:t>Developer Platform offers seamless integration of software, hardware, state-of-the-art (SOTA) AI models, and services that provide universal support for Ambarella’s entire portfolio of AI SoCs.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a wide range of products in our portfolio, including products that have commercially shipped, products for which we have shipped engineering samples and products that are under development. We typically introduce two to three new silicon products per year which, when combined with our flexible software development kits, allow us to offer product families addressing the specific needs of a wide range of end markets. In addition to enabling small device size and low power consumption, our SoC solutions make possible differentiated functionalities, such as advanced AI functionality, simultaneous video and image capture, multiple-stream video capture, image stabilization and wireless connectivity.</w:t>
      </w:r>
    </w:p>
    <w:p>
      <w:pPr>
        <w:spacing w:after="0" w:line="179"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Domain Controller. </w:t>
      </w:r>
      <w:r>
        <w:rPr>
          <w:rFonts w:ascii="Times New Roman" w:cs="Times New Roman" w:eastAsia="Times New Roman" w:hAnsi="Times New Roman"/>
          <w:sz w:val="18"/>
          <w:szCs w:val="18"/>
          <w:color w:val="auto"/>
        </w:rPr>
        <w:t>Our CV3-AD family of automotive AI domain controllers, targets L2+ to L4 autonomous vehicles and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robots. Its next-generation CVflow® AI accelerator includes neural network processing that is 20x faster than the previous generation of CV2 SoCs, along with additional general vector processing capabilities to provide the overall performance required for full autonomous driving (AD) stack processing, including computer vision, HD 4D radar, deep fusion and planning. It also integrates advanced image processing, a dense stereo and optical flow engine, Arm® Cortex® A78AE and R52 CPUs, an automotive GPU for visualizations, and a hardware security module (HSM). The CV3-AD685 is an “algorithm first” architecture that provides support for the entire AD software stack.</w:t>
      </w:r>
    </w:p>
    <w:p>
      <w:pPr>
        <w:spacing w:after="0" w:line="182"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CVflow SoCs. </w:t>
      </w:r>
      <w:r>
        <w:rPr>
          <w:rFonts w:ascii="Times New Roman" w:cs="Times New Roman" w:eastAsia="Times New Roman" w:hAnsi="Times New Roman"/>
          <w:sz w:val="18"/>
          <w:szCs w:val="18"/>
          <w:color w:val="auto"/>
        </w:rPr>
        <w:t>Multiple generations of our AI accelerator architecture have been developed, and all of our new product families incorporate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ability to extract and processes data from video streams, enabling our customers to develop intelligent camera systems. These SoCs combine advanced image processing, high-resolution video encoding and CVflow AI processing in a single, low-power design to enable a new class of smart edge devices for applications including smart home security, retail monitoring, consumer robotics, and occupancy monitoring. Some of our CVflow SoCs are manufactured to satisfy the functional safety requirements of the automotive market. Our third generation CVflow-based SoCs enable efficient processing or transformer AI networks, which are an enabling technology for next generation automotive and generative AI markets.</w:t>
      </w:r>
    </w:p>
    <w:p>
      <w:pPr>
        <w:spacing w:after="0" w:line="182"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 Neural Processor. </w:t>
      </w:r>
      <w:r>
        <w:rPr>
          <w:rFonts w:ascii="Times New Roman" w:cs="Times New Roman" w:eastAsia="Times New Roman" w:hAnsi="Times New Roman"/>
          <w:sz w:val="18"/>
          <w:szCs w:val="18"/>
          <w:color w:val="auto"/>
        </w:rPr>
        <w:t>Based on our proprietary architecture, our N1 SoC provides highly-efficient AI performance for neural network computation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combination with a general vector processor (GVP), an advanced image processor, a dense stereo and optical flow engine, and a GPU, in a single SoC. The N1 is designed for implementing industrial robotics, smart cities, intelligent healthcare imaging and diagnostics, multi-camera AI processing hub, edge AI servers running multi-modal LLMs, and autonomous fleet telematics.</w:t>
      </w:r>
    </w:p>
    <w:p>
      <w:pPr>
        <w:spacing w:after="0" w:line="176"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Vision Processor SoCs. </w:t>
      </w:r>
      <w:r>
        <w:rPr>
          <w:rFonts w:ascii="Times New Roman" w:cs="Times New Roman" w:eastAsia="Times New Roman" w:hAnsi="Times New Roman"/>
          <w:sz w:val="18"/>
          <w:szCs w:val="18"/>
          <w:color w:val="auto"/>
        </w:rPr>
        <w:t>Our video and image processing SoCs integrate an advanced image sensor pipeline (ISP), H.264 and/or H.265 encoders,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 powerful ARM CPU for advanced analytics, flight control, WiFi streaming, and other user applications. Our unique architecture and advanced process node technology lower power consumption while maintaining high performance for security camera and consumer applications such as connected drones, sports cameras, and 360º (VR) cameras.</w:t>
      </w:r>
    </w:p>
    <w:p>
      <w:pPr>
        <w:spacing w:after="0" w:line="176"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High Definition Radar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our acquisition of Oculii, we offer adaptive AI software algorithms designed to enable radar perception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production radar chips to achieve significantly higher resolution, longer range and greater accuracy. These improvements eliminate the need for specialized high-resolution radar chips, which have significantly higher power consumption and cost than conventional radar solutions. We recently introduced a centralized radar architecture that leverages Oculii’s adaptive AI software algorithms together with our CV3 processor family to enable both central processing of raw radar data and deep, low-level fusion with other sensor inputs, including cameras, lidar and ultrasonics.</w:t>
      </w:r>
    </w:p>
    <w:p>
      <w:pPr>
        <w:spacing w:after="0" w:line="17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Serializer/Deserializers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B8 SerDes (Serializer/Deserializer) product is a mixed-signal (analog and digital) semiconductor used to transport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short distances (up to 10 meters) from a CMOS image sensor, often in a remote camera location, to our video and AI SoCs. The SerDes chips are used to add additional camera(s) to an automotive application, as well as used as a bridge chip for other automotive applications, such as a MIPI combiner, splitter or display driver. Our SerDes chips are also used in security applications such as ATMs that can use a single B8 chip for connecting multiple remote cameras to a single video processor SoC.</w:t>
      </w:r>
    </w:p>
    <w:p>
      <w:pPr>
        <w:spacing w:after="0" w:line="179"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Software Modules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separately license proprietary software modules that can be used in conjunction with a customer’s internally developed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and/or with third-party software. Features that may be licensed include functionality for a variety of automotive applications, including dataloggers, ADAS and autonomous driving systems, eMirrors and in-cabin applications. Additionally, our neural-network image signal processing (NN-ISP) software module improves low light imaging in security camera applications.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color w:val="auto"/>
        </w:rPr>
        <w:t>The chart below describes our current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5511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551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semiconductor processing solutions enable edge AI processing, HD, Ultra HD (UHD) and 8K UHD (up to 7680 x 4320p60) video and image processing, and video compression, sharing and display while offering exceptional power, size, and performance characteristics.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differentiators of our technology include:</w:t>
      </w:r>
    </w:p>
    <w:p>
      <w:pPr>
        <w:spacing w:after="0" w:line="117" w:lineRule="exact"/>
        <w:rPr>
          <w:sz w:val="20"/>
          <w:szCs w:val="20"/>
          <w:color w:val="auto"/>
        </w:rPr>
      </w:pPr>
    </w:p>
    <w:p>
      <w:pPr>
        <w:ind w:left="1500" w:hanging="369"/>
        <w:spacing w:after="0" w:line="282" w:lineRule="auto"/>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and scalable CVflow processors for deep learning, HD radar processing and other AI algorithms that cover a broad range of consumer, professional and automotive requirements with power and die size efficiency;</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stereo/optical flow processing engines for robust AI processing with high performance and power efficiency;</w:t>
      </w:r>
    </w:p>
    <w:p>
      <w:pPr>
        <w:spacing w:after="0" w:line="117" w:lineRule="exact"/>
        <w:rPr>
          <w:rFonts w:ascii="Times New Roman" w:cs="Times New Roman" w:eastAsia="Times New Roman" w:hAnsi="Times New Roman"/>
          <w:sz w:val="18"/>
          <w:szCs w:val="18"/>
          <w:color w:val="auto"/>
        </w:rPr>
      </w:pPr>
    </w:p>
    <w:p>
      <w:pPr>
        <w:ind w:left="1500" w:hanging="369"/>
        <w:spacing w:after="0" w:line="266" w:lineRule="auto"/>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image processing and video compression engines that cover consumer, professional and automotive requirements from Full HD to 8K video performance levels as well as multiple image sensors simultaneously to support multiple viewpoints, including surround view and virtual reality applications;</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28" w:right="559" w:bottom="1440" w:gutter="0" w:footer="0" w:header="0"/>
        </w:sectPr>
      </w:pPr>
    </w:p>
    <w:bookmarkStart w:id="10" w:name="page11"/>
    <w:bookmarkEnd w:id="10"/>
    <w:p>
      <w:pPr>
        <w:ind w:left="1500" w:right="360" w:hanging="369"/>
        <w:spacing w:after="0" w:line="282"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algorithms for image processing including deep learning augmented processing for challenging low light and high dynamic range conditions for robust AI and human viewing with high power efficiency.</w:t>
      </w:r>
    </w:p>
    <w:p>
      <w:pPr>
        <w:spacing w:after="0" w:line="53" w:lineRule="exact"/>
        <w:rPr>
          <w:rFonts w:ascii="Times New Roman" w:cs="Times New Roman" w:eastAsia="Times New Roman" w:hAnsi="Times New Roman"/>
          <w:sz w:val="18"/>
          <w:szCs w:val="18"/>
          <w:color w:val="auto"/>
        </w:rPr>
      </w:pPr>
    </w:p>
    <w:p>
      <w:pPr>
        <w:ind w:left="1500" w:right="420" w:hanging="369"/>
        <w:spacing w:after="0" w:line="282"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algorithms and software for scalable and robust HD 4D radar processing using sparse antenna arrays using machine learning and adaptive transmit waveforms for lower cost and better power efficiency;</w:t>
      </w:r>
    </w:p>
    <w:p>
      <w:pPr>
        <w:spacing w:after="0" w:line="53" w:lineRule="exact"/>
        <w:rPr>
          <w:rFonts w:ascii="Times New Roman" w:cs="Times New Roman" w:eastAsia="Times New Roman" w:hAnsi="Times New Roman"/>
          <w:sz w:val="18"/>
          <w:szCs w:val="18"/>
          <w:color w:val="auto"/>
        </w:rPr>
      </w:pPr>
    </w:p>
    <w:p>
      <w:pPr>
        <w:ind w:left="1500" w:right="460" w:hanging="369"/>
        <w:spacing w:after="0" w:line="282"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learning algorithms and software for multi class 2D/3D object detection and segmentation, including vehicles, pedestrians, cycles, road markings, traffic signs and traffic lights optimized for our CV2 and CV3 SoC families;</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algorithms and software for stereo obstacle detection to provide robust safety in the event of obstacles that are not in the training data;</w:t>
      </w:r>
    </w:p>
    <w:p>
      <w:pPr>
        <w:spacing w:after="0" w:line="117" w:lineRule="exact"/>
        <w:rPr>
          <w:rFonts w:ascii="Times New Roman" w:cs="Times New Roman" w:eastAsia="Times New Roman" w:hAnsi="Times New Roman"/>
          <w:sz w:val="18"/>
          <w:szCs w:val="18"/>
          <w:color w:val="auto"/>
        </w:rPr>
      </w:pPr>
    </w:p>
    <w:p>
      <w:pPr>
        <w:ind w:left="1500" w:right="160" w:hanging="369"/>
        <w:spacing w:after="0" w:line="282"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autonomous driving stack modules optimized for our CV3 SoC family, including fusion for multiple cameras and sensor modalities, mapping and localization algorithms and planning;</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algorithms to compress video signals with high compression and power efficiency at multiple operating points;</w:t>
      </w:r>
    </w:p>
    <w:p>
      <w:pPr>
        <w:spacing w:after="0" w:line="117" w:lineRule="exact"/>
        <w:rPr>
          <w:rFonts w:ascii="Times New Roman" w:cs="Times New Roman" w:eastAsia="Times New Roman" w:hAnsi="Times New Roman"/>
          <w:sz w:val="18"/>
          <w:szCs w:val="18"/>
          <w:color w:val="auto"/>
        </w:rPr>
      </w:pPr>
    </w:p>
    <w:p>
      <w:pPr>
        <w:ind w:left="1500" w:hanging="369"/>
        <w:spacing w:after="0" w:line="312" w:lineRule="auto"/>
        <w:tabs>
          <w:tab w:leader="none" w:pos="1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software development kit comprised of application programming interfaces, or APIs, to facilitate integration into customers’ products; and tools for porting and optimizing customer deep neural networks, or DNNs, developed in industry standard training frameworks;</w:t>
      </w:r>
    </w:p>
    <w:p>
      <w:pPr>
        <w:spacing w:after="0" w:line="31" w:lineRule="exact"/>
        <w:rPr>
          <w:rFonts w:ascii="Times New Roman" w:cs="Times New Roman" w:eastAsia="Times New Roman" w:hAnsi="Times New Roman"/>
          <w:sz w:val="17"/>
          <w:szCs w:val="17"/>
          <w:color w:val="auto"/>
        </w:rPr>
      </w:pPr>
    </w:p>
    <w:p>
      <w:pPr>
        <w:ind w:left="1500" w:hanging="369"/>
        <w:spacing w:after="0"/>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low-power architecture with minimal system memory footprint; and</w:t>
      </w:r>
    </w:p>
    <w:p>
      <w:pPr>
        <w:spacing w:after="0" w:line="117" w:lineRule="exact"/>
        <w:rPr>
          <w:rFonts w:ascii="Times New Roman" w:cs="Times New Roman" w:eastAsia="Times New Roman" w:hAnsi="Times New Roman"/>
          <w:sz w:val="18"/>
          <w:szCs w:val="18"/>
          <w:color w:val="auto"/>
        </w:rPr>
      </w:pPr>
    </w:p>
    <w:p>
      <w:pPr>
        <w:ind w:left="1500" w:right="660" w:hanging="369"/>
        <w:spacing w:after="0" w:line="282"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programmable architecture that balances flexibility, quality, power and die size with powerful CPUs and optimized hardware acceleration to support advanced processing functions.</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technology platform is based on a high-performance, low-power architecture supported by a high level of system integration. The building blocks of our platform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114300</wp:posOffset>
            </wp:positionV>
            <wp:extent cx="4389120" cy="3034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8912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technology platform enables the capture of high-resolution still images and UHD video while simultaneously performing AI processing and encoding for high-quality storage and lower resolution real time streaming.</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CVflow</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11" w:name="page12"/>
    <w:bookmarkEnd w:id="11"/>
    <w:p>
      <w:pPr>
        <w:ind w:firstLine="509"/>
        <w:spacing w:after="0" w:line="254" w:lineRule="auto"/>
        <w:rPr>
          <w:sz w:val="20"/>
          <w:szCs w:val="20"/>
          <w:color w:val="auto"/>
        </w:rPr>
      </w:pPr>
      <w:r>
        <w:rPr>
          <w:rFonts w:ascii="Times New Roman" w:cs="Times New Roman" w:eastAsia="Times New Roman" w:hAnsi="Times New Roman"/>
          <w:sz w:val="18"/>
          <w:szCs w:val="18"/>
          <w:color w:val="auto"/>
        </w:rPr>
        <w:t>Our proprietary AI processing architecture, known as CVflow®, uses a flexible hardware accelerator programmed with a data flow graph algorithm description to achieve increased performance while minimizing die size and power consumption. This description allows the hardware to maximize use of its resources by exploiting all available parallelism without software intervention. The CVflow architecture specifies data flow connections between a set of optimized AI and computer vision operators, such as the convolution and matrix multiply functions that are used for deep learning algorithms. Our CVflow engine is also capable of running large language model inferencing, with models up to 34 billion parameters run on a single N-1 SoC. The CVflow architecture also supports a variety of other algorithms, including radar processing, stereo obstacle detection and sensor fusion. Our third generation CVflow-based SoCs enable efficient processing or transformer AI networks, which are an enabling technology for next generation automotive and generative AI markets. Our platform allows customers to differentiate their products by porting and optimizing their own algorithms and neural networks to our CVflow-based chips using industry-standard training tools and APIs.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Computer Vision and Radar Technology</w:t>
      </w:r>
    </w:p>
    <w:p>
      <w:pPr>
        <w:spacing w:after="0" w:line="22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Computer vision is a core technology that complements our proprietary image processing and video compression technology. We have developed efficient deep learning algorithms for object detection and segmentation leveraging our deep understanding of the CVflow processor. A significant feature of our third generation CVflow SoCs is support for HD stereo and HD radar based depth and velocity sensing. We believe HD stereo and HD radar are complementary sensor modalities that provide robust depth information after fusion. This depth information provides an important augmentation to monocular computer vision processing, resulting in an extra margin of safety for autonomous driving and other applications. Monocular processing depends on training to detect obstacles, and may not detect obstacles that are not represented in the training set. Stereo cameras and radar detect obstacles without relying on training for specific obstacle categories because the depth information is used to directly construct a three-dimensional model of the camera’s surroundings, including any obstacles. This allows more robust decisions to be made in applications such as autonomous driving.</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Software Modules</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developing optimized software modules to give customers the option to leverage our expertise and reduce development time and expense. These modules include HD radar processing for standalone and central radar processing, deep learning based low light and HDR image processing, monocular and stereo camera perception, and autonomous driving stack modules optimized for the CV3 family, including fusion for multiple cameras and sensor modalities, mapping and localization algorithms and planning.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AmbaClear</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proprietary image signal processing architecture, known as AmbaClear, incorporates advanced algorithms to convert raw sensor data to UHD video and/or still images. Image processing algorithms include sensor, lens and color correction, HDR tone mapping, color processing and de-mosaicing to reconstruct a full color image from incomplete color samples and specialized color filters, noise filtering, detail enhancement and image format conversion. For example, raw sensor data can be captured at up to 32-megapixel (8K) resolution at 60 frames per second. This image processing reduces noise in the sensor data and improves color, contrast and sharpness resulting in improved computer vision performance, enhanced human viewing and enhanced storage and transmission efficiencies. Our wide dynamic range (WDR) and HDR processing capabilities handle greater dynamic range between the lightest and darkest areas of an image, permitting video images to reveal details that would otherwise be lost against a bright background. We have developed efficient scalable deep learning algorithms for advanced low light processing and HDR tone mapping that augment our image processing hardware. These algorithms provide significant image quality improvements over our standard image processing while running in real time at HD and higher resolutions. Our advanced de-warping capability enables cameras to use wide angle lenses to capture images from a wide area, making it ideal for a variety of IP security camera and surround view applications. Our RGB- infrared fusion capability allows a single sensor to produce simultaneous RGB and infrared images for sensing and improved low light performance.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AmbaCast</w:t>
      </w:r>
    </w:p>
    <w:p>
      <w:pPr>
        <w:spacing w:after="0" w:line="229"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Our proprietary UHD video compression architecture, known as AmbaCast, incorporates advanced algorithms for motion estimation, motion-compensated 3D temporal filtering, mode decision and AI based rate control. Successful implementation of these computationally intensive steps has helped us maximize compression efficiency. We support H.264 and H.265 video compression standard with our H.265 providing up to 2x better compression efficiency compared to our H.264 video compression technology.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Design Methodology</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success of our technology platform stems from our algorithm driven design methodology. We do extensive algorithm studies in deep learning AI, image processing and compression including our internally developed and public external algorithms. We use these studies to develop high power and die area efficient processing engines compared with general purpose processors like CPUs and GPUs. We also include a high degree of programmability to provide flexibility in supporting new algorithms that we and our customers develop. We test and verify our algorithms on our proprietary architectural model prior to implementing our processor engines in hardware. Our advanced verification methodology validates our approach through simultaneous modeling of architecture, algorithms, and the hardware itself. This redundant approach helps us identify and remediate weaknesses early in the development cycle, providing a solid foundation on which we build our hardware implementation, and enhances our ability to achieve first-pass silicon success. We possess extensive expertise in AI deep learning, video and imaging algorithms, as well as deep sub-micron digital and mixed-signal design experience.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sell our solutions to leading original design manufacturers, or ODMs, and original equipment manufacturers, or OEMs, globally. In the automotive OEM market, we may sell our solutions to Tier-1 suppliers that develop and sell devices incorporating our solutions to automotive OEMs. We refer to ODMs and Tier-1 suppliers as our customers and OEMs as our end customers, except as otherwise indicated or as the context otherwise requires.</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Sales to customers in Asia accounted for approximately 85%, 79%, and 79% of our total revenue in the fiscal years ended January 31, 2025, 2024, and 2023, respectively. As many of our OEM end customers or their ODM manufacturers are located in Asia, we anticipate that a majority of our revenue will continue to come from sales to customers in that region. Although a large percentage of our sales are made to customers in Asia, we believe that a significant number of the products designed by these customers and incorporating our SoCs are then sold to consumers globally. To date, all of our sales have been denominated in U.S. dollars.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work closely with our end customer OEMs and ODMs throughout their product design cycles that often last twelve to eighteen months for many of our target markets, although new products may have longer design cycles, particularly those implementing advanced AI features. Product design cycles for certain portions of the automotive market generally last longer than eighteen months, particularly for products containing user safety features. As a result, we are able to develop long-term relationships with our customers as our technology becomes embedded in their products. Consequently, we believe we are well positioned to not only be designed into our customers’ current products, but also to continue to develop next-generation AI solutions for their future products.</w:t>
      </w:r>
    </w:p>
    <w:p>
      <w:pPr>
        <w:spacing w:after="0" w:line="18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product life cycles in many of our target markets typically range from twelve to 24 months. We expect that product lifecycles in the automotive OEM and the industrial and robotics markets will typically be longer than 24 months, as new product introductions occur less frequently. For many of our solutions, early engagement with our customers’ technical staff is necessary for success.</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fiscal year 2025, the customer representing 10% or more of revenue was WT Microelectronics Co., Ltd., formerly Wintech Microelectronics Co., Ltd., or WT, our non-exclusive sales representative and fulfillment partner in Asia other than Japan, which accounted for approximately 63% of total revenue. We currently rely, and expect to continue to rely, on a limited number of customers for a significant portion of our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sell our solutions worldwide using our direct sales force and our distributors. We have direct sales personnel covering the United States, Asia and Europe, and we operate sales offices in Santa Clara, California and Hong Kong, and business development offices in China, Germany, Japan, South Korea, and Taiwan. In addition, in each of these locations we employ a staff of field applications engineers to provide direct engineering support locally to our customers.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3" w:name="page14"/>
    <w:bookmarkEnd w:id="13"/>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AI and video and image processing solution, but the eventual design and incorporation of our SoC into the product may be handled by an ODM or Tier-1 supplier on behalf of the OEM. Volume production may begin within 12 to 18 months after a design win, depending on the complexity of our customer’s product and other factors upon which we may have little or no influence. Once our solutions have been incorporated into a customer’s design, they are likely to be used for the life cycle of the customer’s product. Conversely, a design loss to a competitor will likely preclude any opportunity for future revenue from such customer’s product.</w:t>
      </w:r>
    </w:p>
    <w:p>
      <w:pPr>
        <w:spacing w:after="0" w:line="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sales are generally made pursuant to purchase orders received approximately 20 to 30 weeks prior to the scheduled product delivery date, depending upon agreed terms with our customers and the current manufacturing lead time at the time the purchase order is received. Typically, these purchase orders may not be cancelled or modified without our written consent. Our standard warranty provides that our SoCs containing defects in materials, workmanship or performance may be returned for a refund of the purchase price or for replacement, at our discretion. We may agree to different warranty terms with specific customers from time to time.</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sales are primarily made through standard purchase orders for delivery of products. Our manufacturing production is based on estimates and advance non-binding commitments from customers as to future purchases. We follow industry practice that generally allows customers to change or defer orders with limited advance notice prior to shipment, often without penalty. Given this practice, we do not believe that backlog is a reliable indicator of future revenue levels, except on a short-term basis, principally within our average lead times.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employ a fabless business model and use third-party foundries and assembly and test contractors to manufacture, assemble and test our solutions. This outsourced manufacturing approach allows us to focus our resources on the design, sales and marketing of our solutions and avoid the cost associated with owning and operating our own manufacturing facility. Our engineers work closely with foundries and other contractors to increase yields, lower manufacturing costs and improve quality. In addition, we believe outsourcing many of our manufacturing and assembly activities provides us the flexibility needed to respond to new market opportunities, simplifies our operations and significantly reduces our capital requirements. We do not have a guaranteed level of production capacity from any of our suppliers’ facilities to produce our solutions. We carefully qualify each of our suppliers and their subcontractors and processes in order to meet the extremely high-quality and reliability standards required of our solutions.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Wafer Fabrication</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a history of using several process nodes from 130 nm through 5 nm. 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efficiency. We believe this strategy will help us remain competitive. We currently manufacture our solutions in the 10nm and 5nm process nodes. Currently, the substantial majority of our SoCs are supplied by Samsung Electronics Corporation (“Samsung”) in facilities located in Austin, Texas and South Korea, from whom we have the option to purchase both fully-assembled and tested products as well as tested die in wafer form for assembly. Our foundry vendors are ISO 9001 certified.</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Assembly and Testing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our products is handled primarily by Sigurd Corporation or King Yuan Electronics Co., Ltd. under the supervision of our engineers. All test software and related processes for our products are developed by our engineers. We continually monitor the results of testing at all of our test contractors to ensure that our testing procedures are properly implemented.</w:t>
      </w:r>
    </w:p>
    <w:p>
      <w:pPr>
        <w:spacing w:after="0" w:line="18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part of our total quality assurance program, our quality management system has been certified to ISO 9001:2015 standards. Our assembly and testing vendors are also ISO 9001 certified.</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Due to the scheduling requirements of our foundry, assembly and test contractors, we generally provide our contractors with our production forecasts and place firm orders for products with our suppliers up to 40 weeks prior to the anticipated delivery date, or potentially longer during times of acute capacity shortages, usually without a purchase order from our own customers.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our technology is a competitive advantage and we engage in substantial research and development efforts to develop new products and integrate AI functionality into our video processing solutions. We believe that our continued success depends on our ability to both introduce improved versions of our existing solutions and to develop new solutions for the markets that we serve. As of January 31, 2025, approximately 75% of our employees are engaged in research and development. Our research and development team is comprised of both semiconductor and software designers. Our semiconductor design team has extensive experience in large-scale semiconductor design, including architecture description, logic and circuit design, implementation and verification. Our software design team has extensive experience in development and verification of video processing, AI deep learning and adaptive AI radar software. Because the integration of hardware and software is a key competitive advantage of our solutions, our hardware and software design teams work closely together throughout the product development process. The experience of our hardware and software design teams enables us to effectively assess tradeoffs and advantages when determining which features and capabilities of our solutions should be implemented in hardware and in software.</w:t>
      </w:r>
    </w:p>
    <w:p>
      <w:pPr>
        <w:spacing w:after="0" w:line="8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have assembled a core team of experienced engineers and systems designers in four research and development design centers located in the United States, China, Italy, and Taiwan.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global semiconductor market in general, and the AI and video and image processing markets in particular, are highly competitive. We expect competition to increase and intensify as more and larger semiconductor companies enter our markets and as we penetrate new markets, such as the automotive OEM market. Increased competition could result in price pressure, reduced profitability and loss of market share, any of which could materially and adversely affect our business, revenue and operating results.</w:t>
      </w:r>
    </w:p>
    <w:p>
      <w:pPr>
        <w:spacing w:after="0" w:line="18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competitors range from large, international companies offering a wide range of semiconductor products to smaller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Ltd.,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that compete with ours.</w:t>
      </w:r>
    </w:p>
    <w:p>
      <w:pPr>
        <w:spacing w:after="0" w:line="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which may enable them to develop and enable new technology into product solutions better or faster than us and to better withstand adverse economic or market conditions in the future.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compete successfully in the rapidly evolving camera markets depends on several factors, including:</w:t>
      </w:r>
    </w:p>
    <w:p>
      <w:pPr>
        <w:spacing w:after="0" w:line="117" w:lineRule="exact"/>
        <w:rPr>
          <w:sz w:val="20"/>
          <w:szCs w:val="20"/>
          <w:color w:val="auto"/>
        </w:rPr>
      </w:pPr>
    </w:p>
    <w:p>
      <w:pPr>
        <w:ind w:left="1020" w:right="7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manufacturing of new solutions, including software, that anticipate the video processing and integration needs of our customers’ next-generation products and applications;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our AI solutions, as measured by convolutional neural network performance and/or transformer neural network performance, video and still picture image quality, resolution and frame processing rates;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consumption efficiency of our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implementation of our products by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customer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the foundry process technology and architecture tradeoffs to meet customers’ product requirements in a timely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reliability;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total solution.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 w:name="page16"/>
    <w:bookmarkEnd w:id="15"/>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believe that, overall, we compete favorably with respect to these factors, particularly because our solutions typically provide high-quality video, and low power consumption, efficient CNN and transformer performance, efficient integration of advanced algorithms, exceptional storage and transmission efficiencies, highly-integrated SoC solutions based on a scalable platform, and comprehensive and flexible software. We cannot ensure, however, that our solutions will continue to compete favorably or that we will be successful in the face of increasing competition from new products introduced by existing or new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-445770</wp:posOffset>
            </wp:positionV>
            <wp:extent cx="285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patents, trade secrets, copyrights and trademarks, and contractual protections, to protect our core technology and intellectual property. As of January 31, 2025, we had 372 issued patents in the United States, 137 of which were continuation or divisional patents, 10 issued patents in Europe, 12 issued patents in China, 8 issued patents in Japan and 64 pending patent applications in the United States. The issued patents in the United States expire beginning in 2025 through 2042. Our issued patents and pending patent applications primarily relate to image and video processing and HD video compression, AI processing, system level camera, and radar perception applications spanning multiple market segments</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not receive competitive advantages from any rights granted under our patents, and our patent applications may not result in the issuance of any new patents. In addition, any patent we hold may be opposed, contested, circumvented, designed around by a third party or found to be unenforceable or invalidated. Others may develop technologies that are similar or superior to our proprietary technologies, duplicate our proprietary technologies or design around patents owned or licensed by us.</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own intellectual property, we also use third-party licenses for certain technologies embedded in our SoC solutions. These are typically non-exclusive contracts provided under royalty-accruing or paid-up licenses. These licenses are generally perpetual or automatically renewed for so long as we continue to pay any maintenance fees that may be due. To date, maintenance fees have not constituted a significant portion of our capital expenditures. While we do not believe our business is dependent to any significant degree on any individual third-party license, we expect to continue to use and may license additional third-party technology for our solutions.</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mask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Despite our efforts to protect our intellectual property, unauthorized parties may still copy or otherwise obtain and use our software, technology or other information that we regard as proprietary intellectual property. In addition, we continue to operate internationally, and effective patent, copyright, trademark and trade secret protection may not be available or may be limited in foreign countries.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business has tended to be seasonal with higher revenue in our second and third fiscal quarters as our customers typically increase their production to meet holiday shopping season or year-end demand for their products. We also may experience seasonally lower demand in our first and fourth fiscal quarters due to ODM and OEM factory holiday closures. These seasonal fluctuations may diminish if our revenue diversifies and becomes less dependent on sales of our customers’ consumer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business and operations around the world are subject to government regulation at the national, state or local level addressing, among other matters, applicable environmental laws, health and safety laws and regulations, laws relating to export controls and economic sanctions, and the rules of industrial standards bodies such as the International Standards Organization and governmental agencies such as the Federal Trade Commission.</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properties and operations comply in all material respects with applicable laws protecting the environment and worker health and safety. As a fabless semiconductor company, we do not manufacture our own products but do maintain laboratory space at certain of our facilities to facilitate the development, evaluation and testing of our SoC products. To date, we have not incurred significant expenditures relating to environmental compliance at our facilities nor have we experienced any material issues relating to employee health and safety.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6" w:name="page17"/>
    <w:bookmarkEnd w:id="16"/>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to environmental and worker health and safety laws, our business is subject to various rules and regulations and executive orders relating to export controls and trade sanctions. Certain of our products are subject to the Export Administration Regulations (EAR), which are administered by the United States Department of Commerce’s Bureau of Industry and Security (BIS), and we may from time to time be required to obtain an export license before we can export certain products or technology to specified countries or customers. In addition, the EAR imposes broad controls on entities listed on sanctioned persons lists, including the BIS Entity List. If one of our customers is listed on the BIS Entity List or another U.S. government sanctioned persons’ list, then subject to certain exceptions, we will, as a general rule, be precluded from doing business with that customer. We cannot guarantee that export control restrictions or sanctions imposed in the future will not prevent, or materially limit, our ability to conduct business with certain customers or in certain countries. Any failure to comply with these laws could result in governmental enforcement actions, including substantial monetary penalties and denial of export privileges.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Innovation has been the lifeblood of our company since our founding in 2004. We continually strive to develop leading-edge image and video, and now AI, processors using the most advanced semiconductor processes available to create high performance, power efficient SoCs. We depend on our people to sustain our competitive advantages.</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January 31, 2025, we employed a total of 941 people, including 260 in the United States, 590 in Asia, primarily with 352 in Taiwan and 223 in China, and 91 in Europe. Approximately 75% of our employees are engaged in research and development, 23% in sales, marketing and administration and 2% in operations. As of January 31, 2025, women represented 33% of our independent directors, 18% of senior management, 17% of our technical roles, and 20% of our total workforce. Of our total employee workforce, approximately 37% is represented by a work council in Taiwan. The work council group, which is common in Taiwan, is comprised of employees elected by the general employee base in that location. We consider our global employee relations to be good. Despite employees working in geographically disparate locations and differences in cultures, we strive to treat all employees as part of one team working together. Our Chief Executive Officer holds quarterly town hall style meetings with employees of all of our offices to keep employees apprised of company activities and objectives and to provide an opportunity for all employees to meet and ask questions. All employees receive training in the prevention of sexual harassment and abusive conduct in the workplace.</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human capital resources objectives include attracting and retaining talented and experienced employees. We utilize multiple online search tools, specialized recruiting firms, employee referral programs and university hires to ensure a varied outreach approach for candidates. We are committed to ensuring the human rights of our worldwide workforce and treating all employees with dignity and respect. We offer a combination of competitive base salary, time-based equity incentives and bonus plans linked to financial and strategic performance that are designed to motivate and reward personnel with annual grants of stock-based and cash-based incentive compensation awards, plus other benefits, in order to increase both stockholder value and the success of our company by motivating such individuals to perform to the best of their abilities and achieve our short term and long-term objectives. We offer competitive benefits tailored to local markets and laws and designed to support employee health, welfare and retirement; examples of such benefits include paid time off; 401(k), pension or other retirement plans; an employee stock purchase plan; basic and voluntary life, disability and supplemental insurance; medical, dental and vision insurance; health savings and flexible spending accounts; relocation assistance; and employee assistance programs. Approximately 90% of eligible U.S. employees participate in our 401(k) plan, and 90% of eligible employees participated in the most recent offering period of our employee stock purchase plan.</w:t>
      </w:r>
    </w:p>
    <w:p>
      <w:pPr>
        <w:spacing w:after="0" w:line="19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average tenure of our employees is approximately 8.1 years and approximately 33% of our employees have been employed by us for more than 10 years. We believe our compensation and benefits packages, combined with our culture that promotes teamwork, innovation and hands-on experience from the first day of employment, contribute to low employee turnover and an above-average tenure. We monitor employee turnover rates by region and our company as a whole. Our worldwide voluntary employee turnover rate in fiscal year 2025 was approximately 3.3%.</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Ambarella was founded and incorporated in the Cayman Islands in January 2004. Our registered address is PO Box 309GT, Ugland House, South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Church Street, George Town, Grand Cayman, Cayman Islands. The address of our U.S. operating subsidiary is Ambarella Corporation, 3101 Jay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Santa Clara, California. The Securities and Exchange Commission, or SEC, maintains a website at </w:t>
      </w:r>
      <w:r>
        <w:rPr>
          <w:rFonts w:ascii="Times New Roman" w:cs="Times New Roman" w:eastAsia="Times New Roman" w:hAnsi="Times New Roman"/>
          <w:sz w:val="18"/>
          <w:szCs w:val="18"/>
          <w:color w:val="0000FF"/>
        </w:rPr>
        <w:t>www.sec.gov</w:t>
      </w:r>
      <w:r>
        <w:rPr>
          <w:rFonts w:ascii="Times New Roman" w:cs="Times New Roman" w:eastAsia="Times New Roman" w:hAnsi="Times New Roman"/>
          <w:sz w:val="18"/>
          <w:szCs w:val="18"/>
          <w:color w:val="auto"/>
        </w:rPr>
        <w:t xml:space="preserve"> that contains reports, proxy,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statements, and other information regarding registrants that file electronically. You may also obtain copies of our Forms 10-K, 10-Q, 8-K,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filings with the SEC, and all amendments to these filings, free of charge, by visiting the Investor Relations page on our website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http://investor.ambarella.com</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as soon as reasonably practicable following our filing of any of these reports with the SEC. Information on our website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incorporated into this Annual Report on Form 10-K or our other securities filings and is not a part of such filings.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4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54" w:lineRule="exact"/>
        <w:rPr>
          <w:sz w:val="20"/>
          <w:szCs w:val="20"/>
          <w:color w:val="auto"/>
        </w:rPr>
      </w:pPr>
    </w:p>
    <w:p>
      <w:pPr>
        <w:ind w:left="1020" w:right="6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penetrate new markets, including the automotive original equipment manufacturer (OEM) and advanced driver assistance systems (ADAS) market, our revenue and financial condition could be harmed.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global supply chain challenges could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adversely impact our gross margins and lead to reduced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inventory warehouse is located in Hong Kong and may be affected by political, social and economic conditions in Hong Kong.</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are subject to market risks, any of which could harm our business, revenue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18" w:name="page19"/>
    <w:bookmarkEnd w:id="18"/>
    <w:p>
      <w:pPr>
        <w:ind w:left="503" w:right="40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competition to increase in the future, which could have an adverse effect on our revenue and market share.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may have a material adverse effect on our business.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which could harm our business.</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semiconductor solutions in our target markets have typically decreased over time and will likely do so in the future, which could harm our revenue and gross margins.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any future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w:t>
      </w:r>
    </w:p>
    <w:p>
      <w:pPr>
        <w:spacing w:after="0" w:line="117" w:lineRule="exact"/>
        <w:rPr>
          <w:rFonts w:ascii="Times New Roman" w:cs="Times New Roman" w:eastAsia="Times New Roman" w:hAnsi="Times New Roman"/>
          <w:sz w:val="18"/>
          <w:szCs w:val="18"/>
          <w:color w:val="auto"/>
        </w:rPr>
      </w:pPr>
    </w:p>
    <w:p>
      <w:pPr>
        <w:ind w:left="503" w:right="36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transitioning to new wafer fabrication process technologies or achieving higher levels of design integration, which may result in reduced manufacturing yields, delays in product deliveries and increased costs.</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industry standards could make our video and image processing solutions obsolete, which would cause our operating results to suffer.</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climate change-related policies and regulations may have a long-term impact on our business.</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tax risks, including relating to the complexity of calculating our tax provision, changes in effective tax rates, or unfavorable tax law changes.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jc w:val="both"/>
        <w:ind w:left="503" w:right="500" w:hanging="503"/>
        <w:spacing w:after="0" w:line="266"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67"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incorporate components supplied by multiple third parties, and a supply shortage or delay in delivery of these components could delay orders for our solutions by our customers.</w:t>
      </w:r>
    </w:p>
    <w:p>
      <w:pPr>
        <w:spacing w:after="0" w:line="53"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may cause disruptions in our shipments, which may adversely affect our operations and financial condition.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various third-party vendors, service providers and contractors in the operation of our business.</w:t>
      </w:r>
    </w:p>
    <w:p>
      <w:pPr>
        <w:spacing w:after="0" w:line="117"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high inflation, recessionary concerns and trade restrictions, may impact our business and financial condition in ways that we currently cannot predict.</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9" w:name="page20"/>
    <w:bookmarkEnd w:id="19"/>
    <w:p>
      <w:pPr>
        <w:ind w:left="1020" w:right="1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 including China. In addition, our ability to sell certain products to certain China customers has been restricted.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laws and regulatory compliance requirements, which are costly to comply with, and our failure to comply with these requirements could harm our business and operating results.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intellectual property could affect our customers, which could trigger our indemnification obligations to them and result in substantial expense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 In addition, trade tensions and tariffs between the United States and China as well as potential new export restrictions may make it more difficult to secure future design wins with China customers.</w:t>
      </w:r>
    </w:p>
    <w:p>
      <w:pPr>
        <w:spacing w:after="0" w:line="19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including the automotive OEM and ADAS market, our revenue and financial condition could be harmed.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0" w:name="page21"/>
    <w:bookmarkEnd w:id="20"/>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believe that our future revenue growth, if any, significantly depends on our ability to expand within the Internet of Things, or IoT, camera markets with our new artificial intelligence, or AI, computer vision SoC solutions, and penetrate, or further penetrate, the OEM automotive, robotics and industrial markets. Our AI computer vision SoC solutions have functionality that may also be applicable to other developing markets, such as processing of large language models (LLMs).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requires a substantial investment of our time and resources and we cannot assure you that we will secure design wins from these or other companies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 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spacing w:after="0" w:line="193"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that meet market requirements on a timely basis, our ability to attract and retain customers could be impaired and our competitive position could be harmed.</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w:t>
      </w:r>
    </w:p>
    <w:p>
      <w:pPr>
        <w:spacing w:after="0" w:line="19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we develop and introduce new solutions, we also face the risk that customers may not value or be willing to bear the cost of incorporating these newer solutions into their products, particularly if they believe their customers are satisfied with current solutions. In addition, delays in product development could impair our relationships with our customers and negatively impact sales of our solutions under development.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Impacts of the global supply chain challenges could adversely affect our business, financial condition, and results of operations.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COVID-19 global pandemic,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resulted in a lengthening of the manufacturing lead time for our products and impacting the normal forecasting and ordering patterns of our customers. To the extent customers faced supply chain issues with respect to other components needed to pair with our products in order to produce their end products, such customers delayed orders of our products or held inventory of our products for longer periods of time, resulting in a decline in our revenue. Customers may experience or cause similar delays in the future. With respect to our suppliers, we experienced supply constraints for certain chips from Samsung and we may experience similar issues in the future. While these supply chain challenges have largely subsided, we remain dependent on a global supply chain that can be affected by many factors, including macroeconomic conditions and geopolitical factors such as trade wars and tariffs, and we may face similar issues in the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1" w:name="page22"/>
    <w:bookmarkEnd w:id="21"/>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13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Many of our products support AI functionality implemented in our customers’ products, such as object detection, classification and tracking, image processing, and terrain mapping. Our latest generation of products also enable us to address computationally intense AI applications for deep fusion, deep planning, multi-modal vision-language models (VLMs), and large language models (LLMs) in edge devices. The adoption of AI solutions may not develop in the manner or in the time periods we anticipate and, as the markets for AI solutions are still developing, demand for these products may be unpredictable and vary significantly from one period to another. These factors may adversely impact demand for our AI related products. In addition, compliance with evolving government regulations worldwide related to AI may increase the costs related to the development of AI products and solutions and limit global adoption, which may also adversely impact demand for our AI related products.</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Concerns relating to the responsible use of AI in our and our customers’ products may result in reputational and financial harm and liability. AI poses emerging ethical issues and presents risks and challenges that could affect its adoption, and therefore our business. If we or our customers enable or offer solutions that draw controversy due to their perceived or actual impact on society, such as AI solutions that have unintended consequences or are controversial, we may experience reputational harm, competitive harm, financial harm or legal liability.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229"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The semiconductor industry recently experienced significant shortages of manufacturing capacity, which resulted in a lengthening of the manufacturing lead time for our products and which has at times harmed our revenue. While this capacity shortage has improved, we may experience capacity restraints again in the future.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us and our customers having excess inventory.</w:t>
      </w:r>
    </w:p>
    <w:p>
      <w:pPr>
        <w:spacing w:after="0" w:line="188"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health and economic conditions in Hong Kong.</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our logistic partners. Hong Kong has experienced, and continues to experience, political unrest and social strife. The Bureau of Industry and Security, or BIS, of the U.S. Department of Commerce, or Commerce, imposes on Hong Kong the same stringent export and reexport controls applicable to China, including licensing requirements such as those applicable to SoCs and semiconductor end-uses.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88"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automotive and IoT markets. The application of computer vision functionality in these markets is relatively new, and we may be unable to predict the timing or development of these markets with accuracy. For example, a slower than expected adoption rate for AI technology in automotive or IP security camera applications could slow the demand for our new solutions. Similarly, changes in the projected growth rate for ADAS or autonomous driving technology in the automotive market due to government regulations or changes in consumer preferences could negatively impact demand for our solutions. If our key target markets do not grow, grow slower, or do not develop in ways that we currently expect, demand for our SoCs may not materialize as expected, and our business and operating results could suffer.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2" w:name="page23"/>
    <w:bookmarkEnd w:id="22"/>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customers may seek to cancel, change or delay their product purchase commitments with little or no notice to us.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during fiscal year 2023, we increased our inventory levels. While these factors have subsided and our inventory conditions have generally returned to normal level, we may experience similar inventory level fluctuations in the future.</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pandemics, adverse changes in our product order mix and fluctuating demand for our customers’ products. Even after an order is received, our customers may seek to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8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79"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2025, the customer representing 10% or more of our revenue was WT Microelectronics Co., Ltd., or WT, which serves as our non-exclusive sales representative and fulfillment partner in Asia other than Japan, accounted for approximately 63% of total revenue. In addition, we believe that revenue from our top 10 end customers, either directly or through a distributor or an ODM, accounted for approximately 59% of our total revenue in fiscal year 2025. We believe that our operating results in the near term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86"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3" w:name="page24"/>
    <w:bookmarkEnd w:id="23"/>
    <w:p>
      <w:pPr>
        <w:ind w:firstLine="509"/>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nine to 12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33333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4" w:name="page25"/>
    <w:bookmarkEnd w:id="24"/>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confidential information and that of our customers, suppliers and employees. Accidental or willful security breaches or incidents or other unauthorized access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Our efforts to eliminate or alleviate cyber or other security problems, bugs, viruses, ransomware and other malicious software programs and security vulnerabilities could impose significant costs, may not be successful, and could result in interruptions and delays that may impede critical functions.</w:t>
      </w:r>
    </w:p>
    <w:p>
      <w:pPr>
        <w:spacing w:after="0" w:line="18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Security breaches and incidents, computer malware and computer hacking attacks have become more prevalent and sophisticated. These threats are constantly evolving, making it difficult to defend against or implement preventive measures, and we may face difficulties or delays in identifying and otherwise responding to any security breach or incident. Moreover, remote work by our personnel and remote access to our systems increase our cybersecurity risk profile. We expect to incur significant costs in an effort to detect and prevent security breaches and incidents, and any actual or perceived security breach or incident may require us to incur significant costs in notifying relevant persons and entities and may otherwise increase our costs and require us to expend substantial resources. Our policies and security measures cannot guarantee security, and our information technology (IT) infrastructure, including our networks and systems, may be vulnerable to security breaches and incidents, cyber-attacks, or fraud. Third parties have attempted, and will likely continue to attempt, to penetrate and/or infect our network and systems with malicious software and phishing attacks in an effort to gain access to our network and systems. Hackers or others may be able to penetrate our security controls, misappropriate or compromise our confidential information or that of third parties, deploy viruses, worms, ransomware or other malicious code, or cause damage or disruptions to our IT infrastructure. For portions of our IT infrastructure, we rely on offerings provided by third parties. These third-party offerings relate to, among other things, human resources, electronic communication services and some finance functions, and we are dependent on these third parties' security systems. These third parties are subject to similar, and in certain cases greater, security threats than we face. These third parties may also experience breaches, incidents, and attacks compromising or otherwise impacting their offerings, and their offerings may contain security vulnerabilities or malicious code, or otherwise detrimentally impact our systems. Any unauthorized access to, or other security breaches or incidents impacting, the systems of our service providers, or any computer viruses, ransomware or other malicious code in their data or software, could expose us to risks of unauthorized access to our IT infrastructure and loss, misappropriation, unavailability and other unauthorized processing of information. Security breaches and incidents may also result from non-technical means, such as employee or contractor malfeasance or negligence. Any security breach or incident or theft, misuse, loss, unavailability or other unauthorized processing of information, or the perception that any of these matters has occurred, could result in, among other things, damage to our reputation, allegations by our customers that we have not performed our contractual obligations, regulatory investigations and other proceedings, litigation and possible penalties, damages, and other liabilities, any of which could have a material adverse effect on our business, financial condition, our reputation, and our relationships with our customers and partners. We may also encounter or be subject to bugs, errors, or hacking or other events resulting in system interruptions or other disruptions, corruption or loss of data, an inability to accurately process or record transactions, and security or technical reliability issues. All of these could harm our ability to conduct core operating functions and could impact our internal control compliance efforts. Due to conflicts and geopolitical events, we and</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5" w:name="page26"/>
    <w:bookmarkEnd w:id="25"/>
    <w:p>
      <w:pPr>
        <w:ind w:right="240"/>
        <w:spacing w:after="0" w:line="282" w:lineRule="auto"/>
        <w:rPr>
          <w:sz w:val="20"/>
          <w:szCs w:val="20"/>
          <w:color w:val="auto"/>
        </w:rPr>
      </w:pPr>
      <w:r>
        <w:rPr>
          <w:rFonts w:ascii="Times New Roman" w:cs="Times New Roman" w:eastAsia="Times New Roman" w:hAnsi="Times New Roman"/>
          <w:sz w:val="18"/>
          <w:szCs w:val="18"/>
          <w:color w:val="auto"/>
        </w:rPr>
        <w:t>many third parties we work with are vulnerable to a heightened risk of cybersecurity attacks, and other means of causing security breaches and incidents from nation-state and affiliated actors.</w:t>
      </w:r>
    </w:p>
    <w:p>
      <w:pPr>
        <w:spacing w:after="0" w:line="162" w:lineRule="exact"/>
        <w:rPr>
          <w:sz w:val="20"/>
          <w:szCs w:val="20"/>
          <w:color w:val="auto"/>
        </w:rPr>
      </w:pPr>
    </w:p>
    <w:p>
      <w:pPr>
        <w:ind w:right="260" w:firstLine="509"/>
        <w:spacing w:after="0" w:line="289" w:lineRule="auto"/>
        <w:rPr>
          <w:sz w:val="20"/>
          <w:szCs w:val="20"/>
          <w:color w:val="auto"/>
        </w:rPr>
      </w:pPr>
      <w:r>
        <w:rPr>
          <w:rFonts w:ascii="Times New Roman" w:cs="Times New Roman" w:eastAsia="Times New Roman" w:hAnsi="Times New Roman"/>
          <w:sz w:val="17"/>
          <w:szCs w:val="17"/>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54"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$226.1 million, $215.1 million and $204.9 million in fiscal years 2025, 2024 and 2023, respectively. In general, we expect to increase our research and development expenditures in future periods as compared to prior periods as part of our strategy of focusing on the development of innovative computer vision, video and image processing solutions with increased functionality, and as we target key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 In addition, the U.S. government recently introduced regulations that require notification of, or prohibit certain transactions with entities in China or with linkages to China, which could apply to certain intracompany activities between a U.S. based corporation and its China subsidiaries that support research and development activities, which could limit our ability to carry out certain research and development activities in China.</w:t>
      </w:r>
    </w:p>
    <w:p>
      <w:pPr>
        <w:spacing w:after="0" w:line="186"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 which could harm our business.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believe our performance depends in large part on the talents and efforts of our senior management and other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senior executives and employees. Our continued ability to compete effectively, and to grow our business, depends on our ability to attract new employees and to retain and motivate our existing senior executives and employees.</w:t>
      </w:r>
    </w:p>
    <w:p>
      <w:pPr>
        <w:spacing w:after="0" w:line="184"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semiconductor solutions in our target markets have typically decreased over time and will likely do so in the future, which could harm our revenue and gross margins.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AI computer vision-based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We expect that we will have to address pricing pressures again in the future, particularly in markets experiencing consolidation, which could require us to reduce the prices of our SoC solutions and harm our operating results.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business has, at times,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any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22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future revenues and collection of accounts receivable. For the fiscal year ended January 31, 2025, the customer representing 10% or more of revenue was WT, which accounted for approximately 63% of total revenue. As of January 31, 2025, accounts receivable with WT was approximately $12.3 million.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and cash flows would be negatively impacted.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Recent supply chain challenges have subsided, we may face similar supply chain challenges in future periods. Challenges may recur in future periods with changes in the macro-economic environment, including imposition of higher or additional tariffs by the U.S. Government on imports and new or additional restrictions on exports to foreign locations.</w:t>
      </w:r>
    </w:p>
    <w:p>
      <w:pPr>
        <w:spacing w:after="0" w:line="186" w:lineRule="exact"/>
        <w:rPr>
          <w:sz w:val="20"/>
          <w:szCs w:val="20"/>
          <w:color w:val="auto"/>
        </w:rPr>
      </w:pPr>
    </w:p>
    <w:p>
      <w:pPr>
        <w:jc w:val="both"/>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7" w:name="page28"/>
    <w:bookmarkEnd w:id="27"/>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 development costs and product recall, repair or replacement costs. These problems may also result in claims against us by our customers or others.</w:t>
      </w:r>
    </w:p>
    <w:p>
      <w:pPr>
        <w:spacing w:after="0" w:line="15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may face difficulties, delays and increased expense as we transition our products to new processes, such as the 2nm process node,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20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design our solutions to conform to video compression standards, including MPEG-2, H.264 Advanced Video Coding (AVC) and H.265 High Efficiency Video Coding (HEVC), set by industry standards setting bodies such as ITU-T Video Coding Experts Group and the ISO/IEC Moving Picture Experts Group. In addition, new or revised industry standards relating to AI technologies may impose additional requirements. Generally, our solutions comprise only a part of a camera device. All components of these devices must uniformly comply with industry standards in order to operate efficiently together.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w:t>
      </w:r>
    </w:p>
    <w:p>
      <w:pPr>
        <w:spacing w:after="0" w:line="184"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9"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 from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conflicts in Ukraine and the Middle East;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and/or additional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28" w:name="page29"/>
    <w:bookmarkEnd w:id="28"/>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future pandemics or disease outbreaks, supply chain disruptions and semiconductor capacity shortages, including the buildup of inventory by customers in response to such shortages, and continued high inflation. In future periods, our forecasted or actual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9" w:name="page30"/>
    <w:bookmarkEnd w:id="29"/>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socioeconomic and political conditions in the countries where we operate or where our products are sold or used, including recent macroeconomic volatility, pandemics or widespread public health problems, U.S.-China relations and the conditions in Hong Kong; and</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profitability and cash flows, or incur losses.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our existing IoT camera markets, such as the existing professional and home security and monitoring camera markets, and successfully penetrate new markets, such as the OEM automotive, robotics and industrial markets, with our new AI computer vision-based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85"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and we anticipate that this will continue. Sales to customers in Asia accounted for approximately 85%, 79% and 79% of our total revenue in fiscal years 2025, 2024 and 2023, respectively.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0" w:name="page31"/>
    <w:bookmarkEnd w:id="30"/>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or otherwise become illiquid, which could materially and adversely affect our financial results.</w:t>
      </w:r>
    </w:p>
    <w:p>
      <w:pPr>
        <w:spacing w:after="0" w:line="15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As of January 31, 2025, we had approximately $105.6 million invested in marketable debt securities. The debt security investments primarily consisted of commercial paper,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pandemics or widespread public health problems, the Eurozone crisis, the U.S. debt ceiling crisis, and imposition of tariffs, which affected various sectors of the financial markets and led to global credit and liquidity issues. We regularly maintain cash balances that are not insured or are in excess of the Federal Deposit Insurance Corporation’s (FDIC)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9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1" w:name="page32"/>
    <w:bookmarkEnd w:id="31"/>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We have experienced and may again experience in the future supply constraints at our primary foundry and assembly vendors resulting from industry wide supply chain challenges.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We do not seek to maintain sufficient inventory to address a lengthy transition period because we believe it is uneconomical. As a result, we may not be able to meet customer needs during such a transition, which could result in a decline in our sales, negatively impact our financial results and damage our customer relationships.</w:t>
      </w:r>
    </w:p>
    <w:p>
      <w:pPr>
        <w:spacing w:after="0" w:line="179"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15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WT, which serves as our non-exclusive sales representative and fulfillment partner in Asia other than Japan. Approximately 63%, 53% and 57% of our revenue was derived from sales through WT for the fiscal years ended January 31, 2025, 2024 and 2023, respectively. We anticipate that a significant portion of our revenue will continue to be derived from sales through WT in the foreseeable future. Our current agreement with WT is effective until January 2026,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22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w:t>
      </w:r>
    </w:p>
    <w:p>
      <w:pPr>
        <w:spacing w:after="0" w:line="183"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3" w:name="page34"/>
    <w:bookmarkEnd w:id="33"/>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84"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We have had disruptions in the past due to natural disasters disrupting the operations of our suppliers and this could happen again.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high inflation, recessionary concerns and trade restrictions, may have an impact on our business and financial condition in ways that we currently cannot predict.</w:t>
      </w:r>
    </w:p>
    <w:p>
      <w:pPr>
        <w:spacing w:after="0" w:line="15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have been escalating, which has, in our view, created and will perpetuate an uncertain business environment. Tariffs on Chinese-origin products have continued to increase and may do so further. Additionally, in 2022, the U.S. government announced new controls restricting the ability to send certain products and technology related to semiconductors, semiconductor manufacturing, advanced computing, supercomputing, and artificial intelligence to China, including Hong Kong, without an export license. In many cases, these licenses are subject to a policy of denial and will not be issued. These controls have continued to expand. While our current products are not restricted by these controls, such controls could impact our ability to export products to China in the future. It also is possible that the Chinese government will retaliate in ways that could impact our business. End-user and end-use restrictions continue to evolve and may change what we can provide to certain entities both in China and other countries.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4" w:name="page35"/>
    <w:bookmarkEnd w:id="34"/>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to negative impacts from existing tariffs and trade restrictions,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U.S. government recently introduced regulations that require notification of or prohibit certain transactions by the Company with entities in China or with linkages to China. These regulations could apply to certain intracompany activities with our China subsidiary or other activities with entities in China or with linkages to China. These regulations could also limit the ability of others to transact certain business with the Company if those transactions involve or benefit, directly or indirectly our operations in China.</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Changes in U.S. trade policy could trigger retaliatory actions by Russia, its allies and other affected countries, including China, resulting in a trade war.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or if other countries, including the U.S., become further involved in the conflict, we could face significant adverse effects to our business and financial condition.</w:t>
      </w:r>
    </w:p>
    <w:p>
      <w:pPr>
        <w:spacing w:after="0" w:line="183"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have significant business operations in Taiwan, including 352 employees as of January 31, 2025,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Several of our customers, including Hangzhou Hikvision Digital Technology Co., Ltd, or Hikvision, Zhejiang Dahua Technology Co., Ltd., or Dahua, and affiliates of Shenzhen Dajiang Baiwang Technology Co., Ltd., have been added to the BIS Entity List, which imposes limitations on the supply of U.S. controlled items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90"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5" w:name="page36"/>
    <w:bookmarkEnd w:id="35"/>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data protection and cybersecurity.</w:t>
      </w:r>
    </w:p>
    <w:p>
      <w:pPr>
        <w:spacing w:after="0" w:line="229" w:lineRule="exact"/>
        <w:rPr>
          <w:sz w:val="20"/>
          <w:szCs w:val="20"/>
          <w:color w:val="auto"/>
        </w:rPr>
      </w:pPr>
    </w:p>
    <w:p>
      <w:pPr>
        <w:jc w:val="both"/>
        <w:ind w:right="80" w:firstLine="509"/>
        <w:spacing w:after="0" w:line="272" w:lineRule="auto"/>
        <w:rPr>
          <w:sz w:val="20"/>
          <w:szCs w:val="20"/>
          <w:color w:val="auto"/>
        </w:rPr>
      </w:pPr>
      <w:r>
        <w:rPr>
          <w:rFonts w:ascii="Times New Roman" w:cs="Times New Roman" w:eastAsia="Times New Roman" w:hAnsi="Times New Roman"/>
          <w:sz w:val="17"/>
          <w:szCs w:val="17"/>
          <w:color w:val="auto"/>
        </w:rPr>
        <w:t>The legislative and regulatory framework for privacy, data protection and cybersecurity issues worldwide is rapidly evolving and is likely to remain uncertain for the foreseeable future. We collect and otherwise process personal information and other data as part of our business processes and activities. These actions are subject to a variety of U.S. and international laws and regulations, and oversight by various regulatory or other governmental bodies.</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Many foreign countries and governmental bodies, including China, the European Union and other relevant jurisdictions where we conduct business, have laws and regulations concerning these matters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The CCPA was modified by the California Privacy Rights Act of 2020, which became effective on January 1, 2023. Numerous other U.S. states have proposed, and in certain cases enacted privacy laws, many of which are similar to the CCPA.</w:t>
      </w:r>
    </w:p>
    <w:p>
      <w:pPr>
        <w:spacing w:after="0" w:line="1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and provides for substantial fines and other remedies. The Data Security Law contains provisions that allow substantial government oversight and includes fines for failure to obtain required approval from China’s cyber and data protection regulators for cross-border personal information-related data transfers.</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Aspects of laws and regulations relating to privacy, data protection and cybersecurity, and their interpretation and enforcement, remain unclear, and these laws and regulations, as well as relevant industry standards or other actual or asserted obligations, may be interpreted or applied in a manner that is inconsistent with our practices or the features of our products or solutions. We may find it necessary to modify our products, solutions or practices and to incur substantial costs and expenses in an effort to comply. Further, in the event of any actual or alleged failure to comply with such laws, regulations, industry standards or other actual or asserted obligations,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privacy, data protection or cybersecurity concerns, or to comply with applicable laws, regulations, industry standards, or other actual or asserted obligations relating to these matters, even if unfounded, could result in additional cost and liability to us, inhibit sales, damage our reputation and adversely affect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6" w:name="page37"/>
    <w:bookmarkEnd w:id="36"/>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Anti-corruption and anti-bribery laws have been enforced aggressively in recent years and are interpreted broadly to generally prohibit companies, their employees, agents, representatives, distributors, business partners, and third-party intermediaries from authorizing, offering, or providing, directly or indirectly, improper payments or benefits to recipients in the public or private sector. In many foreign countries, particularly in countries with developing economies, it may be a local custom that businesses operating in such countries engage in business practices that are prohibited by the FCPA or other applicable laws and regulations.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we implemented an anti-corruption compliance program, we cannot assure you that none of our employees, agents, representatives, distributors, business partners or third-party intermediaries will take actions in violation of our policies and applicable law, for which we may be ultimately held responsible. Any allegations or violation of the FCPA or other applicable anti-corruption laws could result in whistleblower complaints, investigations, enforcement actions, severe criminal or civil sanctions, fines, adverse media coverage, and suspension or debarment from U.S. government contracting, all of which could have an adverse effect on our reputation, business, financial condition, operating results and cash flows. Responding to any investigation or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Failure to comply with these and similar laws and regulations could subject us to fines, penalties, civil or criminal sanctions, contract damage claims, and take-back of non-compliant products, which could harm our business, reputation and operating results. Similarly,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76"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Global Select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effective applicable tax laws, tax rates or adverse outcomes resulting from examination of our tax returns could adversely affect our results.</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37" w:name="page38"/>
    <w:bookmarkEnd w:id="37"/>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Changes in applicable laws could cause us to experience fluctuations in our tax obligations and effective tax rates and otherwise adversely affect our tax positions and/or our tax liabilities. For example, in August 2022, the U.S. enacted the Inflation Reduction Act of 2022, or IRA, which includes a new 15% corporate minimum tax as well as a 1% excise tax on the fair value of corporate stock repurchases made by U.S. corporations and certain foreign corporations after December 31, 2022. We do not expect the IRA to have a material impact on our financial statements.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December 2018, the Cayman Islands passed the International Tax Co-Operation (Economic Substance) Law, 2018, which requires Cayman Islands companies carrying on one or more relevant activities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One proposal, which has been enacted or is being considered by many jurisdictions, is a framework that ensures an effective global minimum tax rate of 15% on certain multinationals that meet a consolidated revenues above EUR 750 million or equivalent annually. The Company believes that its consolidated revenues have not exceeded the relevant annual threshold. Additional changes to global tax laws are likely to occur, and such changes may adversely affect our effective tax rate, operating results, and cash flow.</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For example, our income tax returns are subject to continuous examination by the Internal Revenue Service and other tax authorities. Any such audit, examination or review requires management’s time, diverts internal resources and, in the event of an unfavorable outcome, may result in additional tax liabilities or other adjustments to our historical results.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for any taxable year, either (a) at least 75% of our gross income is passive income or (b) at least 50% of the value of our assets (based on an average of the quarterly values of those assets during the taxable year) is attributable to assets that produce or are held for the production of passive income, in each case including a pro rata portion of the income and assets of each subsidiary in which we own, directly or indirectly, at least 25% by value of such subsidiary’s equity interests, we may be characterized as a passive foreign investment company, or PFIC, for U.S. federal income tax purposes. If we are treated as a PFIC for any taxable year during which a U.S. holder holds ordinary shares, certain adverse U.S. federal income tax consequences could apply for such U.S. holder.</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PFIC for our 2025 fiscal year. However, a separate determination must be made at the close of each taxable year as to whether we are a PFIC for that taxable year, and we cannot assure you that we will not be a PFIC for our 2026 fiscal year or any future taxable year. Because we currently hold, and expect to continue to hold, a substantial amount of cash or cash equivalents, and because the calculation of the value of our assets may be based in part on the value of our ordinary shares, which may fluctuate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may fluctuate considerably given that market prices of technology companies historically often have been volatile, we may be a PFIC for any taxable year.</w:t>
      </w:r>
    </w:p>
    <w:p>
      <w:pPr>
        <w:spacing w:after="0" w:line="221"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U.S. federal income tax classification, or that of our subsidiaries, could result in adverse tax consequences to our 10% or greater U.S. shareholders.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for U.S. federal income tax purposes, a United States person owns, or is considered to own as a result of certain attribution rules, 10% or more of the voting power or value of the stock of a non-U.S. corporation, such person is “United States shareholder” of such corporation, and may be treated as a “United States shareholder” with respect to each non-U.S. corporation in our group that is a subsidiary of that corporation. A non-U.S. corporation is a controlled foreign corporation, or CFC, for U.S. federal income tax purposes if United States shareholders, as defined in the immediately preceding sentence, own directly, indirectly or constructively (through attribution), more than 50% of either the total combined voting power or total value of the stock of such corporation. Because our group includes one or more U.S. subsidiaries, certain of our non-U.S. subsidiaries will generally be treated as CFCs under certain “downward attribution” rules, even if we are not a CFC. Any United States shareholder (as defined above) should consult their individual tax advisor regarding the potential application of these rules to their ownership interest</w:t>
      </w:r>
      <w:r>
        <w:rPr>
          <w:rFonts w:ascii="Times New Roman" w:cs="Times New Roman" w:eastAsia="Times New Roman" w:hAnsi="Times New Roman"/>
          <w:sz w:val="18"/>
          <w:szCs w:val="18"/>
          <w:b w:val="1"/>
          <w:bCs w:val="1"/>
          <w:i w:val="1"/>
          <w:iCs w:val="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9" w:name="page40"/>
    <w:bookmarkEnd w:id="39"/>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1"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market price of our ordinary shares has historically been highly volatile, and has been particularly volatile in recent years. For example, since February 1, 2020, the trading price of our common stock ranged from a low of $36.02 to a high of $227.59. The trading price of our ordinary shares is likely to remain volatile and could be subject to wide fluctuations in price in response to various factors, some of which are beyond our control. These factors include:</w:t>
      </w:r>
    </w:p>
    <w:p>
      <w:pPr>
        <w:spacing w:after="0" w:line="72" w:lineRule="exact"/>
        <w:rPr>
          <w:sz w:val="20"/>
          <w:szCs w:val="20"/>
          <w:color w:val="auto"/>
        </w:rPr>
      </w:pPr>
    </w:p>
    <w:p>
      <w:pPr>
        <w:ind w:left="5540" w:right="1640" w:hanging="5023"/>
        <w:spacing w:after="0" w:line="532" w:lineRule="auto"/>
        <w:tabs>
          <w:tab w:leader="none" w:pos="10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0" w:name="page41"/>
    <w:bookmarkEnd w:id="40"/>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failing to meet or exceed our guidance or investor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related to the banking industry or caused by pandemics and high inflation, and slow or negative market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a substantial number of our ordinary shares by us, our officers, or our significant stockholders as well as the perception that such sales or purchases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ordinary shares, short seller reports, and related media coverage;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or repurchase of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or failure of securities analysts to maintain coverage of us.</w:t>
      </w:r>
    </w:p>
    <w:p>
      <w:pPr>
        <w:spacing w:after="0" w:line="22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15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41" w:name="page42"/>
    <w:bookmarkEnd w:id="41"/>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21"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340" w:firstLine="509"/>
        <w:spacing w:after="0" w:line="256"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pandemics, and regional health issues, earthquakes, natural disasters,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2" w:name="page43"/>
    <w:bookmarkEnd w:id="42"/>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climate change-related policies and regulations may have a long-term impact on our business.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Global climate change is causing, and is projected to continue to cause, an increase in the frequency and intensity of certain natural disasters. Additionally, adverse weather, such as drought, wildfires, severe storms, sea-level rise, flooding, heat waves and cold waves, may occur more frequently and/or with greater intensity. Such extreme events are driving changes in market dynamics, and local, national and international policies and regulations, which could result in disruptions to us, our suppliers, customers, and employees. These disruptions could make it more difficult and costly for us to deliver our products, obtain components or other supplies through our supply chain, maintain, or resume operations or perform other critical corporate functions, and could reduce customer demand for our products, which would harm our business.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4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risks from cybersecurity threats. We have designed and implemented an Incident Response Plan for cybersecurity and related processes that are overseen by our IT and management team. Our information security management system is ISO 27001 certified. In addition, our cybersecurity program leverages industry frameworks, including certain of those established by the National Institute of Standards and Technology (NIST).</w:t>
      </w:r>
    </w:p>
    <w:p>
      <w:pPr>
        <w:spacing w:after="0" w:line="19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regularly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We conduct periodic risk assessments to identify cybersecurity threats, as well as assessments in the event of a material change in our business practices that may affect our information systems that are vulnerable to such cybersecurity threats. These risk assessments include identification of reasonably foreseeable internal and external risks, the likelihood and potential damage that could result from such risks, and the sufficiency of existing procedures, systems, and safeguards in place to manage such risks. Our cybersecurity risk management program is integrated into our overall risk management scheme by seeking to identify and mitigate those cybersecurity threats that are more likely to lead to a material impact on our business.</w:t>
      </w:r>
    </w:p>
    <w:p>
      <w:pPr>
        <w:spacing w:after="0" w:line="18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program also seeks to manage cybersecurity risks associated with our use of third-party service providers through risk assessments and contractual obligations on such service providers.</w:t>
      </w:r>
    </w:p>
    <w:p>
      <w:pPr>
        <w:spacing w:after="0" w:line="17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IT management team, with oversight from our Board of Directors and Nominating and Corporate Governance Committee as well as members of our management team, including our Chief Operating Officer and General Counsel, are primarily responsible for assessing and managing our material risks from cybersecurity threats.</w:t>
      </w:r>
    </w:p>
    <w:p>
      <w:pPr>
        <w:spacing w:after="0" w:line="1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also engage consultants or other third parties in connection with our risk assessment processes. These service providers assist us in designing and implementing our cybersecurity policies and procedures, as well as in monitoring and testing our safeguards.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overall risk oversight function and has delegated to the Nominating and Corporate Governance Committee oversight of cybersecurity matters and other policies regarding information security risks. The Nominating and Corporate Governance Committee oversees management’s implementation of our cybersecurity risk management program.</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12" w:right="419" w:bottom="1440" w:gutter="0" w:footer="0" w:header="0"/>
        </w:sectPr>
      </w:pPr>
    </w:p>
    <w:bookmarkStart w:id="43" w:name="page44"/>
    <w:bookmarkEnd w:id="43"/>
    <w:p>
      <w:pPr>
        <w:ind w:firstLine="509"/>
        <w:spacing w:after="0" w:line="256" w:lineRule="auto"/>
        <w:rPr>
          <w:sz w:val="20"/>
          <w:szCs w:val="20"/>
          <w:color w:val="auto"/>
        </w:rPr>
      </w:pPr>
      <w:r>
        <w:rPr>
          <w:rFonts w:ascii="Times New Roman" w:cs="Times New Roman" w:eastAsia="Times New Roman" w:hAnsi="Times New Roman"/>
          <w:sz w:val="18"/>
          <w:szCs w:val="18"/>
          <w:color w:val="auto"/>
        </w:rPr>
        <w:t>The Board of Directors and the Nominating and Corporate Governance Committee receive presentations and reports on cybersecurity, which address a range of topics including recent developments, evolving standards, the threat environment, cybersecurity systems testing and vulnerability assessments, and the Company’s practices and policies to manage risks. Management reports to the Nominating and Corporate Governance Committee on cybersecurity matters and materials risks, if any, from cybersecurity threats. Our Nominating and Corporate Governance Committee provides updates to the Board of Directors on such reports. The Nominating and Corporate Governance Committee also receives notice of any significant cybersecurity incidents, as well as ongoing updates regarding any such incident until it has been addressed.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management team, including our IT management team, are responsible for day-to-day implementation, assessment, and management of our cybersecurity risk assessment and management processes. The IT management team has primary responsibility for our overall cybersecurity risk management program, including monitoring the prevention, detection, mitigation, and remediation of cybersecurity incidents, and works in partnership with our other business leaders, including our Chief Operating Officer, Chief Financial Officer and General Counsel. Our IT management team supervises both our internal cybersecurity personnel and any retained external cybersecurity consultants. Our Senior Director of IT has served in various roles in information technology and information security for over 25 years.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plan is designed to escalate certain cybersecurity incidents to a team of business leaders, including, but not limited to, our Chief Operating Officer, Chief Financial Officer and General Counsel. This team of business leaders works with our incident response team to help determine the severity of the impact of a cybersecurity incident, as well as to help mitigate and remediate cybersecurity incidents of which they are notified.</w:t>
      </w:r>
    </w:p>
    <w:p>
      <w:pPr>
        <w:spacing w:after="0" w:line="19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As part of our overall risk management system, we provide periodic mandatory training for personnel regarding cybersecurity threats as means to equip our employees with information and tools to address cybersecurity threats, and to communicate our information security policies, processes and practices. We also perform periodic email phishing tests to evaluate and maintain cybersecurity awareness among our employees.</w:t>
      </w:r>
    </w:p>
    <w:p>
      <w:pPr>
        <w:spacing w:after="0" w:line="18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on Form 10-K, we are not aware of any risks from cybersecurity threats, including as a result of any previous cybersecurity incidents, that have materially affected the Company, its business strategy, results of operations or financial condition. As cybersecurity threats become more sophisticated, it is reasonably likely that we will be required to expend greater resources to continue to modify and enhance our protective measures. For additional information concerning risks related to cybersecurity, see Item 1A of this report, “</w:t>
      </w:r>
      <w:r>
        <w:rPr>
          <w:rFonts w:ascii="Times New Roman" w:cs="Times New Roman" w:eastAsia="Times New Roman" w:hAnsi="Times New Roman"/>
          <w:sz w:val="18"/>
          <w:szCs w:val="18"/>
          <w:i w:val="1"/>
          <w:iCs w:val="1"/>
          <w:color w:val="auto"/>
        </w:rPr>
        <w:t>Risk Factors – 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Our Industry – A breach of our security systems may have a material adverse effect on our business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Santa Clara, California. These facilities accommodate our sales, marketing, research and development, finance, and administrative activities. Outside of Santa Clara, California, we lease some facilities in other U.S. locations that are used for research and development and marketing activities. Outside of the United States, we also lease facilities in various international locations that are used for research and development, sales, business development, operations and administrative support. Our lease obligations primarily consist of operating leases with lease periods expiring between fiscal years 2026 to 2031.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4" w:name="page45"/>
    <w:bookmarkEnd w:id="44"/>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well maintained and in good operating condition, and are sufficient for our needs for the foreseeable future. The following table lists our major locations and primary usage as of January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26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Major Locations</w:t>
            </w: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Square</w:t>
            </w:r>
          </w:p>
        </w:tc>
        <w:tc>
          <w:tcPr>
            <w:tcW w:w="260" w:type="dxa"/>
            <w:vAlign w:val="bottom"/>
          </w:tcPr>
          <w:p>
            <w:pPr>
              <w:spacing w:after="0"/>
              <w:rPr>
                <w:sz w:val="12"/>
                <w:szCs w:val="12"/>
                <w:color w:val="auto"/>
              </w:rPr>
            </w:pPr>
          </w:p>
        </w:tc>
        <w:tc>
          <w:tcPr>
            <w:tcW w:w="7040" w:type="dxa"/>
            <w:vAlign w:val="bottom"/>
            <w:vMerge w:val="restart"/>
          </w:tcPr>
          <w:p>
            <w:pPr>
              <w:ind w:left="3340"/>
              <w:spacing w:after="0"/>
              <w:rPr>
                <w:sz w:val="20"/>
                <w:szCs w:val="20"/>
                <w:color w:val="auto"/>
              </w:rPr>
            </w:pPr>
            <w:r>
              <w:rPr>
                <w:rFonts w:ascii="Times New Roman" w:cs="Times New Roman" w:eastAsia="Times New Roman" w:hAnsi="Times New Roman"/>
                <w:sz w:val="14"/>
                <w:szCs w:val="14"/>
                <w:b w:val="1"/>
                <w:bCs w:val="1"/>
                <w:color w:val="auto"/>
              </w:rPr>
              <w:t>Usage</w:t>
            </w:r>
          </w:p>
        </w:tc>
        <w:tc>
          <w:tcPr>
            <w:tcW w:w="0" w:type="dxa"/>
            <w:vAlign w:val="bottom"/>
          </w:tcPr>
          <w:p>
            <w:pPr>
              <w:spacing w:after="0"/>
              <w:rPr>
                <w:sz w:val="1"/>
                <w:szCs w:val="1"/>
                <w:color w:val="auto"/>
              </w:rPr>
            </w:pPr>
          </w:p>
        </w:tc>
      </w:tr>
      <w:tr>
        <w:trPr>
          <w:trHeight w:val="173"/>
        </w:trPr>
        <w:tc>
          <w:tcPr>
            <w:tcW w:w="2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260" w:type="dxa"/>
            <w:vAlign w:val="bottom"/>
          </w:tcPr>
          <w:p>
            <w:pPr>
              <w:spacing w:after="0"/>
              <w:rPr>
                <w:sz w:val="15"/>
                <w:szCs w:val="15"/>
                <w:color w:val="auto"/>
              </w:rPr>
            </w:pPr>
          </w:p>
        </w:tc>
        <w:tc>
          <w:tcPr>
            <w:tcW w:w="7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Santa Clara, California</w:t>
            </w:r>
          </w:p>
        </w:tc>
        <w:tc>
          <w:tcPr>
            <w:tcW w:w="15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61,700</w:t>
            </w:r>
          </w:p>
        </w:tc>
        <w:tc>
          <w:tcPr>
            <w:tcW w:w="260" w:type="dxa"/>
            <w:vAlign w:val="bottom"/>
          </w:tcPr>
          <w:p>
            <w:pPr>
              <w:spacing w:after="0"/>
              <w:rPr>
                <w:sz w:val="17"/>
                <w:szCs w:val="17"/>
                <w:color w:val="auto"/>
              </w:rPr>
            </w:pPr>
          </w:p>
        </w:tc>
        <w:tc>
          <w:tcPr>
            <w:tcW w:w="7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Corporate Headquarters; Sales; Marketing; Research and Development; Finance;</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Administration</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Wixom, Michigan</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60" w:type="dxa"/>
            <w:vAlign w:val="bottom"/>
            <w:shd w:val="clear" w:color="auto" w:fill="CFF0FC"/>
          </w:tcPr>
          <w:p>
            <w:pPr>
              <w:spacing w:after="0"/>
              <w:rPr>
                <w:sz w:val="18"/>
                <w:szCs w:val="18"/>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Beavercreek, Ohio</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Hsinchu, Taiwan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86,700</w:t>
            </w:r>
          </w:p>
        </w:tc>
        <w:tc>
          <w:tcPr>
            <w:tcW w:w="2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Business Development; Operations; Administration</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Shanghai, China</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260" w:type="dxa"/>
            <w:vAlign w:val="bottom"/>
            <w:shd w:val="clear" w:color="auto" w:fill="CFF0FC"/>
          </w:tcPr>
          <w:p>
            <w:pPr>
              <w:spacing w:after="0"/>
              <w:rPr>
                <w:sz w:val="18"/>
                <w:szCs w:val="18"/>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Business Development</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Shenzhen, China</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2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Business Development</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Kowloon, Hong Kong</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60" w:type="dxa"/>
            <w:vAlign w:val="bottom"/>
            <w:shd w:val="clear" w:color="auto" w:fill="CFF0FC"/>
          </w:tcPr>
          <w:p>
            <w:pPr>
              <w:spacing w:after="0"/>
              <w:rPr>
                <w:sz w:val="18"/>
                <w:szCs w:val="18"/>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Warehousing</w:t>
            </w: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Shin-Yokohama, Japan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SeongNam, South Korea</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shd w:val="clear" w:color="auto" w:fill="CFF0FC"/>
          </w:tcPr>
          <w:p>
            <w:pPr>
              <w:spacing w:after="0"/>
              <w:rPr>
                <w:sz w:val="18"/>
                <w:szCs w:val="18"/>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Parma, Italy</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26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are not engaged in any material legal proceedings at this time. However, from time to time, we may be subject to commercial disputes, employment issues, intellectual property claims and litigation, in the ordinary course of our business. Refer to Note 15, Commitments and Contingencies within Notes to Consolidated Financial Statements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ordinary shares are traded on the Nasdaq Global Select Market under the symbol “AMBA”. On March 20, 2025, there were 26 shareholders of record holding our ordinary shares. We cannot estimate the number of beneficial owners since many brokers and other institutions hold our shares on behalf of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Performance Graph</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to be “soliciting material” or “filed” or incorporated by reference in future filings with the Securities and Exchange Commission, or subject to the liabilities of Section 18 of the Securities Exchange Act of 1934, as amended, or the Exchange Act, except as shall be expressly set forth by specific reference in such filing.</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graph shows a comparison from February 1, 2020 through January 31, 2025 of the cumulative total return for our ordinary shares, the Nasdaq Composite Index and the Philadelphia Semiconductor Index. The comparisons in the graph are historical and are not intended to forecast or be indicative of possible future performance of our ordinary shares.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2905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220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were no shares repurchased in fiscal years 2025, 2024 and 2023. On May 29, 2024, our Board of Directors approved an extension of the existing share repurchase program for an additional twelve months through June 30, 2025. As of January 31, 2025, there was approximately $49.0 million available for repurchases through June 30, 2025.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will be recorded as authorized but unissued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6"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48" w:name="page49"/>
    <w:bookmarkEnd w:id="48"/>
    <w:p>
      <w:pPr>
        <w:ind w:right="1160"/>
        <w:spacing w:after="0" w:line="377"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edge inference AI, and our latest SoCs integrate our state-of-the-art video processor technology together with our deep learning neural network processing technology, which we refer to as CVflow™. The CVflow-architecture supports a variety of AI algorithms, including object detection, classification and tracking, semantic and instance segmentation, image processing, stereo object detection, and terrain mapping. CVflow can process other sensor modalities including lidar and radar, and allows customers to differentiate their products by porting their own, or third-party, neural networks and/or classical AI algorithms to our CVflow-based SoCs. Our latest third generation CVflow technology enables us to address incremental and computationally intense AI applications for deep fusion, deep planning, vision-language models (VLMs) and large language models (LLMs), as well as efficiently process transformer AI networks.</w:t>
      </w:r>
    </w:p>
    <w:p>
      <w:pPr>
        <w:spacing w:after="0" w:line="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SoC designs fully integrate AI functionality, high-definition, or HD, video processing, image processing, audio processing, and system functions onto a single chip, delivering exceptional video and image quality at high compression rates, differentiated functionality and low power consumption. These AI-based technologies are allowing us to address a broader range of markets and applications requiring AI video features, including IP security cameras, a variety of automotive cameras, consumer cameras, and industrial and robotic applications. We anticipate that our AI technology will also enable us to capture more content per electronic system and increase our average selling price.</w:t>
      </w:r>
    </w:p>
    <w:p>
      <w:pPr>
        <w:spacing w:after="0" w:line="75" w:lineRule="exact"/>
        <w:rPr>
          <w:sz w:val="20"/>
          <w:szCs w:val="20"/>
          <w:color w:val="auto"/>
        </w:rPr>
      </w:pPr>
    </w:p>
    <w:p>
      <w:pPr>
        <w:ind w:right="120" w:firstLine="554"/>
        <w:spacing w:after="0" w:line="255" w:lineRule="auto"/>
        <w:rPr>
          <w:sz w:val="20"/>
          <w:szCs w:val="20"/>
          <w:color w:val="auto"/>
        </w:rPr>
      </w:pPr>
      <w:r>
        <w:rPr>
          <w:rFonts w:ascii="Times New Roman" w:cs="Times New Roman" w:eastAsia="Times New Roman" w:hAnsi="Times New Roman"/>
          <w:sz w:val="18"/>
          <w:szCs w:val="18"/>
          <w:color w:val="auto"/>
        </w:rPr>
        <w:t>Our development efforts are focused on SoCs that provide human viewing, AI and radar detection functionalities. As a result, we believe that our future revenue growth, if any, will significantly depend upon our ability to expand within camera markets with our AI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capabilities, and as we target new markets.</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12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12 to 24 months. We anticipate that product life cycles will typically be longer than 24 months in the OEM automotive and industrial and robotics markets, as new product introductions occur less frequently in these markets.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9" w:name="page50"/>
    <w:bookmarkEnd w:id="4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2025 Financial Highlights</w:t>
      </w:r>
    </w:p>
    <w:p>
      <w:pPr>
        <w:spacing w:after="0" w:line="121" w:lineRule="exact"/>
        <w:rPr>
          <w:sz w:val="20"/>
          <w:szCs w:val="20"/>
          <w:color w:val="auto"/>
        </w:rPr>
      </w:pPr>
    </w:p>
    <w:p>
      <w:pPr>
        <w:ind w:left="1020" w:right="26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$284.9 million in fiscal year 2025, an increase of 25.8% as compared to fiscal year 2024. The increase in revenue was primarily attributable to higher product unit shipments driven by customers' new product ramps, an increased percentage of our sales from higher value AI inference processors which contributed to a higher average selling price, as well as higher nonrecurring engineering (NRE) project service revenue.</w:t>
      </w:r>
    </w:p>
    <w:p>
      <w:pPr>
        <w:spacing w:after="0" w:line="71"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loss from operations of $126.6 million in fiscal year 2025, as compared to a loss from operations of $154.6 million in fiscal year 2024. The reduction in operating loss was primarily attributable to higher revenue and higher gross profit, partially offset by an increase in operating expenses. The increase in operating expenses primarily related to higher engineering-related expenses, including chip development costs, tools and equipment expenses as well as outside service expenses.</w:t>
      </w:r>
    </w:p>
    <w:p>
      <w:pPr>
        <w:spacing w:after="0" w:line="71" w:lineRule="exact"/>
        <w:rPr>
          <w:rFonts w:ascii="Times New Roman" w:cs="Times New Roman" w:eastAsia="Times New Roman" w:hAnsi="Times New Roman"/>
          <w:sz w:val="18"/>
          <w:szCs w:val="18"/>
          <w:color w:val="auto"/>
        </w:rPr>
      </w:pPr>
    </w:p>
    <w:p>
      <w:pPr>
        <w:jc w:val="both"/>
        <w:ind w:left="1020" w:right="6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$33.8 million in fiscal year 2025, as compared to $19.0 million in fiscal year 2024. The increase in cash flows from operating activities was primarily attributable to lower net loss adjusted for certain non-cash items and increased liabilities driven by higher cash advances from NRE projects and development funding. The increase in cash flows from operating activities was partially offset by lower collections of accounts receivable associated with the timing of sales and increased inventory purchases based on expected future demand from customers.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AI and Computer Vision Trends</w:t>
      </w:r>
      <w:r>
        <w:rPr>
          <w:rFonts w:ascii="Times New Roman" w:cs="Times New Roman" w:eastAsia="Times New Roman" w:hAnsi="Times New Roman"/>
          <w:sz w:val="18"/>
          <w:szCs w:val="18"/>
          <w:color w:val="auto"/>
        </w:rPr>
        <w:t>. 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IoT, automotive, industrial and robotics markets. As a result, we believe that our ability to develop advanced AI and computer vision technologies,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our design wins with our customers.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including advanced process technologies.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83"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8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0" w:name="page51"/>
    <w:bookmarkEnd w:id="50"/>
    <w:p>
      <w:pPr>
        <w:ind w:right="6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Continued Concentration of Revenue by End Markets</w:t>
      </w:r>
      <w:r>
        <w:rPr>
          <w:rFonts w:ascii="Times New Roman" w:cs="Times New Roman" w:eastAsia="Times New Roman" w:hAnsi="Times New Roman"/>
          <w:sz w:val="18"/>
          <w:szCs w:val="18"/>
          <w:color w:val="auto"/>
        </w:rPr>
        <w:t>. Historically, our revenue has been significantly concentrated in a small number of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9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12 to 18 months following a design win; however, in some markets, lengthier product and development cycles are possible, depending on the scope and nature of the project, such as in the automotive market. An IoT product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Impact of Global Supply Chain Conditions on Our Business. </w:t>
      </w:r>
      <w:r>
        <w:rPr>
          <w:rFonts w:ascii="Times New Roman" w:cs="Times New Roman" w:eastAsia="Times New Roman" w:hAnsi="Times New Roman"/>
          <w:sz w:val="18"/>
          <w:szCs w:val="18"/>
          <w:color w:val="auto"/>
        </w:rPr>
        <w:t>Due in part to impacts of the COVID-19 pandemic, the semiconductor industry faced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global supply chain challenges over the past few years. Supply chain issues can impact our business as they relate to both our suppliers and our customers. With respect to our suppliers, we have experienced supply constraints for certain chips from Samsung Electronics Corporation and we may in the future experience similar issues. With respect to our customers, to the extent customers face supply chain issues with other components needed to pair with our products in order to produce their end products or otherwise take actions in an attempt to adjust their inventory levels, such customers may delay future orders of our products or hold inventory of our products for longer periods of time. Recent supply chain challenges have subsided and we expect conditions to return to more stability in future periods. However, challenges may recur in future periods with changes in the macro-economic environment, including imposition of tariffs by the U.S. Government on imports and restrictions on exports to foreign locations.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6"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for the periods indicated: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(dollars in 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284,865</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226,474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337,606</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89,657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128,672</w:t>
            </w:r>
          </w:p>
        </w:tc>
        <w:tc>
          <w:tcPr>
            <w:tcW w:w="100" w:type="dxa"/>
            <w:vAlign w:val="bottom"/>
          </w:tcPr>
          <w:p>
            <w:pPr>
              <w:spacing w:after="0"/>
              <w:rPr>
                <w:sz w:val="18"/>
                <w:szCs w:val="18"/>
                <w:color w:val="auto"/>
              </w:rPr>
            </w:pPr>
          </w:p>
        </w:tc>
      </w:tr>
      <w:tr>
        <w:trPr>
          <w:trHeight w:val="209"/>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172,330</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136,817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226,109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215,052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204,946</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78,244</w:t>
            </w:r>
          </w:p>
        </w:tc>
        <w:tc>
          <w:tcPr>
            <w:tcW w:w="100" w:type="dxa"/>
            <w:vAlign w:val="bottom"/>
          </w:tcPr>
          <w:p>
            <w:pPr>
              <w:spacing w:after="0"/>
              <w:rPr>
                <w:sz w:val="18"/>
                <w:szCs w:val="18"/>
                <w:color w:val="auto"/>
              </w:rPr>
            </w:pPr>
          </w:p>
        </w:tc>
      </w:tr>
      <w:tr>
        <w:trPr>
          <w:trHeight w:val="209"/>
        </w:trPr>
        <w:tc>
          <w:tcPr>
            <w:tcW w:w="5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291,377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(126,595 )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(154,560 )</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(74,256 )</w:t>
            </w: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(117,728 )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(148,530 )</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(70,938 )</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(5,552 )</w:t>
            </w:r>
          </w:p>
        </w:tc>
      </w:tr>
      <w:tr>
        <w:trPr>
          <w:trHeight w:val="20"/>
        </w:trPr>
        <w:tc>
          <w:tcPr>
            <w:tcW w:w="5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(117,126 )</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(169,417 )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(65,386 )</w:t>
            </w: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-1302385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-1302385</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-1302385</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-736600</wp:posOffset>
            </wp:positionV>
            <wp:extent cx="603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-736600</wp:posOffset>
            </wp:positionV>
            <wp:extent cx="603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-736600</wp:posOffset>
            </wp:positionV>
            <wp:extent cx="59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-453390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-453390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-453390</wp:posOffset>
            </wp:positionV>
            <wp:extent cx="596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as a percentage of revenue of each line item for the periods indicated:</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55"/>
        </w:trPr>
        <w:tc>
          <w:tcPr>
            <w:tcW w:w="498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5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4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5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49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37"/>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(69 )</w:t>
            </w:r>
          </w:p>
        </w:tc>
        <w:tc>
          <w:tcPr>
            <w:tcW w:w="2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200" w:type="dxa"/>
            <w:vAlign w:val="bottom"/>
          </w:tcPr>
          <w:p>
            <w:pPr>
              <w:spacing w:after="0"/>
              <w:rPr>
                <w:sz w:val="20"/>
                <w:szCs w:val="20"/>
                <w:color w:val="auto"/>
              </w:rPr>
            </w:pPr>
          </w:p>
        </w:tc>
      </w:tr>
      <w:tr>
        <w:trPr>
          <w:trHeight w:val="216"/>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37"/>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(66 )</w:t>
            </w:r>
          </w:p>
        </w:tc>
        <w:tc>
          <w:tcPr>
            <w:tcW w:w="2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200" w:type="dxa"/>
            <w:vAlign w:val="bottom"/>
          </w:tcPr>
          <w:p>
            <w:pPr>
              <w:spacing w:after="0"/>
              <w:rPr>
                <w:sz w:val="20"/>
                <w:szCs w:val="20"/>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shd w:val="clear" w:color="auto" w:fill="CFF0FC"/>
          </w:tcPr>
          <w:p>
            <w:pPr>
              <w:spacing w:after="0"/>
              <w:rPr>
                <w:sz w:val="18"/>
                <w:szCs w:val="18"/>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10"/>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spacing w:after="0"/>
              <w:rPr>
                <w:sz w:val="18"/>
                <w:szCs w:val="18"/>
                <w:color w:val="auto"/>
              </w:rPr>
            </w:pPr>
          </w:p>
        </w:tc>
        <w:tc>
          <w:tcPr>
            <w:tcW w:w="62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(41 ) </w:t>
            </w:r>
            <w:r>
              <w:rPr>
                <w:rFonts w:ascii="Times New Roman" w:cs="Times New Roman" w:eastAsia="Times New Roman" w:hAnsi="Times New Roman"/>
                <w:sz w:val="24"/>
                <w:szCs w:val="24"/>
                <w:color w:val="auto"/>
                <w:vertAlign w:val="subscript"/>
              </w:rPr>
              <w:t>%</w:t>
            </w:r>
          </w:p>
        </w:tc>
        <w:tc>
          <w:tcPr>
            <w:tcW w:w="134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(75 ) </w:t>
            </w:r>
            <w:r>
              <w:rPr>
                <w:rFonts w:ascii="Times New Roman" w:cs="Times New Roman" w:eastAsia="Times New Roman" w:hAnsi="Times New Roman"/>
                <w:sz w:val="24"/>
                <w:szCs w:val="24"/>
                <w:color w:val="auto"/>
                <w:vertAlign w:val="subscript"/>
              </w:rPr>
              <w:t>%</w:t>
            </w:r>
          </w:p>
        </w:tc>
        <w:tc>
          <w:tcPr>
            <w:tcW w:w="134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(19 ) </w:t>
            </w:r>
            <w:r>
              <w:rPr>
                <w:rFonts w:ascii="Times New Roman" w:cs="Times New Roman" w:eastAsia="Times New Roman" w:hAnsi="Times New Roman"/>
                <w:sz w:val="24"/>
                <w:szCs w:val="24"/>
                <w:color w:val="auto"/>
                <w:vertAlign w:val="subscript"/>
              </w:rPr>
              <w:t>%</w:t>
            </w:r>
          </w:p>
        </w:tc>
      </w:tr>
      <w:tr>
        <w:trPr>
          <w:trHeight w:val="20"/>
        </w:trPr>
        <w:tc>
          <w:tcPr>
            <w:tcW w:w="49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-770890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-770890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-770890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-471170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-471170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-471170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-170815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low power AI-based processing and video and image processing SoC solutions to IoT OEMs, IoT ODMs, automotive OEMs or Tier-1 automotive suppliers, either directly or through our distributors. A substantial portion of our revenue from sales was made indirectly through one of our distributors, WT Microelectronics Co., Ltd., formerly Wintech Microelectronics Co., Ltd., or WT, which serves as our non-exclusive sales representative and fulfillment partner in Asia other than Japan, and to one ODM, Chicony Electronics Co., Ltd., or Chicony, which manufactures devices incorporating our solutions on behalf of multiple end-customers.</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average selling prices fluctuate based on the mix of our solutions sold in a period which reflects the impact of both changes in unit sales of existing solutions as well as the introduction and sales of new solutions. Our AI-based solutions generally have higher selling prices than our traditional video and image processing SoC solutions that do not enable AI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18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customer preferences have evolved in response to new technologies. As a result, the composition and timing of our revenue may change in future periods. We expect shifts in use of video capture to continue to change over time, as AI specialized use cases emerge and video capture continues to proliferate.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52" w:name="page53"/>
    <w:bookmarkEnd w:id="5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and software licenses, warranty and other general overhead costs.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the cost and depreciation of equipment, outside services as well as allocated depreciation and facility expenses. All research and development costs are expensed as incurred. We expect our research and development expense to generally increase in absolute dollars as we continue to enhance and expand our product features and offerings and increase headcount for new SoC development and development of AI technologies.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such as accounting, tax, or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AI technology.</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interest income and yields from our cash deposits and debt security investments, realized gains and losses from equity and debt security investments, subsidies and grants issued by governments, as well as gains and losses from foreign currency transactions and remeasurements.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80" w:firstLine="478"/>
        <w:spacing w:after="0" w:line="254"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also conduct business in several locations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3" w:name="page54"/>
    <w:bookmarkEnd w:id="53"/>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Fiscal Years Ended January 31, 2025, 2024 and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78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780" w:type="dxa"/>
            <w:vAlign w:val="bottom"/>
            <w:tcBorders>
              <w:bottom w:val="single" w:sz="8" w:color="auto"/>
            </w:tcBorders>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78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2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(111,13</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$ 284,865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$ 226,474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$ 337,606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58,391</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25.8 %  $</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(32.9 )%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in fiscal year 2025, as compared to fiscal year 2024, primarily as a result of higher product unit shipments driven by customers' new product ramps, an increased percentage of our sales from higher value AI inference processors which contributed to a higher average selling price, as well as higher NRE project service revenue.</w:t>
      </w:r>
    </w:p>
    <w:p>
      <w:pPr>
        <w:spacing w:after="0" w:line="176"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Revenue decreased in fiscal year 2024, as compared to fiscal year 2023, primarily due to lower product unit shipments as a result of customer inventory level reduction efforts. The decreased revenue from lower product shipments was partially offset by continued adoption of our AI inference processors, which have higher average selling prices than video processors.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260" w:type="dxa"/>
            <w:vAlign w:val="bottom"/>
            <w:gridSpan w:val="5"/>
            <w:vMerge w:val="restart"/>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260" w:type="dxa"/>
            <w:vAlign w:val="bottom"/>
            <w:tcBorders>
              <w:bottom w:val="single" w:sz="8" w:color="auto"/>
            </w:tcBorders>
            <w:gridSpan w:val="5"/>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70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76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76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78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60.5 %</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60.4 %</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61.9 %</w:t>
            </w:r>
          </w:p>
        </w:tc>
        <w:tc>
          <w:tcPr>
            <w:tcW w:w="116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Gross margin increased marginally in fiscal year 2025, as compared to fiscal year 2024, primarily due to a higher percentage of sales from higher average selling price AI inference processors, as well as increased higher margin NRE project service revenue, partially offset by higher manufacturing costs associated with advanced process technologies.</w:t>
      </w:r>
    </w:p>
    <w:p>
      <w:pPr>
        <w:spacing w:after="0" w:line="176"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Gross margin decreased in fiscal year 2024, as compared to fiscal year 2023, primarily due to unfavorable product mix and higher indirect costs associated with amortization of intangible assets and assembly cost, partially offset by reversals of adverse purchase commitments recognized in prior fiscal years and sales of previously reserved inventory.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1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180" w:type="dxa"/>
            <w:vAlign w:val="bottom"/>
            <w:tcBorders>
              <w:bottom w:val="single" w:sz="8" w:color="auto"/>
            </w:tcBorders>
            <w:gridSpan w:val="5"/>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8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$ 226,109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$ 215,052</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204,946</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11,057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5.1 %  $</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1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675"/>
        </w:trPr>
        <w:tc>
          <w:tcPr>
            <w:tcW w:w="4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in fiscal year 2025, as compared to fiscal year 2024, primarily due to approximately $4.2 million of additional engineering-related expenses associated with supporting our AI inference processor and radar solutions, and $3.4 million of additional SoC development cost from our foundries associated with our chip development progress. The increase was also attributable to approximately $3.4 million of additional personnel costs, including stock-based compensation expense, as a result of higher headcount in support of our AI strategy.</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in fiscal year 2024, as compared to fiscal year 2023, primarily due to approximately $5.0 million of additional SoC development cost from our foundries associated with the progress, complexity and number of chips in development, $1.7 million of additional engineering-related expenses for supporting our AI-based and radar solutions, as well as $3.4 million of additional personnel costs as a result of increased stock-based compensation and employee benefit programs.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20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200" w:type="dxa"/>
            <w:vAlign w:val="bottom"/>
            <w:tcBorders>
              <w:bottom w:val="single" w:sz="8" w:color="auto"/>
            </w:tcBorders>
            <w:gridSpan w:val="5"/>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78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7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72,816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76,325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78,244</w:t>
            </w:r>
          </w:p>
        </w:tc>
        <w:tc>
          <w:tcPr>
            <w:tcW w:w="11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(3,509 )</w:t>
            </w:r>
          </w:p>
        </w:tc>
        <w:tc>
          <w:tcPr>
            <w:tcW w:w="26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  $</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(1,919 )</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decreased in fiscal year 2025, as compared to fiscal year 2024, primarily due to approximately $3.0 million lower net personnel costs associated with departure of certain employees and $0.9 million of lower facility-related expenses. The decrease was partially offset by approximately $0.3 million of additional professional service costs.</w:t>
      </w:r>
    </w:p>
    <w:p>
      <w:pPr>
        <w:spacing w:after="0" w:line="176"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decreased in fiscal year 2024, as compared to fiscal year 2023, primarily due to approximately $1.1 million of lower traveling, sales support, professional service and facility-related expenses. The decrease was also attributable to approximately $0.8 million lower personnel costs as a result of lower headcount.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6"/>
            <w:vMerge w:val="restart"/>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6"/>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2,837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47.0 %  $</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81.7 %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increase in other income, net, in fiscal year 2025, as compared to fiscal year 2024, was primarily due to an approximately $1.2 million impairment charge relating to an equity investment recognized in the prior fiscal year that did not recur in the current fiscal year, approximately $0.9 million of higher interest income and yields from our cash deposits and debt security investments, as well as $0.8 million of net gains from a government grant and foreign currency transactions and remeasurements.</w:t>
      </w:r>
    </w:p>
    <w:p>
      <w:pPr>
        <w:spacing w:after="0" w:line="180"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increase in other income, net, in fiscal year 2024, as compared to fiscal year 2023, was primarily due to $5.7 million of additional yields and interest income from our debt security investments and cash deposits. The increase was partially offset by an approximately $1.2 million of increased interest expenses associated with software license purchases, lower subsidies received from a foreign government and net loss from foreign currency remeasurements. In fiscal year 2024, the increase was also negatively impacted by an approximately $1.2 million impairment recognized and an approximately $0.7 million lower fair value adjustment relating to our equity investments.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5"/>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40" w:type="dxa"/>
            <w:vAlign w:val="bottom"/>
            <w:tcBorders>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2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(602 )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20,887</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(5,552 )</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(21,489 )</w:t>
            </w:r>
          </w:p>
        </w:tc>
        <w:tc>
          <w:tcPr>
            <w:tcW w:w="260" w:type="dxa"/>
            <w:vAlign w:val="bottom"/>
            <w:shd w:val="clear" w:color="auto" w:fill="CFF0FC"/>
          </w:tcPr>
          <w:p>
            <w:pPr>
              <w:spacing w:after="0"/>
              <w:rPr>
                <w:sz w:val="18"/>
                <w:szCs w:val="18"/>
                <w:color w:val="auto"/>
              </w:rPr>
            </w:pPr>
          </w:p>
        </w:tc>
        <w:tc>
          <w:tcPr>
            <w:tcW w:w="166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(102.9 )%  $  26,439</w:t>
            </w:r>
          </w:p>
        </w:tc>
        <w:tc>
          <w:tcPr>
            <w:tcW w:w="1300" w:type="dxa"/>
            <w:vAlign w:val="bottom"/>
            <w:gridSpan w:val="3"/>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7"/>
              </w:rPr>
              <w:t>(476.2 )%</w:t>
            </w: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20"/>
                <w:szCs w:val="20"/>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14.6%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5" w:name="page56"/>
    <w:bookmarkEnd w:id="55"/>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Income tax expense decreased in fiscal year 2025, as compared to fiscal year 2024, primarily due to a one-time charge of $22.7 million of valuation allowance in the prior fiscal year that did not recur in the current fiscal year, a benefit from income tax reserve release upon the lapse of the statute of limitations of $2.8 million and an increase in the proportion of profits generated in lower tax jurisdictions, partially offset by an increase in non-deductible stock-based compensation.</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Income tax expense increased in fiscal 2024, as compared to fiscal year 2023, primarily due to a one-time charge of $22.7 million of valuation allowance against the Company’s remaining U.S. net deferred tax assets, a decrease in the proportion of profits generated in lower tax jurisdictions and a decrease in the benefit from FIN48 reserves upon the lapse of the statute of limitations, partially offset by a decrease in non-deductible stock-based compensation.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center"/>
              <w:ind w:left="756"/>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44,093</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(40,526 )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(107,295 )</w:t>
            </w: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(292 )</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(57,504 )</w:t>
            </w: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-170815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19" w:lineRule="exact"/>
        <w:rPr>
          <w:sz w:val="20"/>
          <w:szCs w:val="20"/>
          <w:color w:val="auto"/>
        </w:rPr>
      </w:pPr>
    </w:p>
    <w:p>
      <w:pPr>
        <w:jc w:val="both"/>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2025 compared to fiscal year 2024: </w:t>
      </w:r>
      <w:r>
        <w:rPr>
          <w:rFonts w:ascii="Times New Roman" w:cs="Times New Roman" w:eastAsia="Times New Roman" w:hAnsi="Times New Roman"/>
          <w:sz w:val="18"/>
          <w:szCs w:val="18"/>
          <w:color w:val="auto"/>
        </w:rPr>
        <w:t>Cash provided by operating activities increased primarily due to lower net loss adjusted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non-cash items and increased liabilities driven by higher cash advances from NRE projects and development funding, partially offset by lower collections of accounts receivable associated with the timing of sales and increased inventory purchases based on expected future demand from customers.</w:t>
      </w:r>
    </w:p>
    <w:p>
      <w:pPr>
        <w:spacing w:after="0" w:line="65"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2024 compared to fiscal year 2023: </w:t>
      </w:r>
      <w:r>
        <w:rPr>
          <w:rFonts w:ascii="Times New Roman" w:cs="Times New Roman" w:eastAsia="Times New Roman" w:hAnsi="Times New Roman"/>
          <w:sz w:val="18"/>
          <w:szCs w:val="18"/>
          <w:color w:val="auto"/>
        </w:rPr>
        <w:t>Cash provided by operating activities decreased primarily due to higher net loss adjusted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non-cash items, partially offset by increased working capital as a result of better management on accounts receivable and liabilities, as well as decreased inventory purchases due to lower demand from customers.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19"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2025 compared to fiscal year 2024: </w:t>
      </w:r>
      <w:r>
        <w:rPr>
          <w:rFonts w:ascii="Times New Roman" w:cs="Times New Roman" w:eastAsia="Times New Roman" w:hAnsi="Times New Roman"/>
          <w:sz w:val="18"/>
          <w:szCs w:val="18"/>
          <w:color w:val="auto"/>
        </w:rPr>
        <w:t>Net cash used in investing activities increased primarily due to approximately $36.5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cash payments for our debt security purchases and $13.5 million of less cash proceeds from maturities and sales of our debt security investments, partially offset by $1.6 million less in payment for the purchase of property and equipment.</w:t>
      </w:r>
    </w:p>
    <w:p>
      <w:pPr>
        <w:spacing w:after="0" w:line="6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Fiscal year 2024 compared to fiscal year 2023: </w:t>
      </w:r>
      <w:r>
        <w:rPr>
          <w:rFonts w:ascii="Times New Roman" w:cs="Times New Roman" w:eastAsia="Times New Roman" w:hAnsi="Times New Roman"/>
          <w:sz w:val="18"/>
          <w:szCs w:val="18"/>
          <w:color w:val="auto"/>
        </w:rPr>
        <w:t>Net cash provided by investing activities increased primarily due to approximately $63.3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cash used in debt security purchases due to the timing of investment, $49.6 million of higher cash receipts from maturities and sales of our debt security investments, as well as $3.1 million less in payments for purchase of property, equipment and licenses, partially offset by a $0.7 million claim from an acquisition escrow account in fiscal year 2023 that did not recur in fiscal year 2024.</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19" w:lineRule="exact"/>
        <w:rPr>
          <w:sz w:val="20"/>
          <w:szCs w:val="20"/>
          <w:color w:val="auto"/>
        </w:rPr>
      </w:pPr>
    </w:p>
    <w:p>
      <w:pPr>
        <w:jc w:val="both"/>
        <w:ind w:right="3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2025 compared to fiscal year 2024: </w:t>
      </w:r>
      <w:r>
        <w:rPr>
          <w:rFonts w:ascii="Times New Roman" w:cs="Times New Roman" w:eastAsia="Times New Roman" w:hAnsi="Times New Roman"/>
          <w:sz w:val="18"/>
          <w:szCs w:val="18"/>
          <w:color w:val="auto"/>
        </w:rPr>
        <w:t>Net cash provided by financing activities increased primarily due to approximately $3.0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cash receipts from stock activities, partially offset by approximately $1.1 million higher principal payments associated with long-term software license agreements.</w:t>
      </w:r>
    </w:p>
    <w:p>
      <w:pPr>
        <w:spacing w:after="0" w:line="65"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Fiscal year 2024 compared to fiscal year 2023: </w:t>
      </w:r>
      <w:r>
        <w:rPr>
          <w:rFonts w:ascii="Times New Roman" w:cs="Times New Roman" w:eastAsia="Times New Roman" w:hAnsi="Times New Roman"/>
          <w:sz w:val="18"/>
          <w:szCs w:val="18"/>
          <w:color w:val="auto"/>
        </w:rPr>
        <w:t>Net cash provided by financing activities decreased primarily due to approximately $1.1 million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payments for the purchase of licenses.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6" w:name="page57"/>
    <w:bookmarkEnd w:id="5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There were no shares repurchased in fiscal years 2025, 2024 and 2023. On May 29, 2024, our Board of Directors approved an extension of our existing share repurchase program for an additional twelve months through June 30, 2025. As of January 31, 2025, there was approximately $49.0 million available for repurchases through June 30, 2025.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will be recorded as authorized but unissued shares.</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we had cash, cash equivalents and marketable debt securities on hand of approximately $250.3 million, compared with approximately $219.9 million of cash, cash equivalents and marketable debt securities on hand as of January 31, 2024.</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balances will be sufficient to meet our anticipated cash requirements through at least the next 12 months. In the future, we may require more working capital to meet our operating and capital expenditure needs. If our available cash balances are insufficient to satisfy our future liquidity requirements, we may seek to sell equity or convertible debt securities or borrow funds commercially.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short-term and long-term capital requirements will depend on many factors, including the following:</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from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our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research and development of new technologies and products to address new markets and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macroeconomic conditions, high inflation and trade restrictions;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or participating in litigation-related activities;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complementary businesses, products and technologies.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outstanding contractual obligations as of January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gridSpan w:val="13"/>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Payment Due by Period as of January 31, 2025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5"/>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All</w:t>
            </w:r>
          </w:p>
        </w:tc>
        <w:tc>
          <w:tcPr>
            <w:tcW w:w="0" w:type="dxa"/>
            <w:vAlign w:val="bottom"/>
          </w:tcPr>
          <w:p>
            <w:pPr>
              <w:spacing w:after="0"/>
              <w:rPr>
                <w:sz w:val="1"/>
                <w:szCs w:val="1"/>
                <w:color w:val="auto"/>
              </w:rPr>
            </w:pPr>
          </w:p>
        </w:tc>
      </w:tr>
      <w:tr>
        <w:trPr>
          <w:trHeight w:val="82"/>
        </w:trPr>
        <w:tc>
          <w:tcPr>
            <w:tcW w:w="4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Technology licenses </w:t>
            </w:r>
            <w:r>
              <w:rPr>
                <w:rFonts w:ascii="Times New Roman" w:cs="Times New Roman" w:eastAsia="Times New Roman" w:hAnsi="Times New Roman"/>
                <w:sz w:val="24"/>
                <w:szCs w:val="24"/>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Manufacturing purchase commitments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56,378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56,378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Capital commitment </w:t>
            </w:r>
            <w:r>
              <w:rPr>
                <w:rFonts w:ascii="Times New Roman" w:cs="Times New Roman" w:eastAsia="Times New Roman" w:hAnsi="Times New Roman"/>
                <w:sz w:val="24"/>
                <w:szCs w:val="24"/>
                <w:color w:val="auto"/>
                <w:vertAlign w:val="superscript"/>
              </w:rPr>
              <w:t>(3)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Lease commitment </w:t>
            </w:r>
            <w:r>
              <w:rPr>
                <w:rFonts w:ascii="Times New Roman" w:cs="Times New Roman" w:eastAsia="Times New Roman" w:hAnsi="Times New Roman"/>
                <w:sz w:val="24"/>
                <w:szCs w:val="24"/>
                <w:color w:val="auto"/>
                <w:vertAlign w:val="superscript"/>
              </w:rPr>
              <w:t>(4)</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Service commitment </w:t>
            </w:r>
            <w:r>
              <w:rPr>
                <w:rFonts w:ascii="Times New Roman" w:cs="Times New Roman" w:eastAsia="Times New Roman" w:hAnsi="Times New Roman"/>
                <w:sz w:val="24"/>
                <w:szCs w:val="24"/>
                <w:color w:val="auto"/>
                <w:vertAlign w:val="superscript"/>
              </w:rPr>
              <w:t>(5)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94,638</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65,137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13,006</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-25400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obligations primarily represent future cash payments for noncancelable internal-use software licenses used in product design.</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purchase commitments consist primarily of inventory purchase commitments with our independent contract manufacturers.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 primarily represents future construction cost for our office building constructed in Parma, Italy.</w:t>
      </w:r>
    </w:p>
    <w:p>
      <w:pPr>
        <w:spacing w:after="0" w:line="9" w:lineRule="exact"/>
        <w:rPr>
          <w:rFonts w:ascii="Times New Roman" w:cs="Times New Roman" w:eastAsia="Times New Roman" w:hAnsi="Times New Roman"/>
          <w:sz w:val="18"/>
          <w:szCs w:val="18"/>
          <w:color w:val="auto"/>
        </w:rPr>
      </w:pPr>
    </w:p>
    <w:p>
      <w:pPr>
        <w:ind w:left="520" w:right="200" w:hanging="512"/>
        <w:spacing w:after="0" w:line="250"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commitment represents the new office future lease payments for our headquarters located in Santa Clara, California. Refer to Note 8 Leases within Notes to Consolidated Financial Statements for detail information.</w:t>
      </w: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commitment represents future cash payments for our IT infrastructure service from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-824865</wp:posOffset>
            </wp:positionV>
            <wp:extent cx="9258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7" w:name="page58"/>
    <w:bookmarkEnd w:id="57"/>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also have lease obligations primarily for our worldwide office facilities. As of January 31, 2025, these undiscounted lease payments were a total of $5.4 million, with $2.9 million due in the next 12 months. Refer to Note 8 Leases within Notes to Consolidated Financial Statements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Restricted Stock Units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Grants of stock-based awards are key components of the compensation packages we provide to attract and retain employees and to align their interests with the interests of shareholders. We recognize that these stock-based awards will dilute existing shareholders and have sought to limit the number of shares granted while providing competitive compensation packages. As of January 31, 2025, we had a total of 2.9 million ordinary shares subject to outstanding stock options and unvested restricted stock units, which will dilute our existing shareholders. This potential dilution will only result if outstanding options vest and are exercised and restricted stock units vest and are settled.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See Note 1, “Organization and Summary of Significant Accounting Policies—Recent Accounting Pronouncements” of the Notes to the Consolidated Financial Statements, included in Part IV, Item 15 of this report, for a full description of recent accounting standards, including the respective dates of adoption and effects on our consolidated financial position,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audited consolidated financial statements in conformity with U.S. generally accepted accounting principles, or GAAP, requires us to make estimates, judgments and assumptions that affect the reported amounts of assets and liabilities, the disclosure of contingent assets and liabilities at the date of the financial statements and the reported amounts of revenue and expense during the reported periods. On an ongoing basis, we evaluate our estimates and assumptions, including those related to (i) write downs of excess and obsolete inventories; (ii) the estimated useful lives of long-lived assets;</w:t>
      </w:r>
    </w:p>
    <w:p>
      <w:pPr>
        <w:spacing w:after="0" w:line="3" w:lineRule="exact"/>
        <w:rPr>
          <w:sz w:val="20"/>
          <w:szCs w:val="20"/>
          <w:color w:val="auto"/>
        </w:rPr>
      </w:pPr>
    </w:p>
    <w:p>
      <w:pPr>
        <w:ind w:right="40" w:firstLine="8"/>
        <w:spacing w:after="0" w:line="252" w:lineRule="auto"/>
        <w:tabs>
          <w:tab w:leader="none" w:pos="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stock-based compensation awards; (iv) the realization of tax assets and estimates of tax liabilities, including reserves for uncertain tax positions and recognition or release of valuation allowance on deferred tax assets. These estimates and assumptions are based on historical experience and on various other factors which we believe to be reasonable under the circumstances. We may engage third-party valuation specialists to assist with estimates related to the valuation of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19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accounting policies discussed below are critical to understanding our historical and future performance, as these policies relate to the more significant areas involving management’s judgment and estimates: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Accounting Standards Codification (ASC) 606, Revenue from Contracts with Customers, we recognize revenue when control of goods and services is transferred to our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8" w:name="page59"/>
    <w:bookmarkEnd w:id="58"/>
    <w:p>
      <w:pPr>
        <w:ind w:firstLine="509"/>
        <w:spacing w:after="0" w:line="253" w:lineRule="auto"/>
        <w:rPr>
          <w:sz w:val="20"/>
          <w:szCs w:val="20"/>
          <w:color w:val="auto"/>
        </w:rPr>
      </w:pPr>
      <w:r>
        <w:rPr>
          <w:rFonts w:ascii="Times New Roman" w:cs="Times New Roman" w:eastAsia="Times New Roman" w:hAnsi="Times New Roman"/>
          <w:sz w:val="18"/>
          <w:szCs w:val="18"/>
          <w:color w:val="auto"/>
        </w:rPr>
        <w:t>The sale of semiconductor products accounts for the substantial majority of our consolidated revenue. Sales agreements with customers are renewable periodically and contain terms and conditions with respect to payment, delivery, warranty, supply and other rights. We consider an accepted customer purchase order, governed by sales agreement, to be the contract with the customer. For each contract, we consider the promise to transfer tangible products to be the identified performance obligation. Product sales contracts may include volume-based tiered pricing or rebates that are fulfilled in cash or product. In determining the transaction price, we account for the right of returns, cash rebates, commissions and other pricing adjustments as variable consideration, estimate these amounts based on the expected amount to be provided to customers and reduce the revenue recognized. We estimate sales returns and rebates based on our historical patterns of return and pricing credits. As our standard payment terms are 30 days to 60 days, the contracts have no financing component. For a limited number of contracts that include volume-based tiered pricing, we estimate the total consideration to be received by using the expected value method for each contract, compute weighted average selling price for each unit shipped in cases where there is a material right due to the presence of volume-based tiered pricing, allocate the total consideration between the identified performance obligations, and recognize revenue when control of goods and services is transferred to our customers. We consider product control to be transferred at a point in time upon shipment or delivery because we have a present right to payment at that time, the customer has legal title to the asset, we have transferred physical possession of the asset, and the customer has significant risk and rewards of ownership of the asset.</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also enter into various project service agreements with certain customers, including development funding agreements subject to certain refund conditions. In determining whether a development funding agreement constitutes a contract with a customer, we assess whether the substantive and genuine financial risk has been transferred to the funding party and whether the services provided to the funding party are an output of our ordinary activities in exchange for consideration.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our SoC into the customer’s product. Accordingly, we determine that they are not separately identifiable and shall be treated as a single performance obligation. For fixed-price project service contracts, we recognize revenue either over time as services are provided using an input method based on contract costs incurred to date compared to total estimated contract cost, or at a point in time upon completion and acceptance by the customer, depending on the terms of the arrangement. For project service contracts that are billed at a fixed rate for each hour of service provided, we recognize revenue in the amount for which we have the right to invoice as we believe the amount invoiced directly corresponds with the value to the customer of our performance completed to date.</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our customers. We record contract assets when revenue is recognized prior to invoicing. Our contract assets are primarily related to the satisfied but unbilled performance obligations associated with project service agreements at the reporting date. As of January 31, 2025 and 2024, the contract assets for these unbilled receivables were not material, respectively. Our contract liabilities consist of deferred revenue. The deferred revenue is primarily related to the nonrecurring engineering charges that are either invoiced or paid but performance obligations are not satisfied, as well as the portion of a transaction price that exceeds the weighted average selling price for products sold to date under tiered-pricing contracts that contain material rights. The deferred revenue is expected to be recognized over the period when performance obligations are satisfied associated with project service agreements, or over the course of the contract when products are delivered for future pricing below the weighted average selling price of the contract. We also elect not to disclose the value of unsatisfied or partially unsatisfied performance obligations for contracts with original expected contract duration of one year or less, and elect to exclude amounts collected from customers for all sales taxes from the transaction price.</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record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do not amortize goodwill. We test goodwill for impairment at least annually in the fourth fiscal quarter, or sooner whenever events or changes in circumstances indicate that the asset may be impaired. There is only one single reporting unit for goodwill impairment test purposes based on our business and reporting structure. We are permitted to first assess qualitative factors to determine whether the two step goodwill impairment test is necessary. Further testing is only required if we determine, based on the qualitative assessment, that it is more likely than not that the reporting unit’s fair value is less than its carrying amount. Otherwise, no further impairment testing is required. Qualitative factors include industry and market considerations, overall financial performance, and other relevant events and factors affecting the reporting unit</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No goodwill impairment has been identified to date based on our qualitative factors assessment.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9" w:name="page60"/>
    <w:bookmarkEnd w:id="5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measure stock-based compensation for equity awards based on the estimated fair value on the grant date, and recognize that compensation as expense using the straight-line attribution method over the requisite service period, which is typically the vesting period of each award. We determine the fair value of restricted stock units with service conditions based on the fair market value of our ordinary shares on the grant date. We use the Lattice pricing model and perform Monte Carlo Simulation to evaluate the fair value of restricted stock units with market conditions. We also use the Black-Scholes option pricing model to determine the fair value of shares to be issued under our employee stock purchase plan, or ESPP, at the commencement of an offering period. We elect to account for forfeitures as they occur.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which requires the recognition of deferred tax assets and liabilities for the expected future tax consequences of events that have been recognized in our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apply authoritative guidance for the accounting for uncertainty in income taxes. The guidance requires that tax effects of a position be recognized only if it is “more likely than not” to be sustained based solely on its technical merits as of the reporting date. Upon estimating our tax positions and tax benefits, we consider and evaluate numerous factors, which may require periodic adjustments and which may not reflect the final tax liabilities. We adjust our financial statements to reflect only those tax positions that are more likely than not to be sustained under examination.</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p>
    <w:p>
      <w:pPr>
        <w:spacing w:after="0" w:line="75"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In assessing whether deferred tax assets may be realized, we consider whether it is more likely than not that some portion or all of deferred tax assets will be realized. The ultimate realization of deferred tax assets is dependent upon the generation of future taxable income.</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make estimates and judgments about our future taxable income based on assumptions that are consistent with our plans and estimates. Should the actual amounts differ from estimates, the amount of valuation allowance could be materially impacted. Any adjustment to the deferred tax asset valuation allowance would be recorded in the consolidated statements of operations for the periods in which the adjustment is determined to be required.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had cash, cash equivalents and marketable debt securities totaling $250.3 million and $219.9 million at January 31, 2025 and 2024, respectively. Our cash is deposited in checking accounts with reputable financial institutions in excess of the Federal Deposit Insurance Corporation, or FDIC, insurance coverage limit of $250,000 per depositor, per FDIC-insured bank, per ownership category. The cash equivalents and marketable debt securities consist primarily of investments in money market funds, fixed deposits, commercial paper, corporate bonds, asset-backed securities and U.S. government securities. Our cash is held primarily for working capital purposes. We do not enter into investments for trading or speculative purposes.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primary objective of our investment activities is to preserve capital, and provide both, liquidity and income, without significantly increasing risk. Some of the securities we invest in are subject to market risk. This means that a change in prevailing interest rates may have an impact on </w:t>
      </w:r>
      <w:r>
        <w:rPr>
          <w:rFonts w:ascii="Times New Roman" w:cs="Times New Roman" w:eastAsia="Times New Roman" w:hAnsi="Times New Roman"/>
          <w:sz w:val="18"/>
          <w:szCs w:val="18"/>
          <w:color w:val="212529"/>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income and the fair market value of those securities</w:t>
      </w:r>
      <w:r>
        <w:rPr>
          <w:rFonts w:ascii="Times New Roman" w:cs="Times New Roman" w:eastAsia="Times New Roman" w:hAnsi="Times New Roman"/>
          <w:sz w:val="18"/>
          <w:szCs w:val="18"/>
          <w:color w:val="000000"/>
        </w:rPr>
        <w:t>. To minimize this risk, we maintain our portfolio in a variety of debt securities with high liquidity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low credit risk. The current inflationary environment in the United States and resulting high interest rates have generated high interest income and have not had a material negative impact on our investment portfolio and financial position to date. We do not enter into investments for trading or speculative purposes. As of January 31, 2025, a hypothetical 10% change in interest rates would not have a material impact on our interest income or investment fair value.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the Chinese Yuan Renminbi and the Eurozone Euro. Our results of operations and cash flows are subject to fluctuations due to changes in foreign currency exchange rates. To date, we have not entered into any foreign currency hedging contracts due to immaterial impact on our financial statements from the foreign currency fluctuations. As we grow our operations, our exposure to foreign currency risk could become more significant. We also do not expect to enter into foreign currency exchange contracts for trading or speculative purposes.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4"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are set forth as a separate section of this Annual Report on Form 10-K. See Item 15 for a listing of financial statements provided in the section titled “Financial Statements.”</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08"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Annual Report on Form 10-K.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as of January 31, 2025,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7" w:lineRule="exact"/>
        <w:rPr>
          <w:sz w:val="20"/>
          <w:szCs w:val="20"/>
          <w:color w:val="auto"/>
        </w:rPr>
      </w:pPr>
    </w:p>
    <w:p>
      <w:pPr>
        <w:jc w:val="both"/>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Management has evaluated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issued by the Committee of Sponsoring Organizations of the Treadway Commission (COSO). Based on this evaluation,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concluded that our internal control over financial reporting was effective as of January 31, 2025.</w:t>
      </w:r>
    </w:p>
    <w:p>
      <w:pPr>
        <w:spacing w:after="0" w:line="6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January 31, 2025 has been audited by PricewaterhouseCoopers LLP, an independent registered public accounting firm, as stated in their report, which appears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Previously Reported Material Weakness</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As reported in Part II, Item 9A. “Controls and Procedures” in our Annual Report on Form 10-K for the fiscal year ended January 31, 2024, our management identified a material weakness in our internal control over financial reporting as of January 31, 2024, as we did not design and maintain effective controls over the accounting for income taxes. Specifically, we did not have tax personnel with the appropriate skills and level of experience to assess complicated tax matters, and we did not properly identify, risk assess, design and maintain effective controls related to the income tax provision, including controls related to the evaluation of tax deductions and recognition and measurement of deferred tax assets. This material weakness resulted in immaterial errors to the provision for income taxes, deferred tax assets, income taxes payable, and income tax disclosures which were adjusted in the Company’s consolidated financial statements for the fiscal year ended January 31, 2024.</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order to remediate the material weakness described above, management implemented a remediation plan that included hiring a new tax director and strengthening our existing control activities with improved documentation standards, technical oversight and training, as well as implementing specific review procedures to our income tax provision controls.</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remediation plan was implemented during fiscal year 2025 and management determined that the controls have been designed and implemented and have operated effectively for a sufficient period of time. Therefore, management concluded the previously reported material weakness has been remediated as of January 31, 2025.</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fiscal quarter ended January 31, 2025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Disclosure Controls and Procedures and Internal Control over Financial Reporting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2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During our fourth quarter of fiscal year 2025, no director or officer, as defined in Rule 16a-1(f), adopted or terminated a “Rule 10b5-1 trading arrangement” or a “non-Rule 10b5-1 trading arrangement,” each as defined in Regulation S-K Item 408.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4" w:right="499" w:bottom="1440" w:gutter="0" w:footer="0" w:header="0"/>
        </w:sectPr>
      </w:pPr>
    </w:p>
    <w:bookmarkStart w:id="64" w:name="page65"/>
    <w:bookmarkEnd w:id="6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2025 annual meeting of shareholders to be filed with the Securities and Exchange Commission pursuant to Regulation 14A not later than 120 days after the end of the fiscal year covered by this Annual Report on Form 10-K.</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 Code of Business Conduct and Ethics for all of our directors, officers and employees. We also have a Code of Ethics for Finance Team applicable to our Chief Executive Officer, Chief Financial Officer and other Senior Financial Officers. These documents are available on our website at http://investor.ambarella.com/corporate-governance. To date, there have been no waivers under our Code of Business Conduct and Ethics and Code of Ethics for Finance Team. We will post any amendments or waivers, if and when granted, of our Code of Business Conduct and Ethics and Code of Ethics for Finance Team on our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2025 annual meeting of shareholders to be filed with the Securities and Exchange Commission pursuant to Regulation 14A not later than 120 days after the end of the fiscal year covered by this Annual Report on Form 10-K.</w:t>
      </w:r>
    </w:p>
    <w:p>
      <w:pPr>
        <w:spacing w:after="0" w:line="2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2025 annual meeting of shareholders to be filed with the Securities and Exchange Commission pursuant to Regulation 14A not later than 120 days after the end of the fiscal year covered by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2025 annual meeting of shareholders to be filed with the Securities and Exchange Commission pursuant to Regulation 14A not later than 120 days after the end of the fiscal year covered by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2025 annual meeting of shareholders to be filed with the Securities and Exchange Commission pursuant to Regulation 14A not later than 120 days after the end of the fiscal year covered by this Annual Report on Form 10-K.</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08" w:right="499" w:bottom="1440" w:gutter="0" w:footer="0" w:header="0"/>
        </w:sectPr>
      </w:pPr>
    </w:p>
    <w:bookmarkStart w:id="65" w:name="page66"/>
    <w:bookmarkEnd w:id="65"/>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the Registrant and Report of PricewaterhouseCoopers LLP, Independent Registered Public Accounting Firm, are included herewith:</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97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Financial Statement Description</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2360" w:type="dxa"/>
            <w:vAlign w:val="bottom"/>
            <w:tcBorders>
              <w:top w:val="single" w:sz="8" w:color="auto"/>
            </w:tcBorders>
            <w:gridSpan w:val="2"/>
          </w:tcPr>
          <w:p>
            <w:pPr>
              <w:ind w:left="400"/>
              <w:spacing w:after="0" w:line="16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Report of Independent</w:t>
            </w:r>
          </w:p>
        </w:tc>
        <w:tc>
          <w:tcPr>
            <w:tcW w:w="7340" w:type="dxa"/>
            <w:vAlign w:val="bottom"/>
            <w:gridSpan w:val="7"/>
          </w:tcPr>
          <w:p>
            <w:pPr>
              <w:ind w:left="20"/>
              <w:spacing w:after="0" w:line="169" w:lineRule="exact"/>
              <w:rPr>
                <w:sz w:val="20"/>
                <w:szCs w:val="20"/>
                <w:color w:val="auto"/>
              </w:rPr>
            </w:pPr>
            <w:r>
              <w:rPr>
                <w:rFonts w:ascii="Times New Roman" w:cs="Times New Roman" w:eastAsia="Times New Roman" w:hAnsi="Times New Roman"/>
                <w:sz w:val="18"/>
                <w:szCs w:val="18"/>
                <w:color w:val="0000FF"/>
              </w:rPr>
              <w:t xml:space="preserve">Registered Public Accounting Firm </w:t>
            </w:r>
            <w:r>
              <w:rPr>
                <w:rFonts w:ascii="Times New Roman" w:cs="Times New Roman" w:eastAsia="Times New Roman" w:hAnsi="Times New Roman"/>
                <w:sz w:val="18"/>
                <w:szCs w:val="18"/>
                <w:color w:val="000000"/>
              </w:rPr>
              <w:t>(PCAOB ID: 238)</w:t>
            </w: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66</w:t>
            </w:r>
          </w:p>
        </w:tc>
      </w:tr>
      <w:tr>
        <w:trPr>
          <w:trHeight w:val="20"/>
        </w:trPr>
        <w:tc>
          <w:tcPr>
            <w:tcW w:w="720" w:type="dxa"/>
            <w:vAlign w:val="bottom"/>
          </w:tcPr>
          <w:p>
            <w:pPr>
              <w:spacing w:after="0" w:line="20" w:lineRule="exact"/>
              <w:rPr>
                <w:sz w:val="1"/>
                <w:szCs w:val="1"/>
                <w:color w:val="auto"/>
              </w:rPr>
            </w:pPr>
          </w:p>
        </w:tc>
        <w:tc>
          <w:tcPr>
            <w:tcW w:w="31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700" w:type="dxa"/>
            <w:vAlign w:val="bottom"/>
            <w:gridSpan w:val="9"/>
          </w:tcPr>
          <w:p>
            <w:pPr>
              <w:ind w:left="4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Consolidated Balance Sheets As of January 31, 2025 and 2024</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720" w:type="dxa"/>
            <w:vAlign w:val="bottom"/>
          </w:tcPr>
          <w:p>
            <w:pPr>
              <w:spacing w:after="0" w:line="20" w:lineRule="exact"/>
              <w:rPr>
                <w:sz w:val="1"/>
                <w:szCs w:val="1"/>
                <w:color w:val="auto"/>
              </w:rPr>
            </w:pPr>
          </w:p>
        </w:tc>
        <w:tc>
          <w:tcPr>
            <w:tcW w:w="3180" w:type="dxa"/>
            <w:vAlign w:val="bottom"/>
            <w:tcBorders>
              <w:right w:val="single" w:sz="8" w:color="0000FF"/>
            </w:tcBorders>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700" w:type="dxa"/>
            <w:vAlign w:val="bottom"/>
            <w:gridSpan w:val="9"/>
          </w:tcPr>
          <w:p>
            <w:pPr>
              <w:ind w:left="4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Consolidated Statements of Operations For the Years Ended January 31, 2025, 2024 and 2023</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720" w:type="dxa"/>
            <w:vAlign w:val="bottom"/>
          </w:tcPr>
          <w:p>
            <w:pPr>
              <w:spacing w:after="0" w:line="20" w:lineRule="exact"/>
              <w:rPr>
                <w:sz w:val="1"/>
                <w:szCs w:val="1"/>
                <w:color w:val="auto"/>
              </w:rPr>
            </w:pPr>
          </w:p>
        </w:tc>
        <w:tc>
          <w:tcPr>
            <w:tcW w:w="3180" w:type="dxa"/>
            <w:vAlign w:val="bottom"/>
            <w:tcBorders>
              <w:right w:val="single" w:sz="8" w:color="0000FF"/>
            </w:tcBorders>
            <w:gridSpan w:val="2"/>
            <w:shd w:val="clear" w:color="auto" w:fill="0000FF"/>
          </w:tcPr>
          <w:p>
            <w:pPr>
              <w:spacing w:after="0" w:line="20" w:lineRule="exact"/>
              <w:rPr>
                <w:sz w:val="1"/>
                <w:szCs w:val="1"/>
                <w:color w:val="auto"/>
              </w:rPr>
            </w:pPr>
          </w:p>
        </w:tc>
        <w:tc>
          <w:tcPr>
            <w:tcW w:w="36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700" w:type="dxa"/>
            <w:vAlign w:val="bottom"/>
            <w:gridSpan w:val="9"/>
          </w:tcPr>
          <w:p>
            <w:pPr>
              <w:ind w:left="4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Consolidated Statements of Comprehensive Loss For the Years Ended January 31, 2025, 2024 and 2023</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720" w:type="dxa"/>
            <w:vAlign w:val="bottom"/>
          </w:tcPr>
          <w:p>
            <w:pPr>
              <w:spacing w:after="0" w:line="20" w:lineRule="exact"/>
              <w:rPr>
                <w:sz w:val="1"/>
                <w:szCs w:val="1"/>
                <w:color w:val="auto"/>
              </w:rPr>
            </w:pPr>
          </w:p>
        </w:tc>
        <w:tc>
          <w:tcPr>
            <w:tcW w:w="3180" w:type="dxa"/>
            <w:vAlign w:val="bottom"/>
            <w:tcBorders>
              <w:right w:val="single" w:sz="8" w:color="0000FF"/>
            </w:tcBorders>
            <w:gridSpan w:val="2"/>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700" w:type="dxa"/>
            <w:vAlign w:val="bottom"/>
            <w:gridSpan w:val="9"/>
          </w:tcPr>
          <w:p>
            <w:pPr>
              <w:ind w:left="4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Consolidated Statements of Shareholders’ Equity For the Years Ended January 31, 2025, 2024 and 2023</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720" w:type="dxa"/>
            <w:vAlign w:val="bottom"/>
          </w:tcPr>
          <w:p>
            <w:pPr>
              <w:spacing w:after="0" w:line="20" w:lineRule="exact"/>
              <w:rPr>
                <w:sz w:val="1"/>
                <w:szCs w:val="1"/>
                <w:color w:val="auto"/>
              </w:rPr>
            </w:pPr>
          </w:p>
        </w:tc>
        <w:tc>
          <w:tcPr>
            <w:tcW w:w="3180" w:type="dxa"/>
            <w:vAlign w:val="bottom"/>
            <w:tcBorders>
              <w:right w:val="single" w:sz="8" w:color="0000FF"/>
            </w:tcBorders>
            <w:gridSpan w:val="2"/>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700" w:type="dxa"/>
            <w:vAlign w:val="bottom"/>
            <w:gridSpan w:val="9"/>
          </w:tcPr>
          <w:p>
            <w:pPr>
              <w:ind w:left="4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Consolidated Statements of Cash Flows For the Years Ended January 31, 2025, 2024 and 2023</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720" w:type="dxa"/>
            <w:vAlign w:val="bottom"/>
          </w:tcPr>
          <w:p>
            <w:pPr>
              <w:spacing w:after="0" w:line="20" w:lineRule="exact"/>
              <w:rPr>
                <w:sz w:val="1"/>
                <w:szCs w:val="1"/>
                <w:color w:val="auto"/>
              </w:rPr>
            </w:pPr>
          </w:p>
        </w:tc>
        <w:tc>
          <w:tcPr>
            <w:tcW w:w="3180" w:type="dxa"/>
            <w:vAlign w:val="bottom"/>
            <w:tcBorders>
              <w:right w:val="single" w:sz="8" w:color="0000FF"/>
            </w:tcBorders>
            <w:gridSpan w:val="2"/>
            <w:shd w:val="clear" w:color="auto" w:fill="0000FF"/>
          </w:tcPr>
          <w:p>
            <w:pPr>
              <w:spacing w:after="0" w:line="20" w:lineRule="exact"/>
              <w:rPr>
                <w:sz w:val="1"/>
                <w:szCs w:val="1"/>
                <w:color w:val="auto"/>
              </w:rPr>
            </w:pPr>
          </w:p>
        </w:tc>
        <w:tc>
          <w:tcPr>
            <w:tcW w:w="3660" w:type="dxa"/>
            <w:vAlign w:val="bottom"/>
            <w:gridSpan w:val="4"/>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9700" w:type="dxa"/>
            <w:vAlign w:val="bottom"/>
            <w:gridSpan w:val="9"/>
          </w:tcPr>
          <w:p>
            <w:pPr>
              <w:ind w:left="40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Notes to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7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 Financial Statement Schedule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Financial statement schedules are omitted because they are not applicable or the required information is shown in the Financial Statements or the notes thereto.</w:t>
      </w:r>
    </w:p>
    <w:p>
      <w:pPr>
        <w:spacing w:after="0" w:line="266"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exhibits listed below in the accompanying “Exhibits Index” are filed or incorporated by reference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08" w:right="479" w:bottom="1440" w:gutter="0" w:footer="0" w:header="0"/>
        </w:sectPr>
      </w:pPr>
    </w:p>
    <w:bookmarkStart w:id="66" w:name="page67"/>
    <w:bookmarkEnd w:id="66"/>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Ambarella,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Ambarella, Inc. and its subsidiaries (the "Company") as of January 31, 2025 and 2024, and the related consolidated statements of operations, of comprehensive loss, of shareholders' equity and of cash flows for each of the three years in the period ended January 31, 2025, including the related notes (collectively referred to as the "consolidated financial statements"). We also have audited the Company's internal control over financial reporting as of January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January 31, 2025 and 2024, and the results of its operations and its cash flows for each of the three years in the period ended January 31, 2025 in conformity with accounting principles generally accepted in the United States of America. Also in our opinion, the Company maintained, in all material respects, effective internal control over financial reporting as of January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described in Notes 1 and 14 to the consolidated financial statements, the Company's accounting for income taxes requires the recognition of deferred tax assets and liabilities for the expected future tax consequences of events that have been recognized in its financial statements or tax returns. Upon estimating the Company’s tax positions and tax benefits, management considers and evaluates numerous factors, which may require periodic adjustments and which may not reflect the final tax liabilities. Management adjusts the Company’s financial statements to reflect only those tax positions that are more likely than not to be sustained under examination. As part of the process of preparing consolidated financial statements, the Company is required to estimate its taxes in each of the jurisdictions in which it operates. Valuation allowances are provided when necessary to reduce deferred tax assets to the amount expected to be realized. The Company makes estimates and judgments about its future taxable income based on assumptions that are consistent with its plans and estimates. Should the actual amounts differ from estimates, the amount of valuation allowance could be materially impacted. The Company’s worldwide operating income is subject to varying tax rates and its effective tax rate is highly dependent upon the geographic distribution of its earnings or losses and the tax laws and regulations in each geographical region. The Company recorded a benefit for income taxes of $0.6 million for the year ended January 31, 2025, and has unrecognized tax benefits of $20.5 million and net deferred tax liabilities of $0.5 million, including a valuation allowance of $68.0 million, as of January 31, 2025.</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accounting for income taxes is a critical audit matter are (i) the significant judgment by management when determining the benefit for income taxes, net deferred tax liabilities, including a valuation allowance, and liabilities for uncertain tax positions and (ii) a high degree of auditor judgment, subjectivity, and effort in performing audit procedures and evaluating audit evidence relating to these account balances and tax positions. As disclosed by management, a material weakness existed during the year related to this matter.</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accounting for income taxes, including those related to the determination of the benefit for income taxes, net deferred tax liabilities, including a valuation allowance, and liabilities for uncertain tax positions. These procedures also included, among others (i) testing the benefit for income taxes, including the effective tax rate reconciliation, permanent and temporary differences, and taxable income by jurisdiction; (ii) testing the completeness and accuracy of underlying data used in measuring and recognizing deferred tax assets and liabilities; (iii) evaluating management’s assessment of the realizability of deferred tax assets on a jurisdictional basis; and (iv) evaluating the completeness of management’s assessment of the identification of uncertain tax positions, possible outcomes of each uncertain tax position based on the application of relevant tax laws, and the amount of the potential benefit to be realized, including estimated interest and penalties.  </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color w:val="auto"/>
        </w:rPr>
        <w:t>AMBARELLA,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6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86"/>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320,551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688,968</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127,556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Preference shares, $0.00045 par value per share, 20,000,000 shares authorized and no</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at January 31, 2025 and January 31, 2024, respectively</w:t>
            </w:r>
          </w:p>
        </w:tc>
        <w:tc>
          <w:tcPr>
            <w:tcW w:w="26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Ordinary shares, $0.00045 par value per share, 200,000,000 shares authorized; 41,963,959 and</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40,520,558 shares issued and outstanding at January 31, 2025 and January 31, 2024, respectively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813,683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(233 )</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(252,057 )</w:t>
            </w: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(134,931 )</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561,412</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688,968</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-4088130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-3256915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-2125345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-1559560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AMBARELLA,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284,865</w:t>
            </w:r>
          </w:p>
        </w:tc>
        <w:tc>
          <w:tcPr>
            <w:tcW w:w="240" w:type="dxa"/>
            <w:vAlign w:val="bottom"/>
          </w:tcPr>
          <w:p>
            <w:pPr>
              <w:spacing w:after="0"/>
              <w:rPr>
                <w:sz w:val="16"/>
                <w:szCs w:val="16"/>
                <w:color w:val="auto"/>
              </w:rPr>
            </w:pPr>
          </w:p>
        </w:tc>
        <w:tc>
          <w:tcPr>
            <w:tcW w:w="32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226,474</w:t>
            </w:r>
          </w:p>
        </w:tc>
        <w:tc>
          <w:tcPr>
            <w:tcW w:w="240" w:type="dxa"/>
            <w:vAlign w:val="bottom"/>
          </w:tcPr>
          <w:p>
            <w:pPr>
              <w:spacing w:after="0"/>
              <w:rPr>
                <w:sz w:val="16"/>
                <w:szCs w:val="16"/>
                <w:color w:val="auto"/>
              </w:rPr>
            </w:pPr>
          </w:p>
        </w:tc>
        <w:tc>
          <w:tcPr>
            <w:tcW w:w="32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337,606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112,535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89,657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172,330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226,109</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215,052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72,816</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298,925</w:t>
            </w:r>
          </w:p>
        </w:tc>
        <w:tc>
          <w:tcPr>
            <w:tcW w:w="2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291,377</w:t>
            </w:r>
          </w:p>
        </w:tc>
        <w:tc>
          <w:tcPr>
            <w:tcW w:w="2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283,190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(126,595</w:t>
            </w:r>
          </w:p>
        </w:tc>
        <w:tc>
          <w:tcPr>
            <w:tcW w:w="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(154,560</w:t>
            </w:r>
          </w:p>
        </w:tc>
        <w:tc>
          <w:tcPr>
            <w:tcW w:w="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(74,256</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2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2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(117,728</w:t>
            </w:r>
          </w:p>
        </w:tc>
        <w:tc>
          <w:tcPr>
            <w:tcW w:w="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(148,530</w:t>
            </w:r>
          </w:p>
        </w:tc>
        <w:tc>
          <w:tcPr>
            <w:tcW w:w="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(70,938</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(602 )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(5,552 )</w:t>
            </w:r>
          </w:p>
        </w:tc>
        <w:tc>
          <w:tcPr>
            <w:tcW w:w="0" w:type="dxa"/>
            <w:vAlign w:val="bottom"/>
          </w:tcPr>
          <w:p>
            <w:pPr>
              <w:spacing w:after="0"/>
              <w:rPr>
                <w:sz w:val="1"/>
                <w:szCs w:val="1"/>
                <w:color w:val="auto"/>
              </w:rPr>
            </w:pPr>
          </w:p>
        </w:tc>
      </w:tr>
      <w:tr>
        <w:trPr>
          <w:trHeight w:val="209"/>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(117,126</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(169,417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-1722120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-1156970</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-1439545</wp:posOffset>
            </wp:positionV>
            <wp:extent cx="71323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-873760</wp:posOffset>
            </wp:positionV>
            <wp:extent cx="7132320"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-591185</wp:posOffset>
            </wp:positionV>
            <wp:extent cx="713232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-307975</wp:posOffset>
            </wp:positionV>
            <wp:extent cx="713232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5920" w:space="720"/>
            <w:col w:w="4600"/>
          </w:cols>
          <w:pgMar w:left="320" w:top="1012"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(4.25 )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4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(2.84 )</w:t>
            </w:r>
          </w:p>
        </w:tc>
        <w:tc>
          <w:tcPr>
            <w:tcW w:w="32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(4.25 )</w:t>
            </w:r>
          </w:p>
        </w:tc>
        <w:tc>
          <w:tcPr>
            <w:tcW w:w="32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(1.70 )</w:t>
            </w:r>
          </w:p>
        </w:tc>
      </w:tr>
      <w:tr>
        <w:trPr>
          <w:trHeight w:val="178"/>
        </w:trPr>
        <w:tc>
          <w:tcPr>
            <w:tcW w:w="664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4"/>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attributable to ordinary shareholders: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41,303,287</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39,878,872</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38,363,638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66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41,303,287</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39,878,872</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38,363,638</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-624840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-608330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-624840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-608330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t>AMBARELLA,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(117,126 )</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(169,417 )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(65,386 )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(492 )</w:t>
            </w: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(492 )</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(117,176 )</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(169,108 )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(65,878 )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-307975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-307975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6"/>
          <w:szCs w:val="16"/>
          <w:color w:val="auto"/>
        </w:rPr>
        <w:t>AMBARELLA,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SHAREHOLDERS’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860" w:type="dxa"/>
            <w:vAlign w:val="bottom"/>
            <w:gridSpan w:val="3"/>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9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860" w:type="dxa"/>
            <w:vAlign w:val="bottom"/>
            <w:gridSpan w:val="3"/>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1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2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ve</w:t>
            </w:r>
          </w:p>
        </w:tc>
        <w:tc>
          <w:tcPr>
            <w:tcW w:w="112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94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980" w:type="dxa"/>
            <w:vAlign w:val="bottom"/>
            <w:gridSpan w:val="3"/>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62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37,302,81</w:t>
            </w:r>
          </w:p>
        </w:tc>
        <w:tc>
          <w:tcPr>
            <w:tcW w:w="220" w:type="dxa"/>
            <w:vAlign w:val="bottom"/>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Balance--January 31, 2022</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220" w:type="dxa"/>
            <w:vAlign w:val="bottom"/>
            <w:tcBorders>
              <w:bottom w:val="single" w:sz="8" w:color="CFF0FC"/>
            </w:tcBorders>
            <w:gridSpan w:val="2"/>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447,287</w:t>
            </w:r>
          </w:p>
        </w:tc>
        <w:tc>
          <w:tcPr>
            <w:tcW w:w="200" w:type="dxa"/>
            <w:vAlign w:val="bottom"/>
            <w:tcBorders>
              <w:bottom w:val="single" w:sz="8" w:color="CFF0FC"/>
            </w:tcBorders>
            <w:gridSpan w:val="2"/>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547,176</w:t>
            </w:r>
          </w:p>
        </w:tc>
        <w:tc>
          <w:tcPr>
            <w:tcW w:w="12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6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Issuance of shares through employee equity plans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1,635,596</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3"/>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980" w:type="dxa"/>
            <w:vAlign w:val="bottom"/>
            <w:gridSpan w:val="3"/>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shares through employee 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104,586</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loss - net of tax</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(492 )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(492 )</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(65,386 )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(65,386 )</w:t>
            </w:r>
          </w:p>
        </w:tc>
        <w:tc>
          <w:tcPr>
            <w:tcW w:w="0" w:type="dxa"/>
            <w:vAlign w:val="bottom"/>
          </w:tcPr>
          <w:p>
            <w:pPr>
              <w:spacing w:after="0"/>
              <w:rPr>
                <w:sz w:val="1"/>
                <w:szCs w:val="1"/>
                <w:color w:val="auto"/>
              </w:rPr>
            </w:pPr>
          </w:p>
        </w:tc>
      </w:tr>
      <w:tr>
        <w:trPr>
          <w:trHeight w:val="191"/>
        </w:trPr>
        <w:tc>
          <w:tcPr>
            <w:tcW w:w="462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39,043,00</w:t>
            </w:r>
          </w:p>
        </w:tc>
        <w:tc>
          <w:tcPr>
            <w:tcW w:w="220" w:type="dxa"/>
            <w:vAlign w:val="bottom"/>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Balance--January 31, 2023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572,076</w:t>
            </w:r>
          </w:p>
        </w:tc>
        <w:tc>
          <w:tcPr>
            <w:tcW w:w="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(492 )</w:t>
            </w:r>
          </w:p>
        </w:tc>
        <w:tc>
          <w:tcPr>
            <w:tcW w:w="1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34,486</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606,088</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620" w:type="dxa"/>
            <w:vAlign w:val="bottom"/>
            <w:tcBorders>
              <w:top w:val="single" w:sz="8" w:color="CFF0FC"/>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Issuance of shares through employee equity plans</w:t>
            </w:r>
          </w:p>
        </w:tc>
        <w:tc>
          <w:tcPr>
            <w:tcW w:w="9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1,325,539</w:t>
            </w: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7,280</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7,280</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shares through employee 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152,019</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income - net of tax</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(169,417 )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(169,417 )</w:t>
            </w:r>
          </w:p>
        </w:tc>
        <w:tc>
          <w:tcPr>
            <w:tcW w:w="0" w:type="dxa"/>
            <w:vAlign w:val="bottom"/>
          </w:tcPr>
          <w:p>
            <w:pPr>
              <w:spacing w:after="0"/>
              <w:rPr>
                <w:sz w:val="1"/>
                <w:szCs w:val="1"/>
                <w:color w:val="auto"/>
              </w:rPr>
            </w:pPr>
          </w:p>
        </w:tc>
      </w:tr>
      <w:tr>
        <w:trPr>
          <w:trHeight w:val="191"/>
        </w:trPr>
        <w:tc>
          <w:tcPr>
            <w:tcW w:w="462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40,520,55</w:t>
            </w:r>
          </w:p>
        </w:tc>
        <w:tc>
          <w:tcPr>
            <w:tcW w:w="220" w:type="dxa"/>
            <w:vAlign w:val="bottom"/>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Balance--January 31,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694,967</w:t>
            </w:r>
          </w:p>
        </w:tc>
        <w:tc>
          <w:tcPr>
            <w:tcW w:w="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(134,931 )</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559,871</w:t>
            </w:r>
          </w:p>
        </w:tc>
        <w:tc>
          <w:tcPr>
            <w:tcW w:w="1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620" w:type="dxa"/>
            <w:vAlign w:val="bottom"/>
            <w:tcBorders>
              <w:top w:val="single" w:sz="8" w:color="CFF0FC"/>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Issuance of shares through employee equity plans</w:t>
            </w:r>
          </w:p>
        </w:tc>
        <w:tc>
          <w:tcPr>
            <w:tcW w:w="9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1,251,065</w:t>
            </w:r>
          </w:p>
        </w:tc>
        <w:tc>
          <w:tcPr>
            <w:tcW w:w="22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8,360</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8,361</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shares through employee 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192,336</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loss - net of tax</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(117,126 )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(117,126 )</w:t>
            </w:r>
          </w:p>
        </w:tc>
        <w:tc>
          <w:tcPr>
            <w:tcW w:w="0" w:type="dxa"/>
            <w:vAlign w:val="bottom"/>
          </w:tcPr>
          <w:p>
            <w:pPr>
              <w:spacing w:after="0"/>
              <w:rPr>
                <w:sz w:val="1"/>
                <w:szCs w:val="1"/>
                <w:color w:val="auto"/>
              </w:rPr>
            </w:pPr>
          </w:p>
        </w:tc>
      </w:tr>
      <w:tr>
        <w:trPr>
          <w:trHeight w:val="191"/>
        </w:trPr>
        <w:tc>
          <w:tcPr>
            <w:tcW w:w="462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41,963,95</w:t>
            </w:r>
          </w:p>
        </w:tc>
        <w:tc>
          <w:tcPr>
            <w:tcW w:w="220" w:type="dxa"/>
            <w:vAlign w:val="bottom"/>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Balance--January 31, 2025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2"/>
                <w:szCs w:val="22"/>
                <w:color w:val="auto"/>
              </w:rPr>
            </w:pP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19</w:t>
            </w:r>
          </w:p>
        </w:tc>
        <w:tc>
          <w:tcPr>
            <w:tcW w:w="220" w:type="dxa"/>
            <w:vAlign w:val="bottom"/>
            <w:gridSpan w:val="2"/>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813,683</w:t>
            </w:r>
          </w:p>
        </w:tc>
        <w:tc>
          <w:tcPr>
            <w:tcW w:w="200" w:type="dxa"/>
            <w:vAlign w:val="bottom"/>
            <w:gridSpan w:val="2"/>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(252,057 )</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561,412</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-3007995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-2990850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-3007995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-2990850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-3007995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-2990850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-3007995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-2990850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-3007995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-2990850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-3007995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-2990850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-2014220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-1996440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-2014220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-1996440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-2014220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-1996440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-2014220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-1996440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-2014220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-1996440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-2014220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-1996440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-1019810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-1002030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-1019810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-1002030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-1019810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-1002030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-1019810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-1002030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-1019810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-1002030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-1019810</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-1002030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AMBARELLA,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9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(117,126 )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(169,417 )</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(65,386 )</w:t>
            </w:r>
          </w:p>
        </w:tc>
      </w:tr>
      <w:tr>
        <w:trPr>
          <w:trHeight w:val="181"/>
        </w:trPr>
        <w:tc>
          <w:tcPr>
            <w:tcW w:w="6640" w:type="dxa"/>
            <w:vAlign w:val="bottom"/>
            <w:shd w:val="clear" w:color="auto" w:fill="CFF0FC"/>
          </w:tcPr>
          <w:p>
            <w:pPr>
              <w:ind w:left="200"/>
              <w:spacing w:after="0" w:line="181" w:lineRule="exact"/>
              <w:rPr>
                <w:sz w:val="20"/>
                <w:szCs w:val="20"/>
                <w:color w:val="auto"/>
              </w:rPr>
            </w:pPr>
            <w:r>
              <w:rPr>
                <w:rFonts w:ascii="Times New Roman" w:cs="Times New Roman" w:eastAsia="Times New Roman" w:hAnsi="Times New Roman"/>
                <w:sz w:val="17"/>
                <w:szCs w:val="17"/>
                <w:color w:val="auto"/>
              </w:rPr>
              <w:t>Adjustments to reconcile net loss to net cash provided by operating</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6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activities: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6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24,813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19,934</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(582 )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(1,154 )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(683 )</w:t>
            </w:r>
          </w:p>
        </w:tc>
      </w:tr>
      <w:tr>
        <w:trPr>
          <w:trHeight w:val="203"/>
        </w:trPr>
        <w:tc>
          <w:tcPr>
            <w:tcW w:w="6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111,316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111,158</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Deferred income taxes</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(119 )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19,042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(3,936 )</w:t>
            </w:r>
          </w:p>
        </w:tc>
      </w:tr>
      <w:tr>
        <w:trPr>
          <w:trHeight w:val="203"/>
        </w:trPr>
        <w:tc>
          <w:tcPr>
            <w:tcW w:w="6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non-cash items,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(751 )</w:t>
            </w:r>
          </w:p>
        </w:tc>
      </w:tr>
      <w:tr>
        <w:trPr>
          <w:trHeight w:val="20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receivable</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(4,817 )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(7,680 )</w:t>
            </w:r>
          </w:p>
        </w:tc>
      </w:tr>
      <w:tr>
        <w:trPr>
          <w:trHeight w:val="20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Inventories</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(5,213 )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11,443</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4,733</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(961 )</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 non-current assets</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(75 )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(9,581 )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(13,325 )</w:t>
            </w:r>
          </w:p>
        </w:tc>
      </w:tr>
      <w:tr>
        <w:trPr>
          <w:trHeight w:val="20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30,383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(6,660 )</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5,225</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Income taxes payable</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(158 )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(2,571 )</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Deferred revenue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13,332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(1,531 )</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(3,800 )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(3,877 )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(4,011 )</w:t>
            </w:r>
          </w:p>
        </w:tc>
      </w:tr>
      <w:tr>
        <w:trPr>
          <w:trHeight w:val="202"/>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(2,916 )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(273 )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(6,195 )</w:t>
            </w:r>
          </w:p>
        </w:tc>
      </w:tr>
      <w:tr>
        <w:trPr>
          <w:trHeight w:val="196"/>
        </w:trPr>
        <w:tc>
          <w:tcPr>
            <w:tcW w:w="664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33,836</w:t>
            </w: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44,093</w:t>
            </w:r>
          </w:p>
        </w:tc>
        <w:tc>
          <w:tcPr>
            <w:tcW w:w="100" w:type="dxa"/>
            <w:vAlign w:val="bottom"/>
            <w:tcBorders>
              <w:top w:val="single" w:sz="8" w:color="CFF0FC"/>
            </w:tcBorders>
          </w:tcPr>
          <w:p>
            <w:pPr>
              <w:spacing w:after="0"/>
              <w:rPr>
                <w:sz w:val="17"/>
                <w:szCs w:val="17"/>
                <w:color w:val="auto"/>
              </w:rPr>
            </w:pPr>
          </w:p>
        </w:tc>
      </w:tr>
      <w:tr>
        <w:trPr>
          <w:trHeight w:val="19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Purchases of investments</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(70,670 )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(34,178 )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(97,437 )</w:t>
            </w:r>
          </w:p>
        </w:tc>
      </w:tr>
      <w:tr>
        <w:trPr>
          <w:trHeight w:val="20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Sales of investments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21,387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7,062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2,444</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46,935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(10,381 )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(11,977 )</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(15,051 )</w:t>
            </w: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Escrow claim associated with business acquisition</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100" w:type="dxa"/>
            <w:vAlign w:val="bottom"/>
          </w:tcPr>
          <w:p>
            <w:pPr>
              <w:spacing w:after="0"/>
              <w:rPr>
                <w:sz w:val="17"/>
                <w:szCs w:val="17"/>
                <w:color w:val="auto"/>
              </w:rPr>
            </w:pPr>
          </w:p>
        </w:tc>
      </w:tr>
      <w:tr>
        <w:trPr>
          <w:trHeight w:val="196"/>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(40,526 )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7,842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(107,295 )</w:t>
            </w:r>
          </w:p>
        </w:tc>
      </w:tr>
      <w:tr>
        <w:trPr>
          <w:trHeight w:val="196"/>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13,525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10,536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10,585</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Long-term financing payment for intangible assets</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(7,127 )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(6,030 )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(4,887 )</w:t>
            </w:r>
          </w:p>
        </w:tc>
      </w:tr>
      <w:tr>
        <w:trPr>
          <w:trHeight w:val="196"/>
        </w:trPr>
        <w:tc>
          <w:tcPr>
            <w:tcW w:w="66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6,398</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4,506</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5,698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(292 )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31,372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(57,504 )</w:t>
            </w:r>
          </w:p>
        </w:tc>
      </w:tr>
      <w:tr>
        <w:trPr>
          <w:trHeight w:val="20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144,921</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113,549</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171,053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144,629</w:t>
            </w:r>
          </w:p>
        </w:tc>
        <w:tc>
          <w:tcPr>
            <w:tcW w:w="12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144,921</w:t>
            </w:r>
          </w:p>
        </w:tc>
        <w:tc>
          <w:tcPr>
            <w:tcW w:w="26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113,549</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12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7,112</w:t>
            </w:r>
          </w:p>
        </w:tc>
        <w:tc>
          <w:tcPr>
            <w:tcW w:w="26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4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noncash investing activities:</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4,213</w:t>
            </w:r>
          </w:p>
        </w:tc>
        <w:tc>
          <w:tcPr>
            <w:tcW w:w="12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6,880</w:t>
            </w:r>
          </w:p>
        </w:tc>
        <w:tc>
          <w:tcPr>
            <w:tcW w:w="26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16,410</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-2580005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-2580005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-2580005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-1525270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-1525270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-993775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-993775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-728345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-728345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20" w:right="6200" w:hanging="512"/>
        <w:spacing w:after="0" w:line="377" w:lineRule="auto"/>
        <w:tabs>
          <w:tab w:leader="none" w:pos="19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Summary of Significant Accounting Policies </w:t>
      </w:r>
      <w:r>
        <w:rPr>
          <w:rFonts w:ascii="Times New Roman" w:cs="Times New Roman" w:eastAsia="Times New Roman" w:hAnsi="Times New Roman"/>
          <w:sz w:val="18"/>
          <w:szCs w:val="18"/>
          <w:b w:val="1"/>
          <w:bCs w:val="1"/>
          <w:i w:val="1"/>
          <w:iCs w:val="1"/>
          <w:color w:val="auto"/>
        </w:rPr>
        <w:t>Organization</w:t>
      </w:r>
    </w:p>
    <w:p>
      <w:pPr>
        <w:spacing w:after="0" w:line="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powerful artificial intelligence (AI) processing, advanced image signal processing, and high-definition (HD) and Ultra HD compression.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AI algorithms, audio processing and system functions onto a single chip. These low power SoCs deliver exceptional video and image quality and can extract valuable data from high-resolution video and radar streams. The Company is currently addressing a broad range of human and AI applications, including video security, advanced driver assistance systems (ADAS), electronic mirrors, drive recorders, driver/cabin monitoring systems, autonomous driving, and industrial and robotic applications.</w:t>
      </w:r>
    </w:p>
    <w:p>
      <w:pPr>
        <w:spacing w:after="0" w:line="29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consolidated financial statements of the Company and its subsidiaries have been prepared in conformity with U.S. GAAP. All intercompany transactions and balances have been eliminated upon consolidation.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an ongoing basis, management evaluates its estimates and assumptions, including those related to (i) write downs of excess and obsolete inventories; (ii) the estimated useful lives of long-lived assets; (iii) the valuation of stock-based compensation awards; (iv) the realization of tax assets and estimates of tax liabilities, including reserves for uncertain tax positions and recognition or release of valuation allowance on deferred tax assets. These estimates and assumptions are based on historical experience and on various other factors which the Company believes to be reasonable under the circumstances. The Company may engage third-party valuation specialists to assist with estimates related to the valuation of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2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one of its distributors, WT Microelectronics Co., Ltd., formerly Wintech Microelectronics Co., Ltd., or WT, which serves as its non-exclusive sales representative and fulfillment partner in Asia other than Japan, and to one ODM, Chicony Electronics Co., Ltd., or Chicony, which manufactures devices incorporating the Company’s solutions on behalf of multiple end-customers. Termination of the relationships with these customers could result in a temporary or permanent loss of revenue. Furthermore, any credit issues from these customers could impair their abilities to make timely payment to the Company. See Note 16 for additional information regarding revenue and credit concentration with these customers.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74" w:name="page75"/>
    <w:bookmarkEnd w:id="74"/>
    <w:p>
      <w:pPr>
        <w:ind w:firstLine="50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fixed deposits, commercial paper, corporate bonds, asset-backed securities and U.S. government securities which management assesses to be highly liquid. The Company does not hold or issue financial instruments for trading purposes.</w:t>
      </w:r>
    </w:p>
    <w:p>
      <w:pPr>
        <w:spacing w:after="0" w:line="18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for the Company and its subsidiaries. Monetary assets and liabilities denominated in non-U.S. currencies are re-measured to U.S. dollars using current exchange rates in effect at the balance sheet date. Nonmonetary assets and liabilities are re-measured to U.S. dollars using historical exchange rates. Monetary and other accounts are re-measured to U.S. dollars using average exchange rates in effect during each period. Gains or losses from foreign currency re-measurement are included in other income, net in the consolidated statements of operations, and, to date, have not been material.</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Fair value accounting is applied to all financial assets and liabilities and non-financial assets and liabilities that are recognized or disclosed in the financial statements on a recurring basis. The carrying amounts reflected in the consolidated balance sheets for cash equivalents, accounts receivable, accounts payable, accrued liabilities and other current liabilities, approximate fair value due to the short-term nature.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Marketable Debt Securities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that are readily convertible into cash and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 The Company classifies the cash equivalents and marketable debt security investments as “available-for-sale” (AFS) securities.</w:t>
      </w:r>
    </w:p>
    <w:p>
      <w:pPr>
        <w:spacing w:after="0" w:line="1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Company estimates an expected loss whenever a security’s fair value is below its amortized cost basis. The expected loss is computed at an individual security level using the discounted cash flow method with the effective interest rate on the purchase date. In the determination of credit-related losses, the Company excludes securities with zero loss expectation such as assets backed by government agencies. There are various factors considered in its assessment of credit-related losses, including the extent to which the fair value is less than the amortized cost basis, adverse conditions related to an industry or an underlying loan obligator, the payment structure of the security, changes to the rating of the security and other factors that may affect the security credit. The credit-related portion of the loss is recognized in other income, net in the consolidated statements of operations but is limited to the difference between the fair value and the amortized cost basis of the security, adjusted for accrued interest. The non-credit-related portion of the loss is recognized in accumulated other comprehensive loss in the consolidated balance sheets.</w:t>
      </w:r>
    </w:p>
    <w:p>
      <w:pPr>
        <w:spacing w:after="0" w:line="19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fair value of money market funds and fixed deposits using quoted prices in active markets for identical assets and classifies them within Level 1. The fair value of the Company’s investments in other debt securities are obtained based on quoted prices for similar asserts in active markets, or model driven valuations using significant inputs derived from or corroborated by observable market data and are classified within Level 2. The Company does not have any investments classified within Level 3.</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75" w:name="page76"/>
    <w:bookmarkEnd w:id="7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to secure certain transactions in a foreign entity. As of January 31, 2025 and 2024, the restricted cash was immaterial, respectively. The following table presents cash, cash equivalents and restricted cash reported on the consolidated balance sheets, and the sums are presented on the 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56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11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169"/>
        </w:trPr>
        <w:tc>
          <w:tcPr>
            <w:tcW w:w="5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144,914</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113,541</w:t>
            </w:r>
          </w:p>
        </w:tc>
        <w:tc>
          <w:tcPr>
            <w:tcW w:w="100" w:type="dxa"/>
            <w:vAlign w:val="bottom"/>
            <w:shd w:val="clear" w:color="auto" w:fill="CFF0FC"/>
          </w:tcPr>
          <w:p>
            <w:pPr>
              <w:spacing w:after="0"/>
              <w:rPr>
                <w:sz w:val="21"/>
                <w:szCs w:val="2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49"/>
        </w:trPr>
        <w:tc>
          <w:tcPr>
            <w:tcW w:w="5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 presented in the consolidated statements of cash flows</w:t>
            </w:r>
          </w:p>
        </w:tc>
        <w:tc>
          <w:tcPr>
            <w:tcW w:w="106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144,921</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Company’s accounts receivables are recorded at invoiced amounts less allowance for any credit losses. In arrangements where revenue recognition occurs in advance of invoicing, an unbilled receivable is recorded, less allowance for any credit losses, within accounts receivable, when collection of these unbilled amounts are conditional only on the passage of time. The Company recognizes credit losses based on a forward-looking current expected credit losses (CECL). The Company makes estimates of expected credit losses based upon its assessment of various factors, including historical collection experience, the age of accounts receivable balances, credit quality of its customers, current economic conditions, reasonable and supportable forecasts of future economic conditions, and other factors that may affect its ability to collect from customers. The changes in allowance for credit losses are recognized in the consolidated statement of operations. The uncollectible accounts receivables are written off in the period in which a determination is made that all commercially reasonable means of recovering them have been exhausted. There were no material credit losses and write-offs of accounts receivable for the fiscal years ended January 31, 2025, 2024 and 2023, respectively. There was no material allowance recorded as of January 31, 2025 and 2024, respectively.</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and depreciated using the straight-line method over the estimated useful life for computer equipment, computer software, machinery, equipment and furniture and fixtures. Leasehold improvements are amortized over the shorter of the lease term or their estimated useful lives. Repairs and maintenance are charged to expense as incurred.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intangible assets primarily consist of software licenses as well as developed technology, customer relationships and trade name that were acquired from business combinations. The intangible asset acquired from a business combination is amortized over its estimated useful life.</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a noncancelable on-premise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 The internal-use software license is amortized over its license term.</w:t>
      </w:r>
    </w:p>
    <w:p>
      <w:pPr>
        <w:spacing w:after="0" w:line="180"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expenses the cost of purchased software that is to be sold, leased or otherwise marketed as part of a product until the technological feasibility of the product has been established. Once the technological feasibility of the product, to be externally marketed, has been established or where the software has an alternative future use, the Company capitalizes the cost of the purchased software until the associated product is available for general release to customers, at which point the capitalized cost is amortized on a product-by-product basis over the remaining estimated economic life of the product.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6" w:name="page77"/>
    <w:bookmarkEnd w:id="7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accordance with the Accounting Standards Codification (ASC) Topic 842, Leases, the Company recognizes leases as operating lease right-of-use (“ROU”) assets and corresponding lease liabilities at the lease commencement date based on the present value of future lease payments, while recognizing lease expenses under straight-line method through the lease term. The Company also elected the practical expedient that does not recognize ROU assets and lease liabilities that arise from short-term (12 months or less) leases.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asset and liability calculation if it is reasonably certain that the Company will exercise the option. The Company's finance leases were immaterial as of January 31, 2025 and 2024, respectively.</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Company does not amortize goodwill. The Company tests goodwill for impairment at least annually in the fourth fiscal quarter, or sooner whenever events or changes in circumstances indicate that the asset may be impaired. There is only one single reporting unit for goodwill impairment test purposes based on the Company’s business and reporting structure. The Company is permitted to first assess qualitative factors to determine whether the two step goodwill impairment test is necessary. Further testing is only required if the Company determines, based on the qualitative assessment, that it is more likely than not that the reporting unit’s fair value is less than its carrying amount. Otherwise, no further impairment testing is required. Qualitative factors include industry and market considerations, overall financial performance, and other relevant events and factors affecting the reporting unit</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No goodwill impairment has been identified to date based on the Company’s qualitative factors assessment.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Excluding Goodwill</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reviews property and equipment and intangible assets, excluding goodwill, for impairment at least annually in the fourth fiscal quarter or whenever events or changes in circumstances indicate that the carrying amount of an asset, or asset group, may not be recoverable. Determination of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for the amount by which the carrying amount of the asset or asset group exceeds the estimated fair value of the asset or asset group. Fair value is determined based on the estimated discounted future cash flows expected to be generated by the asset or asset group. Events or changes in circumstances that may indicate that an asset is impaired include significant decreases in the market value of an asset, significant underperformance relative to expected historical or projected future results of operations, a change in the extent or manner in which an asset is utilized, significant declines in the estimated fair value of the overall Company for a sustained period, shifts in technology, loss of key management or personnel, changes in the Company’s operating model or strategy and competitive forces. There has been no occurrence of events or indications to date that would trigger an impairment. As such, no impairment charge has been recognized as of January 31, 2025.</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investments in privately held companies as equity investments and reports the investments in other non-current assets in the consolidated balance sheets. The Company chooses to measure these equity investments that do not have readily determinable fair value at cost minus any recorded impairments, adjusted for subsequent observable price changes in transactions for an identical or similar investment of the same issuers. Upon determining that an impairment or observable price change exists, the Company records any adjustment to the fair value of the investment through other income, net in the consolidated statements of operations. There were no significant changes in the fair value of the investments and the Company did not recognize significant impairment losses related to the investments in the fiscal year ended January 31, 2025. There was approximately $1.2 million of impairment recognized in the fiscal year ended January 31, 2024, while approximately $0.7 million of realized gain was recognized in the fiscal year ended January 31,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7" w:name="page78"/>
    <w:bookmarkEnd w:id="7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ASC 606, Revenue from Contracts with Customers, the Company recognizes revenue when control of its goods and services is transferred to its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For a limited number of contracts that include volume-based tiered pricing,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a point in time upon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19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also enters into various project service agreements with certain customers, including development funding agreements subject to certain refund conditions. In determining whether a development funding agreement constitutes a contract with a customer, the Company assesses whether the substantive and genuine financial risk has been transferred to the funding party and whether the services provided to the funding party are an output of the Company's ordinary activities in exchange for consideration.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its SoC into the customer’s product. Accordingly, the Company determines that they are not separately identifiable and shall be treated as a single performance obligation. For fixed-price project service contracts, the Company recognizes revenue either over time as services are provided using an input method based on contract costs incurred to date compared to total estimated contract cost, or at a point in time upon completion and acceptance by the customer, depending on the terms of the arrangement. For project service contracts that are billed at a fixed rate for each hour of service provided, the Company recognizes revenue in the amount for which the Company has the right to invoice as the Company believes the amount invoiced directly corresponds with the value to the customer of its performance completed to date.</w:t>
      </w:r>
    </w:p>
    <w:p>
      <w:pPr>
        <w:spacing w:after="0" w:line="82"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the Company’s customers. The Company records contract assets when revenue is recognized prior to invoicing. The Company’s contract assets are primarily related to the satisfied but unbilled performance obligations associated with project service agreements at the reporting date. As of January 31, 2025 and 2024, the contract assets for these unbilled receivables were not material, respectively. The Company’s contract liabilities consist of deferred revenue. The deferred revenue is primarily related to the nonrecurring engineering charges that are either invoiced or paid but performance obligations are not satisfied, as well as the portion of a transaction price that exceeds the weighted average selling price for products sold to date under tiered-pricing contracts that contain material rights. The deferred revenue is expected to be recognized over the period when performance obligations are satisfied associated with project service agreements, or over the course of the contract when products are delivered for future pricing below the weighted average selling price of the contract. The Company also elects not to disclose the value of unsatisfied or partially unsatisfied performance obligations for contracts with original expected contract duration of one year or less, and elects to exclude amounts collected from customers for all sales taxes from the transaction price.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commitments, allocation of facility costs, amortization of developed technology and software licenses, warranty and other general overhead costs.</w:t>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costs, product development costs, outside services, costs of development for software and hardware tools, costs and amortization of licensing intellectual property from third parties for product development, costs of fabrication of masks for prototype products, equipment expenses, depreciation of equipment and tools and allocation of facility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of personnel costs, travel and trade show costs, legal expenses, amortization of trade name and customer relationships, professional services and occupancy costs. Advertising expenses were not material for the fiscal years ended January 31, 2025, 2024 and 2023,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measures stock-based compensation for equity awards based on the estimated fair value on the grant date, and recognizes that compensation as expense using the straight-line attribution method over the requisite service period, which is typically the vesting period of each award. The Company determines the fair value of restricted stock units with service conditions based on the fair market value of its ordinary shares on the grant date. The Company uses the Lattice pricing model and performs Monte Carlo Simulation to evaluate the fair value of restricted stock units with market conditions. The Company also uses the Black-Scholes option pricing model to determine the fair value of shares to be issued under its employee stock purchase plan, or ESPP, at the commencement of an offering period. The Company elects to account for forfeitures as they occur.</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p>
    <w:p>
      <w:pPr>
        <w:spacing w:after="0" w:line="7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consolidated statements of operations for the periods in which the adjustment is determined to be required.</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2" w:right="399" w:bottom="1440" w:gutter="0" w:footer="0" w:header="0"/>
        </w:sectPr>
      </w:pPr>
    </w:p>
    <w:bookmarkStart w:id="79" w:name="page80"/>
    <w:bookmarkEnd w:id="7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w:t>
      </w:r>
    </w:p>
    <w:p>
      <w:pPr>
        <w:spacing w:after="0" w:line="22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ESPP and unvested restricted stock units. The dilutive effect of potentially dilutive securities is reflected in diluted earnings (losses) per share by application of the treasury stock method.</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Comprehensive loss includes unrealized gains or losses from available-for-sale securities that are excluded from net loss.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This new guidance requires public entities to disclose significant segment expenses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segment items on an annual and interim basis and to provide in interim periods all disclosures about a reportable segment’s profit or loss and assets that are currently required annually. Public entities with a single reportable segment are required to provide the new disclosures and all the disclosures required under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ASU shall be applied retrospectively to all periods presented in financial statements and is effective for fiscal years beginning after December 15, 2023 and for interim periods beginning after December 15, 2024. The Company adopted this new standard in the fourth quarter of fiscal year 2025, and included additional disclosures on significant segment expenses, in addition to its current segment disclosures. Refer to Note 16 - Segment Reporting for further information.</w:t>
      </w:r>
    </w:p>
    <w:p>
      <w:pPr>
        <w:spacing w:after="0" w:line="185"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new guidance requires additional disclosures related to effective tax rate reconciliation, disaggregated income taxes paid and other modified income tax-related disclosures. The ASU shall be applied on a prospective basis with retrospective application permitted, and is effective for fiscal years beginning after December 15, 2024. Early adoption is permitted. The Company is currently evaluating the impact of adoption of this new guidance on its consolidated financial statements and disclosures.</w:t>
      </w:r>
    </w:p>
    <w:p>
      <w:pPr>
        <w:spacing w:after="0" w:line="18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 Update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Disaggregation of Income Statement Expenses</w:t>
      </w:r>
      <w:r>
        <w:rPr>
          <w:rFonts w:ascii="Times New Roman" w:cs="Times New Roman" w:eastAsia="Times New Roman" w:hAnsi="Times New Roman"/>
          <w:sz w:val="18"/>
          <w:szCs w:val="18"/>
          <w:color w:val="auto"/>
        </w:rPr>
        <w:t>. This new guidance requires public entities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disclosures, in the notes to the financial statements, of certain categories of expenses that are included in expense line items on the face of income statement. The ASU may be applied prospectively or retrospectively and is effective for fiscal years beginning after December 15, 2026 and for interim periods beginning after December 15, 2027. Early adoption is permitted. The Company is currently evaluating the impact of adoption of this new guidance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its cash in money market funds, fixed deposits and marketable debt securities that are denominated in United States dollars. The marketable debt security portfolio consists of commercial paper, corporate bonds, asset-backed securities and U.S. government securities. All of the investments are classified as available-for-sale securities and reported at fair value in the consolidated balance sheets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5800" w:type="dxa"/>
            <w:vAlign w:val="bottom"/>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5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deposits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12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109,725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120" w:type="dxa"/>
            <w:vAlign w:val="bottom"/>
            <w:shd w:val="clear" w:color="auto" w:fill="CFF0FC"/>
          </w:tcPr>
          <w:p>
            <w:pPr>
              <w:spacing w:after="0"/>
              <w:rPr>
                <w:sz w:val="19"/>
                <w:szCs w:val="19"/>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372"/>
        </w:trPr>
        <w:tc>
          <w:tcPr>
            <w:tcW w:w="58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5800" w:type="dxa"/>
            <w:vAlign w:val="bottom"/>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4"/>
                <w:szCs w:val="14"/>
                <w:color w:val="auto"/>
              </w:rPr>
            </w:pPr>
          </w:p>
        </w:tc>
      </w:tr>
      <w:tr>
        <w:trPr>
          <w:trHeight w:val="124"/>
        </w:trPr>
        <w:tc>
          <w:tcPr>
            <w:tcW w:w="5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jc w:val="right"/>
              <w:ind w:right="74"/>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5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0"/>
                <w:szCs w:val="20"/>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deposits</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12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(135 )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(96 )</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12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120" w:type="dxa"/>
            <w:vAlign w:val="bottom"/>
            <w:shd w:val="clear" w:color="auto" w:fill="CFF0FC"/>
          </w:tcPr>
          <w:p>
            <w:pPr>
              <w:spacing w:after="0"/>
              <w:rPr>
                <w:sz w:val="18"/>
                <w:szCs w:val="18"/>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113,299</w:t>
            </w:r>
          </w:p>
        </w:tc>
        <w:tc>
          <w:tcPr>
            <w:tcW w:w="24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113,116</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-1490980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-1473835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-1490980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-1473835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-1490980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-1473835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-1490980</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-1473835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6" w:lineRule="exact"/>
        <w:rPr>
          <w:sz w:val="20"/>
          <w:szCs w:val="20"/>
          <w:color w:val="auto"/>
        </w:rPr>
      </w:pPr>
    </w:p>
    <w:p>
      <w:pPr>
        <w:ind w:right="18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breakdown of unrealized losses as of January 31, 2025 and 2024, respectively, aggregated by investment category and length of time that individual securities have been in a continuous loss position: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4"/>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4"/>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240" w:type="dxa"/>
            <w:vAlign w:val="bottom"/>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ind w:left="9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59"/>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gridSpan w:val="3"/>
          </w:tcPr>
          <w:p>
            <w:pPr>
              <w:jc w:val="center"/>
              <w:ind w:right="697"/>
              <w:spacing w:after="0" w:line="124"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380" w:type="dxa"/>
            <w:vAlign w:val="bottom"/>
            <w:gridSpan w:val="2"/>
          </w:tcPr>
          <w:p>
            <w:pPr>
              <w:jc w:val="center"/>
              <w:ind w:left="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(169 )</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51,632</w:t>
            </w:r>
          </w:p>
        </w:tc>
        <w:tc>
          <w:tcPr>
            <w:tcW w:w="220" w:type="dxa"/>
            <w:vAlign w:val="bottom"/>
            <w:vMerge w:val="restart"/>
            <w:shd w:val="clear" w:color="auto" w:fill="CFF0FC"/>
          </w:tcPr>
          <w:p>
            <w:pPr>
              <w:spacing w:after="0"/>
              <w:rPr>
                <w:sz w:val="16"/>
                <w:szCs w:val="16"/>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(336 )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380" w:type="dxa"/>
            <w:vAlign w:val="bottom"/>
            <w:gridSpan w:val="2"/>
            <w:vMerge w:val="restart"/>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FF0FC"/>
          </w:tcPr>
          <w:p>
            <w:pPr>
              <w:spacing w:after="0"/>
              <w:rPr>
                <w:sz w:val="16"/>
                <w:szCs w:val="16"/>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62,928</w:t>
            </w:r>
          </w:p>
        </w:tc>
        <w:tc>
          <w:tcPr>
            <w:tcW w:w="680" w:type="dxa"/>
            <w:vAlign w:val="bottom"/>
            <w:gridSpan w:val="2"/>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(372 )</w:t>
            </w:r>
          </w:p>
        </w:tc>
        <w:tc>
          <w:tcPr>
            <w:tcW w:w="0" w:type="dxa"/>
            <w:vAlign w:val="bottom"/>
          </w:tcPr>
          <w:p>
            <w:pPr>
              <w:spacing w:after="0"/>
              <w:rPr>
                <w:sz w:val="1"/>
                <w:szCs w:val="1"/>
                <w:color w:val="auto"/>
              </w:rPr>
            </w:pPr>
          </w:p>
        </w:tc>
      </w:tr>
      <w:tr>
        <w:trPr>
          <w:trHeight w:val="214"/>
        </w:trPr>
        <w:tc>
          <w:tcPr>
            <w:tcW w:w="3240" w:type="dxa"/>
            <w:vAlign w:val="bottom"/>
            <w:shd w:val="clear" w:color="auto" w:fill="CFF0FC"/>
          </w:tcPr>
          <w:p>
            <w:pPr>
              <w:ind w:left="20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80" w:type="dxa"/>
            <w:vAlign w:val="bottom"/>
            <w:vMerge w:val="continue"/>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680" w:type="dxa"/>
            <w:vAlign w:val="bottom"/>
            <w:gridSpan w:val="2"/>
            <w:vMerge w:val="continue"/>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4"/>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4"/>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240" w:type="dxa"/>
            <w:vAlign w:val="bottom"/>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ind w:left="9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gridSpan w:val="3"/>
          </w:tcPr>
          <w:p>
            <w:pPr>
              <w:jc w:val="center"/>
              <w:ind w:right="697"/>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380" w:type="dxa"/>
            <w:vAlign w:val="bottom"/>
            <w:gridSpan w:val="2"/>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17,413</w:t>
            </w:r>
          </w:p>
        </w:tc>
        <w:tc>
          <w:tcPr>
            <w:tcW w:w="6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(65 )</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0"/>
        </w:trPr>
        <w:tc>
          <w:tcPr>
            <w:tcW w:w="3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28,891</w:t>
            </w:r>
          </w:p>
        </w:tc>
        <w:tc>
          <w:tcPr>
            <w:tcW w:w="22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(99 )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380" w:type="dxa"/>
            <w:vAlign w:val="bottom"/>
            <w:gridSpan w:val="2"/>
            <w:vMerge w:val="restart"/>
          </w:tcPr>
          <w:p>
            <w:pPr>
              <w:jc w:val="center"/>
              <w:ind w:left="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(278 )</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49,495</w:t>
            </w: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(377 )</w:t>
            </w:r>
          </w:p>
        </w:tc>
        <w:tc>
          <w:tcPr>
            <w:tcW w:w="0" w:type="dxa"/>
            <w:vAlign w:val="bottom"/>
          </w:tcPr>
          <w:p>
            <w:pPr>
              <w:spacing w:after="0"/>
              <w:rPr>
                <w:sz w:val="1"/>
                <w:szCs w:val="1"/>
                <w:color w:val="auto"/>
              </w:rPr>
            </w:pPr>
          </w:p>
        </w:tc>
      </w:tr>
      <w:tr>
        <w:trPr>
          <w:trHeight w:val="194"/>
        </w:trPr>
        <w:tc>
          <w:tcPr>
            <w:tcW w:w="32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-1353820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-1336675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-1353820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-1336675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-1353820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-1336675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-1353820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-1336675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-1353820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-1336675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-1336675</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-281940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-281940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-281940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-281940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-281940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1" w:name="page82"/>
    <w:bookmarkEnd w:id="81"/>
    <w:tbl>
      <w:tblPr>
        <w:tblLayout w:type="fixed"/>
        <w:tblInd w:w="226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17"/>
        </w:trPr>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ind w:right="101"/>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r>
      <w:tr>
        <w:trPr>
          <w:trHeight w:val="173"/>
        </w:trPr>
        <w:tc>
          <w:tcPr>
            <w:tcW w:w="4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169"/>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38,103</w:t>
            </w:r>
          </w:p>
        </w:tc>
        <w:tc>
          <w:tcPr>
            <w:tcW w:w="8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75,013</w:t>
            </w:r>
          </w:p>
        </w:tc>
        <w:tc>
          <w:tcPr>
            <w:tcW w:w="80" w:type="dxa"/>
            <w:vAlign w:val="bottom"/>
          </w:tcPr>
          <w:p>
            <w:pPr>
              <w:spacing w:after="0"/>
              <w:rPr>
                <w:sz w:val="18"/>
                <w:szCs w:val="18"/>
                <w:color w:val="auto"/>
              </w:rPr>
            </w:pPr>
          </w:p>
        </w:tc>
      </w:tr>
      <w:tr>
        <w:trPr>
          <w:trHeight w:val="250"/>
        </w:trPr>
        <w:tc>
          <w:tcPr>
            <w:tcW w:w="4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113,116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-24765</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contractual maturities of the investments at January 31, 2025 and 2024 were as follows: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17"/>
        </w:trPr>
        <w:tc>
          <w:tcPr>
            <w:tcW w:w="4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ind w:right="101"/>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r>
      <w:tr>
        <w:trPr>
          <w:trHeight w:val="173"/>
        </w:trPr>
        <w:tc>
          <w:tcPr>
            <w:tcW w:w="4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35,405</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57,216</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in 1-5 years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55,900</w:t>
            </w:r>
          </w:p>
        </w:tc>
        <w:tc>
          <w:tcPr>
            <w:tcW w:w="80" w:type="dxa"/>
            <w:vAlign w:val="bottom"/>
          </w:tcPr>
          <w:p>
            <w:pPr>
              <w:spacing w:after="0"/>
              <w:rPr>
                <w:sz w:val="18"/>
                <w:szCs w:val="18"/>
                <w:color w:val="auto"/>
              </w:rPr>
            </w:pPr>
          </w:p>
        </w:tc>
      </w:tr>
      <w:tr>
        <w:trPr>
          <w:trHeight w:val="250"/>
        </w:trPr>
        <w:tc>
          <w:tcPr>
            <w:tcW w:w="4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113,116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-24765</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unrealized gains and losses on the available-for-sale securities were primarily caused by fluctuations in market value and interest rates as a result of the economic environment. The Company estimates the expected losses at an individual security level whenever a security’s fair value is below its amortized cost basis using the discounted cash flow method. The credit-related portion of the loss is recognized in other income, net in the consolidated statements of operations but is limited to the difference between the fair value and the amortized cost basis of the security, adjusted for accrued interest. The non-credit-related portion of the loss is recognized in accumulated other comprehensive loss in the consolidated balance sheets. The credit-related losses were not material for the fiscal years ended January 31, 2025, 2024 and 2023, respectively.</w:t>
      </w:r>
    </w:p>
    <w:p>
      <w:pPr>
        <w:spacing w:after="0" w:line="18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the fair value.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and fixed deposits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0" w:right="379" w:bottom="1440" w:gutter="0" w:footer="0" w:header="0"/>
        </w:sectPr>
      </w:pPr>
    </w:p>
    <w:bookmarkStart w:id="82" w:name="page83"/>
    <w:bookmarkEnd w:id="82"/>
    <w:p>
      <w:pPr>
        <w:ind w:left="520"/>
        <w:spacing w:after="0"/>
        <w:rPr>
          <w:sz w:val="20"/>
          <w:szCs w:val="20"/>
          <w:color w:val="auto"/>
        </w:rPr>
      </w:pPr>
      <w:r>
        <w:rPr>
          <w:rFonts w:ascii="Times New Roman" w:cs="Times New Roman" w:eastAsia="Times New Roman" w:hAnsi="Times New Roman"/>
          <w:sz w:val="17"/>
          <w:szCs w:val="17"/>
          <w:color w:val="auto"/>
        </w:rPr>
        <w:t>The following tables present the fair value of the financial instruments measured on a recurring basis as of January 31, 2025 and 2024, respectively:</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3"/>
          </w:tcPr>
          <w:p>
            <w:pPr>
              <w:jc w:val="center"/>
              <w:ind w:right="612"/>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42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Fixed deposits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53"/>
        </w:trPr>
        <w:tc>
          <w:tcPr>
            <w:tcW w:w="5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124"/>
        </w:trPr>
        <w:tc>
          <w:tcPr>
            <w:tcW w:w="5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ind w:right="75"/>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3"/>
          </w:tcPr>
          <w:p>
            <w:pPr>
              <w:jc w:val="center"/>
              <w:ind w:right="612"/>
              <w:spacing w:after="0" w:line="124"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20" w:type="dxa"/>
            <w:vAlign w:val="bottom"/>
            <w:gridSpan w:val="2"/>
          </w:tcPr>
          <w:p>
            <w:pPr>
              <w:jc w:val="center"/>
              <w:ind w:left="5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deposits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113,116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420" w:type="dxa"/>
            <w:vAlign w:val="bottom"/>
            <w:gridSpan w:val="2"/>
          </w:tcPr>
          <w:p>
            <w:pPr>
              <w:jc w:val="center"/>
              <w:ind w:left="57"/>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105,820</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-1525270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-1508125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-1525270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-1508125</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-1525270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-1508125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-1525270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-1508125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Inventories at January 31, 2025 and 2024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Work-in-progress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62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As of January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4"/>
        </w:trPr>
        <w:tc>
          <w:tcPr>
            <w:tcW w:w="260" w:type="dxa"/>
            <w:vAlign w:val="bottom"/>
          </w:tcPr>
          <w:p>
            <w:pPr>
              <w:spacing w:after="0"/>
              <w:rPr>
                <w:sz w:val="10"/>
                <w:szCs w:val="10"/>
                <w:color w:val="auto"/>
              </w:rPr>
            </w:pPr>
          </w:p>
        </w:tc>
        <w:tc>
          <w:tcPr>
            <w:tcW w:w="860" w:type="dxa"/>
            <w:vAlign w:val="bottom"/>
          </w:tcPr>
          <w:p>
            <w:pPr>
              <w:jc w:val="center"/>
              <w:ind w:left="297"/>
              <w:spacing w:after="0" w:line="124"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5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760" w:type="dxa"/>
            <w:vAlign w:val="bottom"/>
          </w:tcPr>
          <w:p>
            <w:pPr>
              <w:spacing w:after="0"/>
              <w:rPr>
                <w:sz w:val="10"/>
                <w:szCs w:val="10"/>
                <w:color w:val="auto"/>
              </w:rPr>
            </w:pPr>
          </w:p>
        </w:tc>
      </w:tr>
      <w:tr>
        <w:trPr>
          <w:trHeight w:val="216"/>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277"/>
              <w:spacing w:after="0"/>
              <w:rPr>
                <w:sz w:val="20"/>
                <w:szCs w:val="20"/>
                <w:color w:val="auto"/>
              </w:rPr>
            </w:pPr>
            <w:r>
              <w:rPr>
                <w:rFonts w:ascii="Times New Roman" w:cs="Times New Roman" w:eastAsia="Times New Roman" w:hAnsi="Times New Roman"/>
                <w:sz w:val="18"/>
                <w:szCs w:val="18"/>
                <w:color w:val="auto"/>
              </w:rPr>
              <w:t>20,546</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18,933</w:t>
            </w:r>
          </w:p>
        </w:tc>
      </w:tr>
      <w:tr>
        <w:trPr>
          <w:trHeight w:val="234"/>
        </w:trPr>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277"/>
              <w:spacing w:after="0"/>
              <w:rPr>
                <w:sz w:val="20"/>
                <w:szCs w:val="20"/>
                <w:color w:val="auto"/>
              </w:rPr>
            </w:pPr>
            <w:r>
              <w:rPr>
                <w:rFonts w:ascii="Times New Roman" w:cs="Times New Roman" w:eastAsia="Times New Roman" w:hAnsi="Times New Roman"/>
                <w:sz w:val="18"/>
                <w:szCs w:val="18"/>
                <w:color w:val="auto"/>
              </w:rPr>
              <w:t>13,882</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10,110</w:t>
            </w:r>
          </w:p>
        </w:tc>
      </w:tr>
      <w:tr>
        <w:trPr>
          <w:trHeight w:val="209"/>
        </w:trPr>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center"/>
              <w:ind w:left="277"/>
              <w:spacing w:after="0"/>
              <w:rPr>
                <w:sz w:val="20"/>
                <w:szCs w:val="20"/>
                <w:color w:val="auto"/>
              </w:rPr>
            </w:pPr>
            <w:r>
              <w:rPr>
                <w:rFonts w:ascii="Times New Roman" w:cs="Times New Roman" w:eastAsia="Times New Roman" w:hAnsi="Times New Roman"/>
                <w:sz w:val="18"/>
                <w:szCs w:val="18"/>
                <w:color w:val="auto"/>
              </w:rPr>
              <w:t>34,428</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6300" w:space="720"/>
            <w:col w:w="4140"/>
          </w:cols>
          <w:pgMar w:left="320" w:top="1228" w:right="419" w:bottom="1440" w:gutter="0" w:footer="0" w:header="0"/>
          <w:type w:val="continuous"/>
        </w:sect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$4.7 million, $4.8 million and $3.9 million for the fiscal years ended January 31, 2025, 2024 and 2023, respectively. Property and equipment at January 31, 2025 and 2024 consisted of the following:</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 of January 31,</w:t>
            </w:r>
          </w:p>
        </w:tc>
      </w:tr>
      <w:tr>
        <w:trPr>
          <w:trHeight w:val="142"/>
        </w:trPr>
        <w:tc>
          <w:tcPr>
            <w:tcW w:w="53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Tools and equipment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(30,409 )</w:t>
            </w: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(26,600 )</w:t>
            </w:r>
          </w:p>
        </w:tc>
      </w:tr>
      <w:tr>
        <w:trPr>
          <w:trHeight w:val="209"/>
        </w:trPr>
        <w:tc>
          <w:tcPr>
            <w:tcW w:w="53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22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tcBorders>
              <w:top w:val="single" w:sz="8" w:color="CFF0FC"/>
            </w:tcBorders>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-453390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 of software licenses as well as developed technology, customer relationships and trade name that were acquired from business combinations.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type w:val="continuous"/>
        </w:sectPr>
      </w:pPr>
    </w:p>
    <w:bookmarkStart w:id="83" w:name="page84"/>
    <w:bookmarkEnd w:id="83"/>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January 31, 2025, software license liabilities of approximate $7.0 million were recorded in accrued and other current liabilities and $2.4 million were recorded in other long-term liabilities in the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January 31, 2025 and 2024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3"/>
          </w:tcPr>
          <w:p>
            <w:pPr>
              <w:jc w:val="center"/>
              <w:ind w:right="479"/>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 licenses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45,051</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(18,755 )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340" w:type="dxa"/>
            <w:vAlign w:val="bottom"/>
            <w:gridSpan w:val="2"/>
            <w:shd w:val="clear" w:color="auto" w:fill="CFF0FC"/>
          </w:tcPr>
          <w:p>
            <w:pPr>
              <w:jc w:val="center"/>
              <w:ind w:left="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41,329</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(12,029 )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(9,989 )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(6,961 )</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(4,767 )</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(3,300 )</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(1,161 )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(803 )</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81,951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(34,672 )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340" w:type="dxa"/>
            <w:vAlign w:val="bottom"/>
            <w:gridSpan w:val="2"/>
            <w:shd w:val="clear" w:color="auto" w:fill="CFF0FC"/>
          </w:tcPr>
          <w:p>
            <w:pPr>
              <w:jc w:val="center"/>
              <w:ind w:left="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78,229</w:t>
            </w:r>
          </w:p>
        </w:tc>
        <w:tc>
          <w:tcPr>
            <w:tcW w:w="4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(23,093 )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firstLine="554"/>
        <w:spacing w:after="0" w:line="254" w:lineRule="auto"/>
        <w:rPr>
          <w:sz w:val="20"/>
          <w:szCs w:val="20"/>
          <w:color w:val="auto"/>
        </w:rPr>
      </w:pPr>
      <w:r>
        <w:rPr>
          <w:rFonts w:ascii="Times New Roman" w:cs="Times New Roman" w:eastAsia="Times New Roman" w:hAnsi="Times New Roman"/>
          <w:sz w:val="18"/>
          <w:szCs w:val="18"/>
          <w:color w:val="auto"/>
        </w:rPr>
        <w:t>During the twelve months ended January 31, 2025, there were approximately $10.1 million of software licenses purchased and approximately $6.4 million of software licenses expired. The amortization expense associated with software licenses was approximately $12.7 million, $11.5 million and $7.5 million for the fiscal years ended January 31, 2025, 2024 and 2023, respectively. The amortization expense associated with acquisition-related intangible assets, including developed technology, customer relationship and trade name, was approximately $4.9 million, $4.9 million and $4.9 million for the fiscal years ended January 31, 2025, 2024 and 2023, respectively. As of January 31, 2025, the Company has not commenced amortization with respect to approximately $3.8 million of software licenses with alternative uses that are to be sold, leased or otherwise marketed as part of products. Once the associated products are available for general release to customers, the Company will commence amortization on a product-by-product basis over the remaining estimated economic life of the products. The expected future amortization expense related to these intangible assets as of January 31, 2025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9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5"/>
                <w:szCs w:val="15"/>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9200" w:type="dxa"/>
            <w:vAlign w:val="bottom"/>
            <w:gridSpan w:val="2"/>
            <w:vMerge w:val="continue"/>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85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8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8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2029</w:t>
            </w:r>
          </w:p>
        </w:tc>
        <w:tc>
          <w:tcPr>
            <w:tcW w:w="8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2030</w:t>
            </w:r>
          </w:p>
        </w:tc>
        <w:tc>
          <w:tcPr>
            <w:tcW w:w="8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FF0FC"/>
            </w:tcBorders>
            <w:shd w:val="clear" w:color="auto" w:fill="CFF0FC"/>
          </w:tcPr>
          <w:p>
            <w:pPr>
              <w:spacing w:after="0"/>
              <w:rPr>
                <w:sz w:val="21"/>
                <w:szCs w:val="21"/>
                <w:color w:val="auto"/>
              </w:rPr>
            </w:pPr>
          </w:p>
        </w:tc>
        <w:tc>
          <w:tcPr>
            <w:tcW w:w="92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Intangible assets are tested for impairment at least annually, in the fourth fiscal quarter, or more frequently if events or changes in circumstances indicate that the assets may be impaired. There were no intangible asset impairments for the fiscal years ended January 31, 2025, 2024 and 2023,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acquired in a business combination. The Company has one reporting segment and accordingly, there is no goodwill assignment based on reporting units (refer to Note 16). As of January 31, 2025 and 2024, the total carrying amount of goodwill was $303.6 million, respectively. The Company does not amortize goodwill. In the fourth quarter of fiscal year 2025, 2024 and 2023, the Company performed annual goodwill tests and there were no goodwill impairments for the fiscal years ended January 31, 2025, 2024 and 2023, respectively.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7.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Accrued and other current liabilities at January 31, 2025 and 2024 consisted of the following:</w:t>
      </w: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Accrued employee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Accrued product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Software license liabilities, current</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Development deposit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454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Other accrued liabilities</w:t>
      </w:r>
    </w:p>
    <w:p>
      <w:pPr>
        <w:spacing w:after="0" w:line="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 accrued and other current liabilities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As of January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24"/>
        </w:trPr>
        <w:tc>
          <w:tcPr>
            <w:tcW w:w="260" w:type="dxa"/>
            <w:vAlign w:val="bottom"/>
          </w:tcPr>
          <w:p>
            <w:pPr>
              <w:spacing w:after="0"/>
              <w:rPr>
                <w:sz w:val="10"/>
                <w:szCs w:val="10"/>
                <w:color w:val="auto"/>
              </w:rPr>
            </w:pPr>
          </w:p>
        </w:tc>
        <w:tc>
          <w:tcPr>
            <w:tcW w:w="860" w:type="dxa"/>
            <w:vAlign w:val="bottom"/>
          </w:tcPr>
          <w:p>
            <w:pPr>
              <w:jc w:val="right"/>
              <w:ind w:right="75"/>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760" w:type="dxa"/>
            <w:vAlign w:val="bottom"/>
          </w:tcPr>
          <w:p>
            <w:pPr>
              <w:spacing w:after="0"/>
              <w:rPr>
                <w:sz w:val="10"/>
                <w:szCs w:val="10"/>
                <w:color w:val="auto"/>
              </w:rPr>
            </w:pPr>
          </w:p>
        </w:tc>
      </w:tr>
      <w:tr>
        <w:trPr>
          <w:trHeight w:val="216"/>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16,610</w:t>
            </w:r>
          </w:p>
        </w:tc>
      </w:tr>
      <w:tr>
        <w:trPr>
          <w:trHeight w:val="216"/>
        </w:trPr>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18,290</w:t>
            </w:r>
          </w:p>
        </w:tc>
      </w:tr>
      <w:tr>
        <w:trPr>
          <w:trHeight w:val="216"/>
        </w:trPr>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r>
      <w:tr>
        <w:trPr>
          <w:trHeight w:val="216"/>
        </w:trPr>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r>
      <w:tr>
        <w:trPr>
          <w:trHeight w:val="209"/>
        </w:trPr>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80,781</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2">
            <w:col w:w="6300" w:space="720"/>
            <w:col w:w="4220"/>
          </w:cols>
          <w:pgMar w:left="320" w:top="1211" w:right="339" w:bottom="1440" w:gutter="0" w:footer="0" w:header="0"/>
          <w:type w:val="continuous"/>
        </w:sectPr>
      </w:pPr>
    </w:p>
    <w:p>
      <w:pPr>
        <w:ind w:right="60" w:firstLine="599"/>
        <w:spacing w:after="0" w:line="258" w:lineRule="auto"/>
        <w:rPr>
          <w:sz w:val="20"/>
          <w:szCs w:val="20"/>
          <w:color w:val="auto"/>
        </w:rPr>
      </w:pPr>
      <w:r>
        <w:rPr>
          <w:rFonts w:ascii="Times New Roman" w:cs="Times New Roman" w:eastAsia="Times New Roman" w:hAnsi="Times New Roman"/>
          <w:sz w:val="18"/>
          <w:szCs w:val="18"/>
          <w:color w:val="auto"/>
        </w:rPr>
        <w:t>The timing of SoC development and invoicing from outside foundries usually results in the fluctuation of accrued product development costs. The accrued employee compensation primarily consists of accrued payroll and accrued employee benefits, as well as employee stock purchase plan withholding. For the accrued employee compensation as of January 31, 2024, approximately $4.1 million of annual bonus was paid in fiscal year 2025, of which $1.1 million was paid in cash and $3.0 million was settled with fully vested restricted stock units. The $13.5 million of development deposit liability as of January 31, 2025 represents a cash advance from a customer for funding a development project that is subject to certain refund conditions.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lease obligations primarily consist of operating leases for the Company's headquarters and its foreign subsidiaries. During the twelve months ended January 31, 2025, the Company extended certain facility leases for its international offices with lease periods expiring between fiscal years 2027 and 2031. An aggregate of approximately $3.6 million of additional operating lease ROU and corresponding lease liabilities were recorded in the consolidated balance sheets as a result of these lease extensions.</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entered into a new office lease for its headquarters in Santa Clara, California for 104 months beginning from September 1, 2025 to April 30, 2034. As of January 31, 2025, the lease has not commenced as the facility is not available to use. The corresponding ROU and lease liabilities will be recorded in the balance sheet upon lease commencement date. The total future undiscounted cash payments are approximately $15.7 million and will be paid through the lease term.</w:t>
      </w:r>
    </w:p>
    <w:p>
      <w:pPr>
        <w:spacing w:after="0" w:line="180"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For the fiscal years ended January 31, 2025, 2024 and 2023, the operating lease expense was approximately $3.8 million, $3.7 million and $3.7 million, respectively. The Company's short-term leases and finance leases were immaterial as of January 31, 2025 and 2024,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702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5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r>
      <w:tr>
        <w:trPr>
          <w:trHeight w:val="142"/>
        </w:trPr>
        <w:tc>
          <w:tcPr>
            <w:tcW w:w="7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760" w:type="dxa"/>
            <w:vAlign w:val="bottom"/>
            <w:shd w:val="clear" w:color="auto" w:fill="CFF0FC"/>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3,800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20" w:type="dxa"/>
            <w:vAlign w:val="bottom"/>
            <w:shd w:val="clear" w:color="auto" w:fill="CFF0FC"/>
          </w:tcPr>
          <w:p>
            <w:pPr>
              <w:spacing w:after="0"/>
              <w:rPr>
                <w:sz w:val="18"/>
                <w:szCs w:val="18"/>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changes arising from lease obtained and modifications</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3,604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the weighted average remaining lease term is 2.2 years, and the weighted average discount rate is 3.45%. Future minimum lease payments for the lease liabilities are as follows: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85" w:name="page86"/>
    <w:bookmarkEnd w:id="85"/>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2026</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2028</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2030</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Total future annual minimum lease payments</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Less: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28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73"/>
        </w:trPr>
        <w:tc>
          <w:tcPr>
            <w:tcW w:w="640" w:type="dxa"/>
            <w:vAlign w:val="bottom"/>
          </w:tcPr>
          <w:p>
            <w:pPr>
              <w:spacing w:after="0"/>
              <w:rPr>
                <w:sz w:val="15"/>
                <w:szCs w:val="15"/>
                <w:color w:val="auto"/>
              </w:rPr>
            </w:pPr>
          </w:p>
        </w:tc>
        <w:tc>
          <w:tcPr>
            <w:tcW w:w="28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124"/>
        </w:trPr>
        <w:tc>
          <w:tcPr>
            <w:tcW w:w="64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tcPr>
          <w:p>
            <w:pPr>
              <w:jc w:val="center"/>
              <w:ind w:right="555"/>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0"/>
                <w:szCs w:val="10"/>
                <w:color w:val="auto"/>
              </w:rPr>
            </w:pPr>
          </w:p>
        </w:tc>
      </w:tr>
      <w:tr>
        <w:trPr>
          <w:trHeight w:val="216"/>
        </w:trPr>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r>
      <w:tr>
        <w:trPr>
          <w:trHeight w:val="234"/>
        </w:trPr>
        <w:tc>
          <w:tcPr>
            <w:tcW w:w="6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0"/>
                <w:szCs w:val="20"/>
                <w:color w:val="auto"/>
              </w:rPr>
            </w:pPr>
          </w:p>
        </w:tc>
      </w:tr>
      <w:tr>
        <w:trPr>
          <w:trHeight w:val="205"/>
        </w:trPr>
        <w:tc>
          <w:tcPr>
            <w:tcW w:w="640" w:type="dxa"/>
            <w:vAlign w:val="bottom"/>
          </w:tcPr>
          <w:p>
            <w:pPr>
              <w:spacing w:after="0"/>
              <w:rPr>
                <w:sz w:val="17"/>
                <w:szCs w:val="17"/>
                <w:color w:val="auto"/>
              </w:rPr>
            </w:pPr>
          </w:p>
        </w:tc>
        <w:tc>
          <w:tcPr>
            <w:tcW w:w="27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5,408</w:t>
            </w:r>
          </w:p>
        </w:tc>
        <w:tc>
          <w:tcPr>
            <w:tcW w:w="60" w:type="dxa"/>
            <w:vAlign w:val="bottom"/>
          </w:tcPr>
          <w:p>
            <w:pPr>
              <w:spacing w:after="0"/>
              <w:rPr>
                <w:sz w:val="17"/>
                <w:szCs w:val="17"/>
                <w:color w:val="auto"/>
              </w:rPr>
            </w:pPr>
          </w:p>
        </w:tc>
      </w:tr>
      <w:tr>
        <w:trPr>
          <w:trHeight w:val="234"/>
        </w:trPr>
        <w:tc>
          <w:tcPr>
            <w:tcW w:w="640" w:type="dxa"/>
            <w:vAlign w:val="bottom"/>
          </w:tcPr>
          <w:p>
            <w:pPr>
              <w:spacing w:after="0"/>
              <w:rPr>
                <w:sz w:val="20"/>
                <w:szCs w:val="20"/>
                <w:color w:val="auto"/>
              </w:rPr>
            </w:pP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10"/>
        </w:trPr>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60" w:type="dxa"/>
            <w:vAlign w:val="bottom"/>
          </w:tcPr>
          <w:p>
            <w:pPr>
              <w:spacing w:after="0"/>
              <w:rPr>
                <w:sz w:val="18"/>
                <w:szCs w:val="18"/>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00" w:space="720"/>
            <w:col w:w="3520"/>
          </w:cols>
          <w:pgMar w:left="320" w:top="993"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Revenue</w:t>
      </w:r>
    </w:p>
    <w:p>
      <w:pPr>
        <w:spacing w:after="0" w:line="22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Deferred revenue is primarily related to nonrecurring engineering charges that are either invoiced or paid but for which the related performance obligations are not yet satisfied, as well as, for product shipments, a portion of the transaction price that exceeds the weighted average selling price for products sold to date under tiered-pricing contracts that contain material rights. During the twelve months ended January 31, 2025 and 2024, the amount recognized as revenue that was included in deferred revenue balance at the end of prior fiscal year was approximately $0.8 million and $2.2 million, respectively.</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January 31, 2025, the amount of remaining unsatisfied performance obligations on contracts, primarily consisting of NRE project service agreements and product purchase orders with original contract duration of more than one year, was approximately $47.0 million, of which approximately 77% is expected to be recognized within the next 12 months. This does not include amounts which have an original expected contract duration of one year or less and variable considerations with constraints.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January 31, 2025 and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40" w:type="dxa"/>
            <w:vAlign w:val="bottom"/>
          </w:tcPr>
          <w:p>
            <w:pPr>
              <w:spacing w:after="0"/>
              <w:rPr>
                <w:sz w:val="12"/>
                <w:szCs w:val="12"/>
                <w:color w:val="auto"/>
              </w:rPr>
            </w:pPr>
          </w:p>
        </w:tc>
        <w:tc>
          <w:tcPr>
            <w:tcW w:w="138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1380" w:type="dxa"/>
            <w:vAlign w:val="bottom"/>
            <w:shd w:val="clear" w:color="auto" w:fill="CFF0FC"/>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96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50"/>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380" w:type="dxa"/>
            <w:vAlign w:val="bottom"/>
            <w:tcBorders>
              <w:bottom w:val="single" w:sz="8" w:color="auto"/>
            </w:tcBorders>
            <w:shd w:val="clear" w:color="auto" w:fill="CFF0FC"/>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3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twelve months ended January 31, 2025, there were approximately $2.8 million of tax liabilities released due to lapse of related statutes of limitation and recognized as tax benefits in the consolidated statements of operations.</w:t>
      </w:r>
    </w:p>
    <w:p>
      <w:pPr>
        <w:spacing w:after="0" w:line="158" w:lineRule="exact"/>
        <w:rPr>
          <w:sz w:val="20"/>
          <w:szCs w:val="20"/>
          <w:color w:val="auto"/>
        </w:rPr>
      </w:pPr>
    </w:p>
    <w:p>
      <w:pPr>
        <w:ind w:left="520" w:right="9380" w:hanging="512"/>
        <w:spacing w:after="0" w:line="378" w:lineRule="auto"/>
        <w:tabs>
          <w:tab w:leader="none" w:pos="28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ind w:left="520"/>
        <w:spacing w:after="0"/>
        <w:rPr>
          <w:sz w:val="20"/>
          <w:szCs w:val="20"/>
          <w:color w:val="auto"/>
        </w:rPr>
      </w:pPr>
      <w:r>
        <w:rPr>
          <w:rFonts w:ascii="Times New Roman" w:cs="Times New Roman" w:eastAsia="Times New Roman" w:hAnsi="Times New Roman"/>
          <w:sz w:val="18"/>
          <w:szCs w:val="18"/>
          <w:color w:val="auto"/>
        </w:rPr>
        <w:t>Since the Company’s initial public offering, or IPO, a total of 20,000,000 preference shares, with a $0.00045 par value per share, were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preference shares issued and outstanding as of January 31, 2025 and 2024, respectively.</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and 2024, the following ordinary shares were reserved for future issuance under the Company’s equity plans and employee stock purchase plan: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4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0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91"/>
        </w:trPr>
        <w:tc>
          <w:tcPr>
            <w:tcW w:w="1700" w:type="dxa"/>
            <w:vAlign w:val="bottom"/>
          </w:tcPr>
          <w:p>
            <w:pPr>
              <w:spacing w:after="0"/>
              <w:rPr>
                <w:sz w:val="16"/>
                <w:szCs w:val="16"/>
                <w:color w:val="auto"/>
              </w:rPr>
            </w:pPr>
          </w:p>
        </w:tc>
        <w:tc>
          <w:tcPr>
            <w:tcW w:w="54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Shares reserved for options, restricted stock and restricted stock units</w:t>
            </w:r>
          </w:p>
        </w:tc>
        <w:tc>
          <w:tcPr>
            <w:tcW w:w="11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700" w:type="dxa"/>
            <w:vAlign w:val="bottom"/>
          </w:tcPr>
          <w:p>
            <w:pPr>
              <w:spacing w:after="0"/>
              <w:rPr>
                <w:sz w:val="20"/>
                <w:szCs w:val="20"/>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under equity plans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4,991,570</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4,492,705</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employee stock purchase 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3,636,591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2,834,384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30"/>
        </w:trPr>
        <w:tc>
          <w:tcPr>
            <w:tcW w:w="1700" w:type="dxa"/>
            <w:vAlign w:val="bottom"/>
          </w:tcPr>
          <w:p>
            <w:pPr>
              <w:spacing w:after="0"/>
              <w:rPr>
                <w:sz w:val="24"/>
                <w:szCs w:val="24"/>
                <w:color w:val="auto"/>
              </w:rPr>
            </w:pPr>
          </w:p>
        </w:tc>
        <w:tc>
          <w:tcPr>
            <w:tcW w:w="542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85</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type w:val="continuous"/>
        </w:sectPr>
      </w:pPr>
    </w:p>
    <w:bookmarkStart w:id="86" w:name="page87"/>
    <w:bookmarkEnd w:id="8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repurchased</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There were no shares repurchased in fiscal years 2025, 2024 and 2023. On May 29, 2024, the Company's Board of Directors approved an extension of the existing share repurchase program for an additional twelve months through June 30, 2025. As of January 31, 2025, there was approximately $49.0 million available for repurchases through June 30, 2025. Repurchases under the program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Repurchases are funded using working capital and any repurchased shares will be recorded as authorized but unissued shares.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Benefits and Stock-based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401(k) plan (the 401(k) Plan) for all of its eligible U.S. employees. Under the 401(k) Plan, eligible employees may contribute up to the Internal Revenue Service annual contribution limitation. The Company is responsible for administrative costs of the Plan. The Company’s contribution expense for the fiscal years ended January 31, 2025, 2024, and 2023 was approximately $0.7 million, $0.8 million and $0.8 million, respectively.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Plans</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Amended and Restated 2021 Equity Incentive Plan. </w:t>
      </w:r>
      <w:r>
        <w:rPr>
          <w:rFonts w:ascii="Times New Roman" w:cs="Times New Roman" w:eastAsia="Times New Roman" w:hAnsi="Times New Roman"/>
          <w:sz w:val="18"/>
          <w:szCs w:val="18"/>
          <w:color w:val="auto"/>
        </w:rPr>
        <w:t>The Amended and Restated 2021 Equity Incentive Plan, or 2021 EIP, permits the grant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ISOs, within the meaning of Section 422 of the Code, to employees of the Company and any of the Company’s subsidiary or parent corporations, and the grant of NSOs, stock appreciation rights, restricted stock, restricted stock units, and performance awards to employees, directors and consultants of the Company and any of the Company’s subsidiary or parent corporations’ employees and consultants. In the second quarter of fiscal year 2025, the Company's shareholders approved an increase of 1,750,000 shares to the ordinary shares reserved for issuance under the Amended and Restated 2021 EIP. Subject to adjustments upon changes in capitalization as provided under the 2021 EIP, the maximum aggregate number of ordinary shares that may be subject to awards and issued under the 2021 EIP will be equal to (a) 3,100,000 shares plus (i) any shares subject to awards granted under the Company’s 2012 Equity Incentive Plan (the “Prior Plan”) that, after the date the Prior Plan was terminated, are cancelled, expire or otherwise terminate without having been exercised in full or are forfeited to or repurchased by the Company due to failure to vest, and (ii) any shares that, as of immediately prior to the termination of the Prior Plan, were reserved but not issued pursuant to any awards granted under the Prior Plan and are not subject to any awards thereunder, with the maximum number of ordinary shares to be added to the 2021 EIP pursuant to clauses (i) and (ii) equal to 6,834,208 shares.</w:t>
      </w:r>
    </w:p>
    <w:p>
      <w:pPr>
        <w:spacing w:after="0" w:line="182"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Oculii Corp. 2017 Stock Option Plan. </w:t>
      </w:r>
      <w:r>
        <w:rPr>
          <w:rFonts w:ascii="Times New Roman" w:cs="Times New Roman" w:eastAsia="Times New Roman" w:hAnsi="Times New Roman"/>
          <w:sz w:val="18"/>
          <w:szCs w:val="18"/>
          <w:color w:val="auto"/>
        </w:rPr>
        <w:t>The Oculii Corp. 2017 Stock Option Plan, or 2017 Plan, was assumed as part of the acquisition of Oculii.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awards will be granted under the 2017 Plan. However, all outstanding stock options previously granted under the 2017 Plan will remain subject to the terms of the 2017 Plan and any outstanding stock options that are cancelled or forfeited due to failure to vest will immediately expire from the 2017 Plan.</w:t>
      </w:r>
    </w:p>
    <w:p>
      <w:pPr>
        <w:spacing w:after="0" w:line="1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Restricted stock and restricted stock units granted to new employees generally vest as to 1/4th of the shares on the first anniversary service date of the grant and 1/16th of the shares vest every 3 months thereafter, so as to be 100% vested on the fourth anniversary of the vesting commencement date.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Vesting schedules for other service condition or market condition awards vary and are subject to approval by the Board of Directors.</w:t>
      </w:r>
    </w:p>
    <w:p>
      <w:pPr>
        <w:spacing w:after="0" w:line="221"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Amended and Restated 2012 Employee Stock Purchase Plan. </w:t>
      </w:r>
      <w:r>
        <w:rPr>
          <w:rFonts w:ascii="Times New Roman" w:cs="Times New Roman" w:eastAsia="Times New Roman" w:hAnsi="Times New Roman"/>
          <w:sz w:val="18"/>
          <w:szCs w:val="18"/>
          <w:color w:val="auto"/>
        </w:rPr>
        <w:t>The Amended and Restated 2012 Employee Stock Purchase Plan, or ESPP, permits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eligible participants to purchase ordinary shares at a discount through contributions up to 15% of their eligible compensation, subject to any IRS limitations. The ESPP provides each offering and purchasing period of six months in duration. The purchase price is 85% of the lower of the closing price of the Company’s ordinary shares on the first trading day of each offering period or on the purchase date.</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fiscal year 2025, the Company added 994,543 shares, to the ordinary shares reserved for issuance, pursuant to an “evergreen” provision contained in the ESPP. Pursuant to such provision, on February 1st of each fiscal year, the number of ordinary shares reserved for issuance under the ESPP is automatically increased by a number equal to the lesser of (i) 1,500,000 ordinary shares, (ii) one and one quarter percent (1.25%) of the aggregate number of ordinary shares outstanding on such date, or (iii) an amount determined by the Company’s Board of Directors or a duly authorized committee of the Board of Directors.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7" w:name="page88"/>
    <w:bookmarkEnd w:id="87"/>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ectPr>
          <w:pgSz w:w="11900" w:h="16838" w:orient="portrait"/>
          <w:cols w:equalWidth="0" w:num="1">
            <w:col w:w="11200"/>
          </w:cols>
          <w:pgMar w:left="320" w:top="112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84"/>
        </w:trPr>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72"/>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r>
      <w:tr>
        <w:trPr>
          <w:trHeight w:val="216"/>
        </w:trPr>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71,236</w:t>
            </w:r>
          </w:p>
        </w:tc>
      </w:tr>
      <w:tr>
        <w:trPr>
          <w:trHeight w:val="234"/>
        </w:trPr>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36,325</w:t>
            </w:r>
          </w:p>
        </w:tc>
      </w:tr>
      <w:tr>
        <w:trPr>
          <w:trHeight w:val="209"/>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108,043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111,316</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111,158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-719455</wp:posOffset>
            </wp:positionV>
            <wp:extent cx="5700395"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-445135</wp:posOffset>
            </wp:positionV>
            <wp:extent cx="5700395"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-161925</wp:posOffset>
            </wp:positionV>
            <wp:extent cx="5700395" cy="162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80" w:space="720"/>
            <w:col w:w="4800"/>
          </w:cols>
          <w:pgMar w:left="320" w:top="1120" w:right="379" w:bottom="1440" w:gutter="0" w:footer="0" w:header="0"/>
          <w:type w:val="continuous"/>
        </w:sect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January 31, 2025 and 2024, approximately $6.2 million and $3.6 million of stock-based compensation expense, respectively, was accrued in accrued and other current liabilities in the consolidated balance sheets. Total unrecognized compensation cost related to unvested stock options at January 31, 2025 was $1.6 million and is expected to be recognized over a weighted-average period of 0.34 years. Total unrecognized compensation cost related to unvested restricted stock units at January 31, 2025 was $154.1 million and is expected to be recognized over a weighted-average period of 2.39 years.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were no material stock modifications in fiscal year 2025. In fiscal years 2024 and 2023, the Company and its Compensation Committee of the Board of Directors approved the acceleration of vesting of certain unvested equity awards and one-time compensation settled through the issuance of restricted stock units associated with departure of certain executives. As a result, there were 24,559 and 35,703 shares of restricted stock units accelerated in fiscal years 2024 and 2023, respectively, and approximately $1.6 million and $1.7 million of additional stock-based compensation expense, net, recognized in the fiscal years ended January 31, 2024 and 2023, respectively.</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employee stock purchase plan awards for the periods indicated:</w:t>
      </w:r>
    </w:p>
    <w:p>
      <w:pPr>
        <w:spacing w:after="0" w:line="155"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50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09"/>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Volatility</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r>
      <w:tr>
        <w:trPr>
          <w:trHeight w:val="216"/>
        </w:trPr>
        <w:tc>
          <w:tcPr>
            <w:tcW w:w="5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4.97 %</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5.11 %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2.32 %</w:t>
            </w:r>
          </w:p>
        </w:tc>
      </w:tr>
      <w:tr>
        <w:trPr>
          <w:trHeight w:val="216"/>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term (years)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r>
      <w:tr>
        <w:trPr>
          <w:trHeight w:val="216"/>
        </w:trPr>
        <w:tc>
          <w:tcPr>
            <w:tcW w:w="5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For ESPP shares, the expected term represents the term from the first day of the offering period to the purchase date. The Company calculates expected volatility based on its own historical stock price for a period commensurate with the expected term. The risk-free interest rate is derived from an average of the U.S. Treasury constant maturity rates for the respective periods most closely commensurate with the expected term. The expected dividend yield is zero because the Company has not historically paid dividends and has no present intention to pay dividends.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type w:val="continuous"/>
        </w:sectPr>
      </w:pPr>
    </w:p>
    <w:bookmarkStart w:id="88" w:name="page89"/>
    <w:bookmarkEnd w:id="88"/>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periods indicated: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Option Outstanding</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6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6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(in</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6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2022</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619,322</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(121,624 )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(10,618 )</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(2,289 )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2023</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484,791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(104,931 )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(926 )</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(5,616 )</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2024</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373,318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(144,519 )</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(2,112 )</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2025</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226,616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January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214,708</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563"/>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stock was $76.72 on January 31, 2025, as reported by The Nasdaq Global Select Market. The intrinsic value of exercised options is calculated based on the difference between the fair market value of the Company’s stock on the exercise date and the exercise price.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activities for the periods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2022</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2,651,135</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(1,513,972 )</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(112,978 )</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2023</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2,573,359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(1,220,608 )</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(225,512 )</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2024</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2,432,640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(1,106,546 )</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(159,140 )</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2025</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2,645,379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Total fair value of restricted stock units vested as of the respective vesting dates for the fiscal years ended January 31, 2025, 2024 and 2023 was approximately $64.0 million, $88.0 million, and $122.0 million, respectively. As of January 31, 2025, the aggregate intrinsic value of unvested restricted stock units was $203.0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13.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ordinary share for the periods indicated:</w:t>
      </w:r>
    </w:p>
    <w:p>
      <w:pPr>
        <w:spacing w:after="0" w:line="219"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42"/>
        </w:trPr>
        <w:tc>
          <w:tcPr>
            <w:tcW w:w="5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40" w:type="dxa"/>
            <w:vAlign w:val="bottom"/>
            <w:gridSpan w:val="8"/>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(117,126 )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(169,417 )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(65,386 )</w:t>
            </w: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8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41,303,287</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39,878,872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38,363,638</w:t>
            </w:r>
          </w:p>
        </w:tc>
        <w:tc>
          <w:tcPr>
            <w:tcW w:w="8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8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ordinary shares - diluted</w:t>
            </w: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41,303,287</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39,878,872</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38,363,638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97"/>
        </w:trPr>
        <w:tc>
          <w:tcPr>
            <w:tcW w:w="5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ordinary share:</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(2.84 )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(1.70 )</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8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8"/>
              <w:spacing w:after="0" w:line="196" w:lineRule="exact"/>
              <w:rPr>
                <w:sz w:val="20"/>
                <w:szCs w:val="20"/>
                <w:color w:val="auto"/>
              </w:rPr>
            </w:pPr>
            <w:r>
              <w:rPr>
                <w:rFonts w:ascii="Times New Roman" w:cs="Times New Roman" w:eastAsia="Times New Roman" w:hAnsi="Times New Roman"/>
                <w:sz w:val="18"/>
                <w:szCs w:val="18"/>
                <w:color w:val="auto"/>
              </w:rPr>
              <w:t>(2.84 )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(4.25 )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(1.70 )</w:t>
            </w: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-487680</wp:posOffset>
            </wp:positionV>
            <wp:extent cx="596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-470535</wp:posOffset>
            </wp:positionV>
            <wp:extent cx="596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-487680</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-470535</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-487680</wp:posOffset>
            </wp:positionV>
            <wp:extent cx="596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-470535</wp:posOffset>
            </wp:positionV>
            <wp:extent cx="596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-187960</wp:posOffset>
            </wp:positionV>
            <wp:extent cx="596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-170815</wp:posOffset>
            </wp:positionV>
            <wp:extent cx="596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60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03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-187960</wp:posOffset>
            </wp:positionV>
            <wp:extent cx="596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-170815</wp:posOffset>
            </wp:positionV>
            <wp:extent cx="596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net loss per ordinary share as their effect would have been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177,340</w:t>
            </w:r>
          </w:p>
        </w:tc>
        <w:tc>
          <w:tcPr>
            <w:tcW w:w="220" w:type="dxa"/>
            <w:vAlign w:val="bottom"/>
            <w:tcBorders>
              <w:right w:val="single" w:sz="8" w:color="CFF0FC"/>
            </w:tcBorders>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234,088</w:t>
            </w:r>
          </w:p>
        </w:tc>
        <w:tc>
          <w:tcPr>
            <w:tcW w:w="220" w:type="dxa"/>
            <w:vAlign w:val="bottom"/>
            <w:tcBorders>
              <w:lef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336,828</w:t>
            </w:r>
          </w:p>
        </w:tc>
        <w:tc>
          <w:tcPr>
            <w:tcW w:w="10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1,737,389</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1,549,026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220" w:type="dxa"/>
            <w:vAlign w:val="bottom"/>
            <w:tcBorders>
              <w:left w:val="single" w:sz="8" w:color="CFF0FC"/>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00" w:type="dxa"/>
            <w:vAlign w:val="bottom"/>
            <w:tcBorders>
              <w:left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1,929,464</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1,793,597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Income Taxes</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3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Loss before income taxes consisted of the following for the periods indicated: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left="755"/>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operations</w:t>
            </w:r>
          </w:p>
        </w:tc>
        <w:tc>
          <w:tcPr>
            <w:tcW w:w="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(35,572 )</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(33,953 )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(18,968 )</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Non-U.S. operations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(82,156 )</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(114,577 )</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(51,970 )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4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(117,728 )</w:t>
            </w: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(148,530 )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(70,938 )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-1525270</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-1525270</wp:posOffset>
            </wp:positionV>
            <wp:extent cx="514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-1525270</wp:posOffset>
            </wp:positionV>
            <wp:extent cx="514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03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03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provision (benefit) consisted of the following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114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 tax</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(3,525 )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state taxes</w:t>
            </w: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Non-U.S. foreign taxes</w:t>
            </w:r>
          </w:p>
        </w:tc>
        <w:tc>
          <w:tcPr>
            <w:tcW w:w="1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6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(955 )</w:t>
            </w: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5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federal tax</w:t>
            </w: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(4,231 )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state taxes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Non-U.S. foreign taxes</w:t>
            </w: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(366 )</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(4,597 )</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(5,552 )</w:t>
            </w: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366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jc w:val="right"/>
              <w:ind w:right="55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-1782445</wp:posOffset>
            </wp:positionV>
            <wp:extent cx="60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-1782445</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-1782445</wp:posOffset>
            </wp:positionV>
            <wp:extent cx="596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-1224915</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-1224915</wp:posOffset>
            </wp:positionV>
            <wp:extent cx="60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-1224915</wp:posOffset>
            </wp:positionV>
            <wp:extent cx="596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-933450</wp:posOffset>
            </wp:positionV>
            <wp:extent cx="603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-916305</wp:posOffset>
            </wp:positionV>
            <wp:extent cx="603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-933450</wp:posOffset>
            </wp:positionV>
            <wp:extent cx="603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-916305</wp:posOffset>
            </wp:positionV>
            <wp:extent cx="603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-933450</wp:posOffset>
            </wp:positionV>
            <wp:extent cx="596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-916305</wp:posOffset>
            </wp:positionV>
            <wp:extent cx="596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0" w:name="page91"/>
    <w:bookmarkEnd w:id="90"/>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consists of a Cayman Islands parent company with various foreign and U.S. subsidiaries. Effective December 31, 2019, the Company has structured its activities to comply with the International Tax Co-Operation (Economic Substance) Law, 2018 in the Cayman Islands. As part of the new structure, the Company is the general partner of a Canadian limited partnership, the ultimate beneficial owner, and is allocated all of the earnings of the partnership. The primary jurisdiction where our foreign earnings are derived is the Cayman Islands, where the Company is domiciled. Under the current laws of the Cayman Islands, the Company is not subject to tax on its income. For purposes of the reconciliation between the provision (benefit) for income taxes at the statutory rate and the effective tax rate, a notional U.S. 21% rate is applied to pretax income (loss) as a result of the following for the periods indicated, respectively:</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at U.S. notional statutory rate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(24,723 )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(31,191 )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(14,897 )</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U.S. state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foreign tax differential</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R&amp;D credit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(5,109 )</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(7,232 )</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(5,045 )</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FIN48 interest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(739 )</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 release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(2,766 )</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(10,188 )</w:t>
            </w: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(5,552 )</w:t>
            </w: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-170815</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Temporary differences that gave rise to significant portions of the Company’s deferred tax assets and liabilities at January 31, 2025 and 2024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and state credits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59,102</w:t>
            </w:r>
          </w:p>
        </w:tc>
        <w:tc>
          <w:tcPr>
            <w:tcW w:w="220" w:type="dxa"/>
            <w:vAlign w:val="bottom"/>
          </w:tcPr>
          <w:p>
            <w:pPr>
              <w:spacing w:after="0"/>
              <w:rPr>
                <w:sz w:val="18"/>
                <w:szCs w:val="18"/>
                <w:color w:val="auto"/>
              </w:rPr>
            </w:pPr>
          </w:p>
        </w:tc>
        <w:tc>
          <w:tcPr>
            <w:tcW w:w="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00" w:type="dxa"/>
            <w:vAlign w:val="bottom"/>
            <w:shd w:val="clear" w:color="auto" w:fill="CFF0FC"/>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not currently deductible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FF0FC"/>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b w:val="1"/>
                <w:bCs w:val="1"/>
                <w:color w:val="auto"/>
              </w:rPr>
              <w:t>Valuation allowance</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(68,047 )</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(60,036 )</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20" w:type="dxa"/>
            <w:vAlign w:val="bottom"/>
            <w:tcBorders>
              <w:top w:val="single" w:sz="8" w:color="CFF0FC"/>
            </w:tcBorders>
          </w:tcPr>
          <w:p>
            <w:pPr>
              <w:spacing w:after="0"/>
              <w:rPr>
                <w:sz w:val="18"/>
                <w:szCs w:val="18"/>
                <w:color w:val="auto"/>
              </w:rPr>
            </w:pPr>
          </w:p>
        </w:tc>
        <w:tc>
          <w:tcPr>
            <w:tcW w:w="840" w:type="dxa"/>
            <w:vAlign w:val="bottom"/>
            <w:tcBorders>
              <w:top w:val="single" w:sz="8" w:color="CFF0FC"/>
            </w:tcBorders>
          </w:tcPr>
          <w:p>
            <w:pPr>
              <w:spacing w:after="0"/>
              <w:rPr>
                <w:sz w:val="18"/>
                <w:szCs w:val="18"/>
                <w:color w:val="auto"/>
              </w:rPr>
            </w:pPr>
          </w:p>
        </w:tc>
        <w:tc>
          <w:tcPr>
            <w:tcW w:w="860" w:type="dxa"/>
            <w:vAlign w:val="bottom"/>
            <w:tcBorders>
              <w:top w:val="single" w:sz="8" w:color="CFF0FC"/>
            </w:tcBorders>
            <w:gridSpan w:val="2"/>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Borders>
              <w:top w:val="single" w:sz="8" w:color="CFF0FC"/>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tcPr>
          <w:p>
            <w:pPr>
              <w:spacing w:after="0"/>
              <w:rPr>
                <w:sz w:val="17"/>
                <w:szCs w:val="17"/>
                <w:color w:val="auto"/>
              </w:rPr>
            </w:pPr>
          </w:p>
        </w:tc>
        <w:tc>
          <w:tcPr>
            <w:tcW w:w="3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(4,379 )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(5,722 )</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(450 )</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(460 )</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(839 )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(918 )</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70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(474 )</w:t>
            </w:r>
          </w:p>
        </w:tc>
        <w:tc>
          <w:tcPr>
            <w:tcW w:w="24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(656 )</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Tax valuation allowance for the periods indicated below were as follows: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80" w:type="dxa"/>
            <w:vAlign w:val="bottom"/>
          </w:tcPr>
          <w:p>
            <w:pPr>
              <w:spacing w:after="0"/>
              <w:rPr>
                <w:sz w:val="24"/>
                <w:szCs w:val="24"/>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00" w:type="dxa"/>
            <w:vAlign w:val="bottom"/>
          </w:tcPr>
          <w:p>
            <w:pPr>
              <w:spacing w:after="0"/>
              <w:rPr>
                <w:sz w:val="12"/>
                <w:szCs w:val="12"/>
                <w:color w:val="auto"/>
              </w:rPr>
            </w:pPr>
          </w:p>
        </w:tc>
        <w:tc>
          <w:tcPr>
            <w:tcW w:w="780" w:type="dxa"/>
            <w:vAlign w:val="bottom"/>
            <w:gridSpan w:val="2"/>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5"/>
                <w:szCs w:val="15"/>
                <w:color w:val="auto"/>
              </w:rPr>
            </w:pPr>
          </w:p>
        </w:tc>
        <w:tc>
          <w:tcPr>
            <w:tcW w:w="78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Valuation Allowance</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January 31,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January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28,596</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31,440</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January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-3634105</wp:posOffset>
            </wp:positionV>
            <wp:extent cx="6032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-3634105</wp:posOffset>
            </wp:positionV>
            <wp:extent cx="603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-3350895</wp:posOffset>
            </wp:positionV>
            <wp:extent cx="603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-3350895</wp:posOffset>
            </wp:positionV>
            <wp:extent cx="603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-2485390</wp:posOffset>
            </wp:positionV>
            <wp:extent cx="603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-2468245</wp:posOffset>
            </wp:positionV>
            <wp:extent cx="603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-2485390</wp:posOffset>
            </wp:positionV>
            <wp:extent cx="603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-2468245</wp:posOffset>
            </wp:positionV>
            <wp:extent cx="603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1" w:name="page92"/>
    <w:bookmarkEnd w:id="91"/>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conducts its business in several countries and regions and is subject to taxation in those jurisdictions. The Company is incorporated in the Cayman Islands with foreign subsidiaries in the U.S., China, Taiwan, Italy and other foreign countries and regions. As such, the Company’s worldwide operating income is subject to varying tax rates and its effective tax rate is highly dependent upon the geographic distribution of its earnings or losses and the tax laws and regulations in each geographical region. Consequently, the Company has experienced lower effective tax rates as a substantial amount of its operations are conducted in lower-tax jurisdictions. If the Company’s operational structure was to change in such a manner that would increase the amount of operating income subject to taxation in higher-tax jurisdictions, or if the Company was to commence operations in jurisdictions assessing relatively higher tax rates, its effective tax rate could fluctuate significantly on a quarterly basis and/or be adversely affected. Dividend distributions received from the Company’s U.S. subsidiary and certain other foreign subsidiaries may be subject to local country withholding taxes when, and if, distributed. Deferred tax liabilities have not been recorded on unremitted earnings of certain subsidiaries because management’s intent is to indefinitely reinvest any undistributed earnings in those subsidiaries. If dividend distributions from those subsidiaries were to occur, the liability as of January 31, 2025 would be approximately $8.0 million. Cumulative undistributed earnings of foreign subsidiaries for which no deferred taxes have been provided were approximately $93.5 million at January 31, 2025.</w:t>
      </w:r>
    </w:p>
    <w:p>
      <w:pPr>
        <w:spacing w:after="0" w:line="19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January 31, 2025, and 2024, the Company had net deferred tax liabilities after valuation allowance of $0.5 million and $0.7 million, respectively. The Company continued to evaluate the need for a valuation allowance by considering among other things, the nature, frequency and severity of current losses, reversal of taxable temporary differences, tax planning strategies, future projections in the U.S. and the duration of statutory carryforward periods. Based on the current projections of the Company’s future taxable income, and overall evaluation of other related evidence, management believes that it is not more likely than not that the deferred tax assets will be realized, and therefore, valuation allowance remains necessary.</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Federal and California net operating losses of $29.8 million and $1.0 million, respectively, as of January 31, 2025. The Federal net operating loss can be carried forward indefinitely, if not utilized. The California net operating loss begin to expire in fiscal year 2040, if not utilized. For financial statement purposes these carry forwards are offset by uncertain tax positions.</w:t>
      </w:r>
    </w:p>
    <w:p>
      <w:pPr>
        <w:spacing w:after="0" w:line="176"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Company also has Federal and California state research and development credit carryforwards of approximately $28.8 million and $38.5 million, respectively, as of January 31, 2025. The Federal credits begin to expire in the fiscal year 2036. The California credits can be carried forward indefinitely.</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Utilization of the net operating loss and research credit carryforwards may be subject to an annual limitation due to the ownership percentage change limitations as defined by the U.S. Internal Revenue Code Section 382, as amended, and similar state provisions as well as separate return year limitation which limits the utilization of loss generated before a company joins the consolidated filing group. The annual limitations may result in the expiration of the U.S. Federal and state net operating loss (NOL) and research credit carryforwards before utilization. The Company has a full valuation allowance against all U.S. deferred tax assets due to lack of more likely than not future utilization of these deferred tax assets.</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provisions of FASB’s guidance on accounting for uncertainty in income taxes. As of January 31, 2025, the Company had approximately $20.5 million in unrecognized tax benefits, $1.0 million of which would affect the Company’s effective tax rate if recognized. </w:t>
      </w:r>
      <w:r>
        <w:rPr>
          <w:rFonts w:ascii="Times New Roman" w:cs="Times New Roman" w:eastAsia="Times New Roman" w:hAnsi="Times New Roman"/>
          <w:sz w:val="18"/>
          <w:szCs w:val="18"/>
          <w:color w:val="212529"/>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remainder of the unrecognized tax benefits would not affect the effective tax rate due to the full valuation recorded for U.S. deferred tax assets.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following table sets forth a reconciliation of the beginning and ending amount of unrecognized tax benefits: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22,628</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30,884</w:t>
            </w:r>
          </w:p>
        </w:tc>
        <w:tc>
          <w:tcPr>
            <w:tcW w:w="100" w:type="dxa"/>
            <w:vAlign w:val="bottom"/>
            <w:shd w:val="clear" w:color="auto" w:fill="CFF0FC"/>
          </w:tcPr>
          <w:p>
            <w:pPr>
              <w:spacing w:after="0"/>
              <w:rPr>
                <w:sz w:val="18"/>
                <w:szCs w:val="18"/>
                <w:color w:val="auto"/>
              </w:rPr>
            </w:pPr>
          </w:p>
        </w:tc>
      </w:tr>
      <w:tr>
        <w:trPr>
          <w:trHeight w:val="198"/>
        </w:trPr>
        <w:tc>
          <w:tcPr>
            <w:tcW w:w="52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Additions based on tax positions related to the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0"/>
                <w:szCs w:val="20"/>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tax positions in prior years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(38 )</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Settlements for prior periods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Lapse of applicable statute of limitations</w:t>
            </w:r>
          </w:p>
        </w:tc>
        <w:tc>
          <w:tcPr>
            <w:tcW w:w="2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(4,255 )</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(155 )</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(10,411 )</w:t>
            </w:r>
          </w:p>
        </w:tc>
      </w:tr>
      <w:tr>
        <w:trPr>
          <w:trHeight w:val="25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22,628</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-25400</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03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03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classified $0.9 million and $3.1 million of income tax liabilities as other long-term liabilities as of January 31, 2025, and 2024, respectively, because payment of cash or settlement is not anticipated within one year from the balance sheet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2" w:name="page93"/>
    <w:bookmarkEnd w:id="92"/>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as a component of income tax expense. The Company recorded a benefit of $0.5 million, an expense of $0.05 million and a benefit of $0.7 million for interest and penalties related to uncertain tax positions for the fiscal years ended January 31, 2025, 2024 and 2023, respectively. The Company recorded noncurrent liabilities of $0.1 million and $0.7 million related to interest and penalties for uncertain tax positions at January 31, 2025 and 2024, respectively.</w:t>
      </w:r>
    </w:p>
    <w:p>
      <w:pPr>
        <w:spacing w:after="0" w:line="180"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primary jurisdiction where our foreign earnings are derived is the Cayman Islands, where the Company is domiciled. The Company files income tax returns in the U.S. federal jurisdiction as well as many U.S. state and foreign jurisdictions. As of January 31, 2025, the Company’s fiscal year 2022 through 2025 tax years are generally open and subject to potential examination by U.S. federal tax authorities. The Company’s fiscal year 2021 through 2025 tax years are generally open and subject to potential examination by state tax authorities. The Company’s fiscal years 2018 to 2025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During the fiscal year ended January 31, 2025, the gross amount of unrecognized tax benefits decreased by approximately $2.1 million to $20.5 million. The decrease was primarily due to 2025 accrual for our uncertain tax positions related to research credits offset by various tax exposures where the statute of limitation has lapsed. If the estimates of income tax liabilities prove to be less than the ultimate assessment, then a further charge to expense and balance sheet tax footnote disclosure could be required. If events occur, and the payment of these amounts ultimately proves to be unnecessary, the reversal of the liabilities could result in tax benefits being recognized in the period in which the Company determines the liabilities are no longer necessary. At this time the Company is not able to reasonably estimate the amount of tax reserve that will reverse within the next 12 months.</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2025, the Company’s long-term income taxes payable, including estimated interest and penalties, was approximately $1.0 million. The Company was unable to make a reasonably reliable estimate of the timing of payments in individual years due to uncertainties in the timing of tax audits, if any, or their outcomes.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Manufacturer Commitments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January 31, 2025 and 2024, total manufacturing purchase commitments were approximately $56.4 million and $30.7 million, respectively. The Company also reviews and assesses the need for any expected loss liabilities on quarterly basis for all products that it does not expect to sell for which it has committed purchases from suppliers. There were no material loss liabilities recorded in the consolidated balance sheets from adverse purchase commitments as of January 31, 2025 and 2024, respectively.</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fiscal year 2025, the Company entered into a noncancellable service contract with a third-party for its IT infrastructure service. As of January 31, 2025, the total commitment for the service was approximately $8.0 million. The Company also entered into a new office lease for its headquarters in Santa Clara, California for 104 months beginning from September 1, 2025 to April 30, 2034. The total future undiscounted cash payments for the lease are approximately $15.7 million.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January 31, 2025, and no liabilities have been recorded for these obligations in the consolidated balance sheets as of January 31, 2025 and 2024, respectively.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3" w:name="page94"/>
    <w:bookmarkEnd w:id="9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January 31, 2025 and 2024, there were no accruals for contingent liabilities related to such matters recorded in the consolidated balance sheets.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operates as a single operating and reportable segment and derives substantially all of its revenue from development and sales of low-power AI-based processing and video and image processing SoC solutions. In determination of a reportable segment, the Company considers the research and development deployed, the nature of production process, the distribution channels of SoCs, as well as the Company’s management structure. The Chief Executive Officer of the Company has been identified as the Chief Operating Decision Maker (the CODM) and manages the Company’s operations as a whole. The CODM uses net loss presented on a consolidated basis to evaluate the financial performance and allocate resources. The CODM also monitors budget versus actual results of the operating segment. The measure of reportable segment assets is reported within the consolidated balance sheets as total assets. The accounting policies for the measurement of net loss and total assets of the reportable segment have been described in the Note 1,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Summary of Significant Accounting Policies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179,324</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119,601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191,692</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Taiwan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73,476</w:t>
            </w:r>
          </w:p>
        </w:tc>
        <w:tc>
          <w:tcPr>
            <w:tcW w:w="8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22,778</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32,901</w:t>
            </w:r>
          </w:p>
        </w:tc>
        <w:tc>
          <w:tcPr>
            <w:tcW w:w="80" w:type="dxa"/>
            <w:vAlign w:val="bottom"/>
          </w:tcPr>
          <w:p>
            <w:pPr>
              <w:spacing w:after="0"/>
              <w:rPr>
                <w:sz w:val="18"/>
                <w:szCs w:val="18"/>
                <w:color w:val="auto"/>
              </w:rPr>
            </w:pPr>
          </w:p>
        </w:tc>
      </w:tr>
      <w:tr>
        <w:trPr>
          <w:trHeight w:val="21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284,865</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226,474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337,606</w:t>
            </w:r>
          </w:p>
        </w:tc>
        <w:tc>
          <w:tcPr>
            <w:tcW w:w="8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-170815</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property and equipment were located in the Taiwan, United States, Europe and Asia Pacific region other than Taiwan. As of January 31, 2025, the net amount of these fixed assets located in these regions was approximately $4.0 million, $3.7 million, $1.1 million and $0.3 million, respectively. As of January 31, 2024, the net amount of these fixed assets located in these regions was approximately $4.9 million, $3.9 million, $1.2 million and $0.4 million,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Additional Segment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significant segment expenses included in the consolidated net loss for the periods indicated:</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center"/>
              <w:ind w:right="93"/>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64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284,865</w:t>
            </w:r>
          </w:p>
        </w:tc>
        <w:tc>
          <w:tcPr>
            <w:tcW w:w="12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226,474</w:t>
            </w:r>
          </w:p>
        </w:tc>
        <w:tc>
          <w:tcPr>
            <w:tcW w:w="2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Less cost and expense: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cost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Employee-related</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115,188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110,601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Chip development NRE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Tools &amp; equipment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Facilities-related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(a)</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26,713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(2,817 )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(8,727 )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(7,837 )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(2,103 )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(117,126 )</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(169,417 )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(65,386 )</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8"/>
        <w:spacing w:after="0" w:line="282"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segment items include amortization of intangible assets acquired from business combinations, non-operating (income) expenses, income tax provision (benefit) and other immaterial items.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customer representing 10% or more of revenue for the fiscal year ended January 31, 2025 was WT, which accounted for approximately 63% of total revenue. The customers representing 10% or more of revenue for the fiscal years ended January 31, 2024 and 2023 were WT and Chicony. For the fiscal years ended January 31, 2024 and 2023, WT accounted for approximately 53% and 57% of total revenue, respectively. For the fiscal years ended January 31, 2024 and 2023, Chicony accounted for approximately 14% and 12% of total revenue, respectively. Accounts receivable with WT was approximately $12.3 million as of January 31, 2025. Accounts receivable with WT and Chicony were approximately $10.3 million and $7.0 million as of January 31, 2024,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60" w:type="dxa"/>
            <w:vAlign w:val="bottom"/>
            <w:gridSpan w:val="9"/>
          </w:tcPr>
          <w:p>
            <w:pPr>
              <w:jc w:val="center"/>
              <w:ind w:right="4760"/>
              <w:spacing w:after="0"/>
              <w:rPr>
                <w:sz w:val="20"/>
                <w:szCs w:val="20"/>
                <w:color w:val="auto"/>
              </w:rPr>
            </w:pPr>
            <w:r>
              <w:rPr>
                <w:rFonts w:ascii="Times New Roman" w:cs="Times New Roman" w:eastAsia="Times New Roman" w:hAnsi="Times New Roman"/>
                <w:sz w:val="18"/>
                <w:szCs w:val="18"/>
                <w:b w:val="1"/>
                <w:bCs w:val="1"/>
                <w:color w:val="auto"/>
              </w:rPr>
              <w:t>EXHIBITS INDEX</w:t>
            </w:r>
          </w:p>
        </w:tc>
        <w:tc>
          <w:tcPr>
            <w:tcW w:w="0" w:type="dxa"/>
            <w:vAlign w:val="bottom"/>
          </w:tcPr>
          <w:p>
            <w:pPr>
              <w:spacing w:after="0"/>
              <w:rPr>
                <w:sz w:val="1"/>
                <w:szCs w:val="1"/>
                <w:color w:val="auto"/>
              </w:rPr>
            </w:pPr>
          </w:p>
        </w:tc>
      </w:tr>
      <w:tr>
        <w:trPr>
          <w:trHeight w:val="340"/>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2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36"/>
        </w:trPr>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5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1140" w:type="dxa"/>
            <w:vAlign w:val="bottom"/>
            <w:tcBorders>
              <w:bottom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Amended and Restated Memorandum of Association and Second Amended and Restated Articles of Association of Ambarella, Inc.</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Description of Share Capital of Ambarella, Inc.</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10.2.1(3)*</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Amended and Restated 2012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10.2.2(1)*</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Form of Stock Option Agreement under 2012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10.2.3(1)*</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Form of Restricted Stock Agreement under 2012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10.2.4(1)*</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Form of Restricted Stock Unit Agreement under 2012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10.2.5(3)*</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Form of Performance-Based Restricted Stock Unit Agreement under 2012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Amended and Restated 2012 Employee Stock Purchase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Ambarella, Inc. Amended and Restated 2021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tcBorders>
              <w:right w:val="single" w:sz="8" w:color="0000EE"/>
            </w:tcBorders>
            <w:gridSpan w:val="4"/>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4.1.2(6)*</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Form of Stock Option Agreement under 2021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tcBorders>
              <w:right w:val="single" w:sz="8" w:color="0000FF"/>
            </w:tcBorders>
            <w:gridSpan w:val="4"/>
            <w:shd w:val="clear" w:color="auto" w:fill="0000FF"/>
          </w:tcPr>
          <w:p>
            <w:pPr>
              <w:spacing w:after="0" w:line="20" w:lineRule="exact"/>
              <w:rPr>
                <w:sz w:val="1"/>
                <w:szCs w:val="1"/>
                <w:color w:val="auto"/>
              </w:rPr>
            </w:pPr>
          </w:p>
        </w:tc>
        <w:tc>
          <w:tcPr>
            <w:tcW w:w="720" w:type="dxa"/>
            <w:vAlign w:val="bottom"/>
            <w:tcBorders>
              <w:left w:val="single" w:sz="8" w:color="0000EE"/>
            </w:tcBorders>
            <w:gridSpan w:val="3"/>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4.1.3(6)*</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Form of Restricted Stock Unit Agreement under 2021 Equity Incentive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280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4.1.1(7)*</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Oculii Corp. 2017 Stock Option Plan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EE"/>
            </w:tcBorders>
            <w:shd w:val="clear" w:color="auto" w:fill="0000FF"/>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4.1.2(7)*</w:t>
            </w:r>
          </w:p>
        </w:tc>
        <w:tc>
          <w:tcPr>
            <w:tcW w:w="220" w:type="dxa"/>
            <w:vAlign w:val="bottom"/>
          </w:tcPr>
          <w:p>
            <w:pPr>
              <w:spacing w:after="0"/>
              <w:rPr>
                <w:sz w:val="24"/>
                <w:szCs w:val="24"/>
                <w:color w:val="auto"/>
              </w:rPr>
            </w:pPr>
          </w:p>
        </w:tc>
        <w:tc>
          <w:tcPr>
            <w:tcW w:w="9880" w:type="dxa"/>
            <w:vAlign w:val="bottom"/>
            <w:gridSpan w:val="11"/>
          </w:tcPr>
          <w:p>
            <w:pPr>
              <w:spacing w:after="0"/>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Form of Stock Option Agreement under Oculii Corp. 2017 Stock Option Plan</w:t>
              </w:r>
            </w:hyperlink>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60" w:type="dxa"/>
            <w:vAlign w:val="bottom"/>
            <w:tcBorders>
              <w:top w:val="single" w:sz="8" w:color="0000FF"/>
            </w:tcBorders>
            <w:gridSpan w:val="5"/>
          </w:tcPr>
          <w:p>
            <w:pPr>
              <w:jc w:val="right"/>
              <w:ind w:right="428"/>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Form of Indemnification Agreement</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10.6.1(8)*</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Form of Change of Control and Severance Agreement, entered into by Ambarella, Inc. with the Chief Executive Officer, Chief Financial</w:t>
              </w:r>
            </w:hyperlink>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Officer and Chief Technology Officer</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Form of Amended and Restated Change of Control and Severance Agreement, entered into by Ambarella, Inc. with executive officers</w:t>
              </w:r>
            </w:hyperlink>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other than the Chief Executive Officer, Chief Financial Officer and Chief Technology Officer</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Borders>
              <w:left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10.8.1(10)</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Sales Representative Agreement dated January 31, 2011 by and between Ambarella, Inc. and WT Microelectronics Co., Ltd.</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10.8.2(10)</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Amendment No. 1 to Sales Representative Agreement dated February 1, 2012 by and between Ambarella, Inc. and WT Microelectronics</w:t>
              </w:r>
            </w:hyperlink>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Co., Ltd.</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10.8.3(11)</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Amendment No. 2 to Sales Representative Agreement dated October 1, 2012 by and between Ambarella, Inc. and WT Microelectronics</w:t>
              </w:r>
            </w:hyperlink>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Co., Ltd.</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Amendment to the Sales Representative Agreement dated August 1, 2015 by and between Ambarella, Inc. and WT Microelectronics</w:t>
              </w:r>
            </w:hyperlink>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Co., Ltd.</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10.1(12)</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Amendment to the Sales Representative Agreement dated June 1, 2019 by and between Ambarella, Inc. and WT Microelectronics Co.,</w:t>
              </w:r>
            </w:hyperlink>
          </w:p>
        </w:tc>
      </w:tr>
      <w:tr>
        <w:trPr>
          <w:trHeight w:val="20"/>
        </w:trPr>
        <w:tc>
          <w:tcPr>
            <w:tcW w:w="13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Ltd.</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10.2(13)</w:t>
            </w:r>
          </w:p>
        </w:tc>
        <w:tc>
          <w:tcPr>
            <w:tcW w:w="9880" w:type="dxa"/>
            <w:vAlign w:val="bottom"/>
            <w:gridSpan w:val="20"/>
          </w:tcPr>
          <w:p>
            <w:pPr>
              <w:spacing w:after="0"/>
              <w:rPr>
                <w:rFonts w:ascii="Times New Roman" w:cs="Times New Roman" w:eastAsia="Times New Roman" w:hAnsi="Times New Roman"/>
                <w:sz w:val="18"/>
                <w:szCs w:val="18"/>
                <w:color w:val="0000FF"/>
                <w:w w:val="99"/>
              </w:rPr>
            </w:pPr>
            <w:hyperlink r:id="rId428">
              <w:r>
                <w:rPr>
                  <w:rFonts w:ascii="Times New Roman" w:cs="Times New Roman" w:eastAsia="Times New Roman" w:hAnsi="Times New Roman"/>
                  <w:sz w:val="18"/>
                  <w:szCs w:val="18"/>
                  <w:color w:val="0000FF"/>
                  <w:w w:val="99"/>
                </w:rPr>
                <w:t>Amendment No. 6 to Sales Representative Agreement dated May 1, 2021 by and between Ambarella, Inc. and WT Microelectronics Co.,</w:t>
              </w:r>
            </w:hyperlink>
          </w:p>
        </w:tc>
      </w:tr>
      <w:tr>
        <w:trPr>
          <w:trHeight w:val="20"/>
        </w:trPr>
        <w:tc>
          <w:tcPr>
            <w:tcW w:w="136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Ltd.</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10.1(14)</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Amendment No. 7 to Sales Representative Agreement dated March 15, 2023 by and between Ambarella, Inc. and WT Microelectronics</w:t>
              </w:r>
            </w:hyperlink>
          </w:p>
        </w:tc>
      </w:tr>
      <w:tr>
        <w:trPr>
          <w:trHeight w:val="20"/>
        </w:trPr>
        <w:tc>
          <w:tcPr>
            <w:tcW w:w="136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Co., Ltd.</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10.1(15)</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Standard Lease between Ambarella Corporation and The Realty Associates Fund XI Portfolio, L.P., dated as of August 8, 2019</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10.2(16)*</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Employment letter entered into by Ambarella Corp. with John Young dated October 17, 2023</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10.11(17)*</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Description of Executive Bonus Plan for Fiscal Year 2025</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Lease Agreement between Ambarella Corporation and The Quad Santa Clara, LLC dated December 20, 2024</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000" w:type="dxa"/>
            <w:vAlign w:val="bottom"/>
            <w:tcBorders>
              <w:left w:val="single" w:sz="8" w:color="0000FF"/>
            </w:tcBorders>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Insider Trading Policy</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21.1(18)</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List of subsidiaries of Ambarella, Inc.</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000" w:type="dxa"/>
            <w:vAlign w:val="bottom"/>
            <w:tcBorders>
              <w:left w:val="single" w:sz="8" w:color="0000FF"/>
            </w:tcBorders>
            <w:gridSpan w:val="2"/>
            <w:shd w:val="clear" w:color="auto" w:fill="0000FF"/>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Power of Attorney (included in signature page)</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6220" w:type="dxa"/>
            <w:vAlign w:val="bottom"/>
            <w:tcBorders>
              <w:left w:val="single" w:sz="8" w:color="0000EE"/>
            </w:tcBorders>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 13a-14(a) and 15d-14(a) of the Securities Exchange Act of 1934, as</w:t>
            </w:r>
          </w:p>
        </w:tc>
      </w:tr>
      <w:tr>
        <w:trPr>
          <w:trHeight w:val="20"/>
        </w:trPr>
        <w:tc>
          <w:tcPr>
            <w:tcW w:w="136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622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640" w:type="dxa"/>
            <w:vAlign w:val="bottom"/>
            <w:tcBorders>
              <w:left w:val="single" w:sz="8" w:color="0000EE"/>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3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Under Rule 13a-14(a) and 15d-14(a) of the Securities Exchange Act of 1934, as</w:t>
            </w:r>
          </w:p>
        </w:tc>
      </w:tr>
      <w:tr>
        <w:trPr>
          <w:trHeight w:val="20"/>
        </w:trPr>
        <w:tc>
          <w:tcPr>
            <w:tcW w:w="1360" w:type="dxa"/>
            <w:vAlign w:val="bottom"/>
          </w:tcPr>
          <w:p>
            <w:pPr>
              <w:spacing w:after="0" w:line="20" w:lineRule="exact"/>
              <w:rPr>
                <w:sz w:val="1"/>
                <w:szCs w:val="1"/>
                <w:color w:val="auto"/>
              </w:rPr>
            </w:pPr>
          </w:p>
        </w:tc>
        <w:tc>
          <w:tcPr>
            <w:tcW w:w="2280" w:type="dxa"/>
            <w:vAlign w:val="bottom"/>
            <w:tcBorders>
              <w:right w:val="single" w:sz="8" w:color="0000FF"/>
            </w:tcBorders>
            <w:gridSpan w:val="4"/>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622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640" w:type="dxa"/>
            <w:vAlign w:val="bottom"/>
            <w:tcBorders>
              <w:left w:val="single" w:sz="8" w:color="0000EE"/>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Required Under Rule 13a-14(b) of the Securities Exchange</w:t>
            </w:r>
          </w:p>
        </w:tc>
      </w:tr>
      <w:tr>
        <w:trPr>
          <w:trHeight w:val="20"/>
        </w:trPr>
        <w:tc>
          <w:tcPr>
            <w:tcW w:w="1360" w:type="dxa"/>
            <w:vAlign w:val="bottom"/>
          </w:tcPr>
          <w:p>
            <w:pPr>
              <w:spacing w:after="0" w:line="20" w:lineRule="exact"/>
              <w:rPr>
                <w:sz w:val="1"/>
                <w:szCs w:val="1"/>
                <w:color w:val="auto"/>
              </w:rPr>
            </w:pPr>
          </w:p>
        </w:tc>
        <w:tc>
          <w:tcPr>
            <w:tcW w:w="2280" w:type="dxa"/>
            <w:vAlign w:val="bottom"/>
            <w:tcBorders>
              <w:right w:val="single" w:sz="8" w:color="0000FF"/>
            </w:tcBorders>
            <w:gridSpan w:val="4"/>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6360" w:type="dxa"/>
            <w:vAlign w:val="bottom"/>
            <w:tcBorders>
              <w:left w:val="single" w:sz="8" w:color="0000FF"/>
            </w:tcBorders>
            <w:gridSpan w:val="11"/>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amended, and 18 U.S.C. §1350</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FF"/>
            </w:tcBorders>
            <w:gridSpan w:val="4"/>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6500" w:type="dxa"/>
            <w:vAlign w:val="bottom"/>
            <w:gridSpan w:val="13"/>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97.1(18)</w:t>
            </w:r>
          </w:p>
        </w:tc>
        <w:tc>
          <w:tcPr>
            <w:tcW w:w="9880" w:type="dxa"/>
            <w:vAlign w:val="bottom"/>
            <w:gridSpan w:val="20"/>
          </w:tcPr>
          <w:p>
            <w:pPr>
              <w:spacing w:after="0"/>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Compensation Recovery Policy</w:t>
              </w:r>
            </w:hyperlink>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EE"/>
            </w:tcBorders>
            <w:gridSpan w:val="4"/>
            <w:shd w:val="clear" w:color="auto" w:fill="0000FF"/>
          </w:tcPr>
          <w:p>
            <w:pPr>
              <w:spacing w:after="0" w:line="20" w:lineRule="exact"/>
              <w:rPr>
                <w:sz w:val="1"/>
                <w:szCs w:val="1"/>
                <w:color w:val="auto"/>
              </w:rPr>
            </w:pPr>
          </w:p>
        </w:tc>
        <w:tc>
          <w:tcPr>
            <w:tcW w:w="7600" w:type="dxa"/>
            <w:vAlign w:val="bottom"/>
            <w:gridSpan w:val="16"/>
          </w:tcPr>
          <w:p>
            <w:pPr>
              <w:spacing w:after="0" w:line="20" w:lineRule="exact"/>
              <w:rPr>
                <w:sz w:val="1"/>
                <w:szCs w:val="1"/>
                <w:color w:val="auto"/>
              </w:rPr>
            </w:pPr>
          </w:p>
        </w:tc>
      </w:tr>
      <w:tr>
        <w:trPr>
          <w:trHeight w:val="43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360" w:type="dxa"/>
            <w:vAlign w:val="bottom"/>
          </w:tcPr>
          <w:p>
            <w:pPr>
              <w:spacing w:after="0"/>
              <w:rPr>
                <w:sz w:val="20"/>
                <w:szCs w:val="20"/>
                <w:color w:val="auto"/>
              </w:rPr>
            </w:pP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r>
      <w:tr>
        <w:trPr>
          <w:trHeight w:val="33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33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33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r>
      <w:tr>
        <w:trPr>
          <w:trHeight w:val="33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432"/>
        </w:trPr>
        <w:tc>
          <w:tcPr>
            <w:tcW w:w="1360" w:type="dxa"/>
            <w:vAlign w:val="bottom"/>
          </w:tcPr>
          <w:p>
            <w:pPr>
              <w:spacing w:after="0"/>
              <w:rPr>
                <w:sz w:val="24"/>
                <w:szCs w:val="24"/>
                <w:color w:val="auto"/>
              </w:rPr>
            </w:pPr>
          </w:p>
        </w:tc>
        <w:tc>
          <w:tcPr>
            <w:tcW w:w="6380" w:type="dxa"/>
            <w:vAlign w:val="bottom"/>
            <w:gridSpan w:val="9"/>
          </w:tcPr>
          <w:p>
            <w:pPr>
              <w:jc w:val="right"/>
              <w:ind w:right="2020"/>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96" w:name="page97"/>
    <w:bookmarkEnd w:id="96"/>
    <w:p>
      <w:pPr>
        <w:ind w:left="1340" w:hanging="1319"/>
        <w:spacing w:after="0" w:line="282" w:lineRule="auto"/>
        <w:tabs>
          <w:tab w:leader="none" w:pos="13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5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S-1/A (No. 333-174838) filed on September 13, 2012..</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filed on March 27, 2020.</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filed on March 30, 2017.</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September 8, 2015.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Form 8-K filed on June 17,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S-8 (No. 333-261244) filed on November 19, 2021.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S-8 (No. 333-261243) filed on November 19, 2021.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S-1 (No. 333-174838) filed on June 10, 2011.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September 7, 2018.</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S-1/A (No. 333-174838) filed on September 26, 2012.</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S-1/A (No. 333-174838) filed on October 5, 2012.</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September 6, 2019.</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September 8, 2021.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June 6, 2023.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December 6, 2019.</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December 8, 2023.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filed on February 28,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filed on March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-2470785</wp:posOffset>
            </wp:positionV>
            <wp:extent cx="92583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or compensation plans or arrangements in which directors or executive officers are eligible to participate.</w:t>
      </w:r>
    </w:p>
    <w:p>
      <w:pPr>
        <w:spacing w:after="0" w:line="27" w:lineRule="exact"/>
        <w:rPr>
          <w:sz w:val="20"/>
          <w:szCs w:val="20"/>
          <w:color w:val="auto"/>
        </w:rPr>
      </w:pPr>
    </w:p>
    <w:p>
      <w:pPr>
        <w:ind w:firstLine="8"/>
        <w:spacing w:after="0" w:line="253" w:lineRule="auto"/>
        <w:tabs>
          <w:tab w:leader="none" w:pos="1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28, 2025.</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29" w:lineRule="exact"/>
        <w:rPr>
          <w:sz w:val="20"/>
          <w:szCs w:val="20"/>
          <w:color w:val="auto"/>
        </w:rPr>
      </w:pPr>
    </w:p>
    <w:p>
      <w:pPr>
        <w:ind w:left="566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John A. Young</w:t>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John A. Young,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-94615</wp:posOffset>
            </wp:positionV>
            <wp:extent cx="326580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Feng-Ming Wang and John A. Young as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to this Annual Report on Form 10-K, together with all schedules and exhibits thereto, (ii) act on, sign, and file such certificates, instruments, agreements and other documents as may be necessary or appropriate in connection therewith, and (iii) take any and all actions that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spacing w:after="0" w:line="18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March 28, 2025.</w:t>
      </w:r>
    </w:p>
    <w:p>
      <w:pPr>
        <w:sectPr>
          <w:pgSz w:w="11900" w:h="16838" w:orient="portrait"/>
          <w:cols w:equalWidth="0" w:num="1">
            <w:col w:w="11220"/>
          </w:cols>
          <w:pgMar w:left="320" w:top="1008" w:right="359" w:bottom="1440" w:gutter="0" w:footer="0" w:header="0"/>
        </w:sectPr>
      </w:pPr>
    </w:p>
    <w:p>
      <w:pPr>
        <w:spacing w:after="0" w:line="22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1972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Feng-Ming Wang</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John A. Young</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Leslie D. Kohn</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Leslie D. Kohn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Chenming C. Hu</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Chenming C.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Christopher B. Paisley</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Christopher B. Paisley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D. Jeffrey Richardson</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D. Jeffrey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Hsiao-Wuen Hon</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Hsiao-Wuen 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Elizabeth M. Schwarting</w:t>
      </w:r>
    </w:p>
    <w:p>
      <w:pPr>
        <w:spacing w:after="0" w:line="4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Elizabeth M. Schwarting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Anne De Greef-Safft</w:t>
      </w:r>
    </w:p>
    <w:p>
      <w:pPr>
        <w:spacing w:after="0" w:line="4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Anne De Greef-Safft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Chantell Breithaupt</w:t>
      </w:r>
    </w:p>
    <w:p>
      <w:pPr>
        <w:spacing w:after="0" w:line="4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Chantell Breithaupt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38576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1">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275"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President, Chief Executive Officer, Executive Chairman and Director (Principal Executive Officer)</w:t>
      </w:r>
    </w:p>
    <w:p>
      <w:pPr>
        <w:spacing w:after="0" w:line="164" w:lineRule="exact"/>
        <w:rPr>
          <w:sz w:val="20"/>
          <w:szCs w:val="20"/>
          <w:color w:val="auto"/>
        </w:rPr>
      </w:pPr>
    </w:p>
    <w:p>
      <w:pPr>
        <w:jc w:val="center"/>
        <w:ind w:right="1580"/>
        <w:spacing w:after="0"/>
        <w:rPr>
          <w:sz w:val="20"/>
          <w:szCs w:val="20"/>
          <w:color w:val="auto"/>
        </w:rPr>
      </w:pPr>
      <w:r>
        <w:rPr>
          <w:rFonts w:ascii="Times New Roman" w:cs="Times New Roman" w:eastAsia="Times New Roman" w:hAnsi="Times New Roman"/>
          <w:sz w:val="16"/>
          <w:szCs w:val="16"/>
          <w:color w:val="auto"/>
        </w:rPr>
        <w:t>Chief Financial Officer (Principal Financial and Accounting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Technical Officer and Director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402" w:lineRule="exact"/>
        <w:rPr>
          <w:sz w:val="20"/>
          <w:szCs w:val="20"/>
          <w:color w:val="auto"/>
        </w:rPr>
      </w:pPr>
    </w:p>
    <w:p>
      <w:pPr>
        <w:sectPr>
          <w:pgSz w:w="11900" w:h="16838" w:orient="portrait"/>
          <w:cols w:equalWidth="0" w:num="2">
            <w:col w:w="4460" w:space="720"/>
            <w:col w:w="6040"/>
          </w:cols>
          <w:pgMar w:left="320" w:top="1008" w:right="359" w:bottom="1440" w:gutter="0" w:footer="0" w:header="0"/>
          <w:type w:val="continuous"/>
        </w:sect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type w:val="continuous"/>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OFFICE LEASE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QUAD @ TASMAN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QUAD SANTA CLARA, LLC,</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Landlord,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AMBARELLA CORPORATION,</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1115695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230"/>
        </w:trPr>
        <w:tc>
          <w:tcPr>
            <w:tcW w:w="10820" w:type="dxa"/>
            <w:vAlign w:val="bottom"/>
            <w:gridSpan w:val="3"/>
          </w:tcPr>
          <w:p>
            <w:pPr>
              <w:ind w:left="45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00" w:type="dxa"/>
            <w:vAlign w:val="bottom"/>
          </w:tcPr>
          <w:p>
            <w:pPr>
              <w:spacing w:after="0"/>
              <w:rPr>
                <w:sz w:val="19"/>
                <w:szCs w:val="19"/>
                <w:color w:val="auto"/>
              </w:rPr>
            </w:pPr>
          </w:p>
        </w:tc>
      </w:tr>
      <w:tr>
        <w:trPr>
          <w:trHeight w:val="642"/>
        </w:trPr>
        <w:tc>
          <w:tcPr>
            <w:tcW w:w="454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443"/>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 PREMISES, BUILDING, PROJECT, AND COMMON AREAS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2 LEASE TERM</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29"/>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3 BASE RENT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4 ADDITIONAL RENT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29"/>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5 USE OF PREMISES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6 SERVICES AND UTILITIES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29"/>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7 REPAIRS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29"/>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8 ADDITIONS AND ALTERATIONS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9 COVENANT AGAINST LIENS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29"/>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10 INSURANCE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29"/>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11 DAMAGE AND DESTRUCTION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12 NONWAIVER</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29"/>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13 CONDEMNATION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14 ASSIGNMENT AND SUBLETTING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229"/>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15 SURRENDER OF PREMISES; OWNERSHIP AND REMOVAL OF TRADE FIXTURES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29"/>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16 HOLDING OVER</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17 ESTOPPEL CERTIFICATES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29"/>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18 SUBORDINATION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19 DEFAULTS; REMEDIES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20 COVENANT OF QUIET ENJOYMENT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29"/>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21 INTENTIONALLY OMITTED</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22 INTENTIONALLY OMITTED</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23 SIGNS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24 COMPLIANCE WITH LAW</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29"/>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25 LATE CHARGES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26 LANDLORD’S RIGHT TO CURE DEFAULT; PAYMENTS BY TENANT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27 ENTRY BY LANDLORD</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30"/>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28 TENANT PARKING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58"/>
        </w:trPr>
        <w:tc>
          <w:tcPr>
            <w:tcW w:w="108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29 MISCELLANEOUS PROVISIONS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w:t>
      </w:r>
    </w:p>
    <w:p>
      <w:pPr>
        <w:spacing w:after="0" w:line="216" w:lineRule="exact"/>
        <w:rPr>
          <w:sz w:val="20"/>
          <w:szCs w:val="20"/>
          <w:color w:val="auto"/>
        </w:rPr>
      </w:pPr>
    </w:p>
    <w:p>
      <w:pPr>
        <w:ind w:right="8600" w:firstLine="8"/>
        <w:spacing w:after="0" w:line="250" w:lineRule="auto"/>
        <w:tabs>
          <w:tab w:leader="none" w:pos="39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OUTLINE OF PREMISES B TENANT WORK LETTER</w:t>
      </w:r>
    </w:p>
    <w:p>
      <w:pPr>
        <w:spacing w:after="0" w:line="1" w:lineRule="exact"/>
        <w:rPr>
          <w:rFonts w:ascii="Times New Roman" w:cs="Times New Roman" w:eastAsia="Times New Roman" w:hAnsi="Times New Roman"/>
          <w:sz w:val="20"/>
          <w:szCs w:val="20"/>
          <w:color w:val="auto"/>
        </w:rPr>
      </w:pPr>
    </w:p>
    <w:p>
      <w:pPr>
        <w:ind w:right="694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FORM OF NOTICE OF LEASE TERM DATES D RULES AND REGULATIONS</w:t>
      </w:r>
    </w:p>
    <w:p>
      <w:pPr>
        <w:ind w:right="664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 FORM OF TENANT’S ESTOPPEL CERTIFICATE F INITIAL HAZARDOUS MATERIALS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   APPROVED SIGNAGE</w:t>
      </w:r>
    </w:p>
    <w:p>
      <w:pPr>
        <w:ind w:right="788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 DESIGNATED PARKING SPACES I FORM OF SIGHT DRAFT</w:t>
      </w:r>
    </w:p>
    <w:p>
      <w:pPr>
        <w:spacing w:after="0" w:line="1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THE QUAD @ TASMAN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OFFICE LEASE</w:t>
      </w:r>
    </w:p>
    <w:p>
      <w:pPr>
        <w:spacing w:after="0" w:line="200" w:lineRule="exact"/>
        <w:rPr>
          <w:sz w:val="20"/>
          <w:szCs w:val="20"/>
          <w:color w:val="auto"/>
        </w:rPr>
      </w:pPr>
    </w:p>
    <w:p>
      <w:pPr>
        <w:spacing w:after="0" w:line="23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This Office Lease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dated as of the date set forth in Section 1 of the Summary of Basic Lease Information (the “</w:t>
      </w:r>
      <w:r>
        <w:rPr>
          <w:rFonts w:ascii="Times New Roman" w:cs="Times New Roman" w:eastAsia="Times New Roman" w:hAnsi="Times New Roman"/>
          <w:sz w:val="20"/>
          <w:szCs w:val="20"/>
          <w:b w:val="1"/>
          <w:bCs w:val="1"/>
          <w:color w:val="auto"/>
        </w:rPr>
        <w:t>Summary</w:t>
      </w:r>
      <w:r>
        <w:rPr>
          <w:rFonts w:ascii="Times New Roman" w:cs="Times New Roman" w:eastAsia="Times New Roman" w:hAnsi="Times New Roman"/>
          <w:sz w:val="20"/>
          <w:szCs w:val="20"/>
          <w:color w:val="auto"/>
        </w:rPr>
        <w:t>”), below, is made by and between THE QUAD SANTA CLARA, LLC, a Delaware limited liability company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and AMBARELLA CORPORATION, a Delaware corporation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SUMMARY OF BASIC LEASE INFORMATION</w:t>
            </w:r>
          </w:p>
        </w:tc>
        <w:tc>
          <w:tcPr>
            <w:tcW w:w="1800" w:type="dxa"/>
            <w:vAlign w:val="bottom"/>
          </w:tcPr>
          <w:p>
            <w:pPr>
              <w:spacing w:after="0"/>
              <w:rPr>
                <w:sz w:val="19"/>
                <w:szCs w:val="19"/>
                <w:color w:val="auto"/>
              </w:rPr>
            </w:pPr>
          </w:p>
        </w:tc>
      </w:tr>
      <w:tr>
        <w:trPr>
          <w:trHeight w:val="472"/>
        </w:trPr>
        <w:tc>
          <w:tcPr>
            <w:tcW w:w="34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TERMS OF LEASE</w:t>
            </w:r>
          </w:p>
        </w:tc>
        <w:tc>
          <w:tcPr>
            <w:tcW w:w="6060" w:type="dxa"/>
            <w:vAlign w:val="bottom"/>
            <w:gridSpan w:val="2"/>
          </w:tcPr>
          <w:p>
            <w:pPr>
              <w:ind w:left="1920"/>
              <w:spacing w:after="0"/>
              <w:rPr>
                <w:sz w:val="20"/>
                <w:szCs w:val="20"/>
                <w:color w:val="auto"/>
              </w:rPr>
            </w:pPr>
            <w:r>
              <w:rPr>
                <w:rFonts w:ascii="Times New Roman" w:cs="Times New Roman" w:eastAsia="Times New Roman" w:hAnsi="Times New Roman"/>
                <w:sz w:val="20"/>
                <w:szCs w:val="20"/>
                <w:color w:val="auto"/>
              </w:rPr>
              <w:t>DESCRIPTION</w:t>
            </w:r>
          </w:p>
        </w:tc>
      </w:tr>
      <w:tr>
        <w:trPr>
          <w:trHeight w:val="446"/>
        </w:trPr>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Date:</w:t>
            </w:r>
          </w:p>
        </w:tc>
        <w:tc>
          <w:tcPr>
            <w:tcW w:w="6060" w:type="dxa"/>
            <w:vAlign w:val="bottom"/>
            <w:gridSpan w:val="2"/>
          </w:tcPr>
          <w:p>
            <w:pPr>
              <w:ind w:left="1920"/>
              <w:spacing w:after="0"/>
              <w:rPr>
                <w:sz w:val="20"/>
                <w:szCs w:val="20"/>
                <w:color w:val="auto"/>
              </w:rPr>
            </w:pPr>
            <w:r>
              <w:rPr>
                <w:rFonts w:ascii="Times New Roman" w:cs="Times New Roman" w:eastAsia="Times New Roman" w:hAnsi="Times New Roman"/>
                <w:sz w:val="20"/>
                <w:szCs w:val="20"/>
                <w:color w:val="auto"/>
              </w:rPr>
              <w:t>December 20, 2024</w:t>
            </w:r>
          </w:p>
        </w:tc>
      </w:tr>
      <w:tr>
        <w:trPr>
          <w:trHeight w:val="417"/>
        </w:trPr>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314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Premises</w:t>
            </w:r>
          </w:p>
        </w:tc>
        <w:tc>
          <w:tcPr>
            <w:tcW w:w="4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2"/>
        </w:trPr>
        <w:tc>
          <w:tcPr>
            <w:tcW w:w="260" w:type="dxa"/>
            <w:vAlign w:val="bottom"/>
          </w:tcPr>
          <w:p>
            <w:pPr>
              <w:spacing w:after="0"/>
              <w:rPr>
                <w:sz w:val="18"/>
                <w:szCs w:val="18"/>
                <w:color w:val="auto"/>
              </w:rPr>
            </w:pPr>
          </w:p>
        </w:tc>
        <w:tc>
          <w:tcPr>
            <w:tcW w:w="3140" w:type="dxa"/>
            <w:vAlign w:val="bottom"/>
            <w:gridSpan w:val="4"/>
          </w:tcPr>
          <w:p>
            <w:pPr>
              <w:ind w:left="80"/>
              <w:spacing w:after="0" w:line="212" w:lineRule="exact"/>
              <w:rPr>
                <w:sz w:val="20"/>
                <w:szCs w:val="20"/>
                <w:color w:val="auto"/>
              </w:rPr>
            </w:pPr>
            <w:r>
              <w:rPr>
                <w:rFonts w:ascii="Times New Roman" w:cs="Times New Roman" w:eastAsia="Times New Roman" w:hAnsi="Times New Roman"/>
                <w:sz w:val="20"/>
                <w:szCs w:val="20"/>
                <w:color w:val="auto"/>
              </w:rPr>
              <w:t>(Article 1).</w:t>
            </w:r>
          </w:p>
        </w:tc>
        <w:tc>
          <w:tcPr>
            <w:tcW w:w="42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r>
      <w:tr>
        <w:trPr>
          <w:trHeight w:val="443"/>
        </w:trPr>
        <w:tc>
          <w:tcPr>
            <w:tcW w:w="26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2.1</w:t>
            </w:r>
          </w:p>
        </w:tc>
        <w:tc>
          <w:tcPr>
            <w:tcW w:w="2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Building:</w:t>
            </w:r>
          </w:p>
        </w:tc>
        <w:tc>
          <w:tcPr>
            <w:tcW w:w="6060" w:type="dxa"/>
            <w:vAlign w:val="bottom"/>
            <w:gridSpan w:val="2"/>
          </w:tcPr>
          <w:p>
            <w:pPr>
              <w:ind w:left="1920"/>
              <w:spacing w:after="0"/>
              <w:rPr>
                <w:sz w:val="20"/>
                <w:szCs w:val="20"/>
                <w:color w:val="auto"/>
              </w:rPr>
            </w:pPr>
            <w:r>
              <w:rPr>
                <w:rFonts w:ascii="Times New Roman" w:cs="Times New Roman" w:eastAsia="Times New Roman" w:hAnsi="Times New Roman"/>
                <w:sz w:val="20"/>
                <w:szCs w:val="20"/>
                <w:color w:val="auto"/>
                <w:w w:val="98"/>
              </w:rPr>
              <w:t>That certain building located at 3001 Tasman Drive,</w:t>
            </w:r>
          </w:p>
        </w:tc>
      </w:tr>
      <w:tr>
        <w:trPr>
          <w:trHeight w:val="229"/>
        </w:trPr>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060" w:type="dxa"/>
            <w:vAlign w:val="bottom"/>
            <w:gridSpan w:val="2"/>
          </w:tcPr>
          <w:p>
            <w:pPr>
              <w:ind w:left="1920"/>
              <w:spacing w:after="0"/>
              <w:rPr>
                <w:sz w:val="20"/>
                <w:szCs w:val="20"/>
                <w:color w:val="auto"/>
              </w:rPr>
            </w:pPr>
            <w:r>
              <w:rPr>
                <w:rFonts w:ascii="Times New Roman" w:cs="Times New Roman" w:eastAsia="Times New Roman" w:hAnsi="Times New Roman"/>
                <w:sz w:val="20"/>
                <w:szCs w:val="20"/>
                <w:color w:val="auto"/>
              </w:rPr>
              <w:t>Santa Clara, California. The Building is known as</w:t>
            </w:r>
          </w:p>
        </w:tc>
      </w:tr>
      <w:tr>
        <w:trPr>
          <w:trHeight w:val="258"/>
        </w:trPr>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6060" w:type="dxa"/>
            <w:vAlign w:val="bottom"/>
            <w:gridSpan w:val="2"/>
          </w:tcPr>
          <w:p>
            <w:pPr>
              <w:ind w:left="1920"/>
              <w:spacing w:after="0"/>
              <w:rPr>
                <w:sz w:val="20"/>
                <w:szCs w:val="20"/>
                <w:color w:val="auto"/>
              </w:rPr>
            </w:pPr>
            <w:r>
              <w:rPr>
                <w:rFonts w:ascii="Times New Roman" w:cs="Times New Roman" w:eastAsia="Times New Roman" w:hAnsi="Times New Roman"/>
                <w:sz w:val="20"/>
                <w:szCs w:val="20"/>
                <w:color w:val="auto"/>
              </w:rPr>
              <w:t>“Building 7” in the Project.</w:t>
            </w:r>
          </w:p>
        </w:tc>
      </w:tr>
      <w:tr>
        <w:trPr>
          <w:trHeight w:val="417"/>
        </w:trPr>
        <w:tc>
          <w:tcPr>
            <w:tcW w:w="26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2.2</w:t>
            </w:r>
          </w:p>
        </w:tc>
        <w:tc>
          <w:tcPr>
            <w:tcW w:w="2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Premises:</w:t>
            </w:r>
          </w:p>
        </w:tc>
        <w:tc>
          <w:tcPr>
            <w:tcW w:w="6060" w:type="dxa"/>
            <w:vAlign w:val="bottom"/>
            <w:gridSpan w:val="2"/>
          </w:tcPr>
          <w:p>
            <w:pPr>
              <w:ind w:left="1920"/>
              <w:spacing w:after="0"/>
              <w:rPr>
                <w:sz w:val="20"/>
                <w:szCs w:val="20"/>
                <w:color w:val="auto"/>
              </w:rPr>
            </w:pPr>
            <w:r>
              <w:rPr>
                <w:rFonts w:ascii="Times New Roman" w:cs="Times New Roman" w:eastAsia="Times New Roman" w:hAnsi="Times New Roman"/>
                <w:sz w:val="20"/>
                <w:szCs w:val="20"/>
                <w:color w:val="auto"/>
              </w:rPr>
              <w:t>Approximately fifty-seven thousand eight hundred</w:t>
            </w:r>
          </w:p>
        </w:tc>
      </w:tr>
      <w:tr>
        <w:trPr>
          <w:trHeight w:val="229"/>
        </w:trPr>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060" w:type="dxa"/>
            <w:vAlign w:val="bottom"/>
            <w:gridSpan w:val="2"/>
          </w:tcPr>
          <w:p>
            <w:pPr>
              <w:ind w:left="1920"/>
              <w:spacing w:after="0"/>
              <w:rPr>
                <w:sz w:val="20"/>
                <w:szCs w:val="20"/>
                <w:color w:val="auto"/>
              </w:rPr>
            </w:pPr>
            <w:r>
              <w:rPr>
                <w:rFonts w:ascii="Times New Roman" w:cs="Times New Roman" w:eastAsia="Times New Roman" w:hAnsi="Times New Roman"/>
                <w:sz w:val="20"/>
                <w:szCs w:val="20"/>
                <w:color w:val="auto"/>
              </w:rPr>
              <w:t>seventy-one (57,871) rentable square feet of space</w:t>
            </w:r>
          </w:p>
        </w:tc>
      </w:tr>
      <w:tr>
        <w:trPr>
          <w:trHeight w:val="252"/>
        </w:trPr>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6060" w:type="dxa"/>
            <w:vAlign w:val="bottom"/>
            <w:gridSpan w:val="2"/>
          </w:tcPr>
          <w:p>
            <w:pPr>
              <w:ind w:left="1920"/>
              <w:spacing w:after="0"/>
              <w:rPr>
                <w:sz w:val="20"/>
                <w:szCs w:val="20"/>
                <w:color w:val="auto"/>
              </w:rPr>
            </w:pPr>
            <w:r>
              <w:rPr>
                <w:rFonts w:ascii="Times New Roman" w:cs="Times New Roman" w:eastAsia="Times New Roman" w:hAnsi="Times New Roman"/>
                <w:sz w:val="20"/>
                <w:szCs w:val="20"/>
                <w:color w:val="auto"/>
              </w:rPr>
              <w:t>located in the Building situated at 3001 Tasman</w:t>
            </w:r>
          </w:p>
        </w:tc>
      </w:tr>
    </w:tbl>
    <w:p>
      <w:pPr>
        <w:ind w:left="5420"/>
        <w:spacing w:after="0"/>
        <w:rPr>
          <w:sz w:val="20"/>
          <w:szCs w:val="20"/>
          <w:color w:val="auto"/>
        </w:rPr>
      </w:pPr>
      <w:r>
        <w:rPr>
          <w:rFonts w:ascii="Times New Roman" w:cs="Times New Roman" w:eastAsia="Times New Roman" w:hAnsi="Times New Roman"/>
          <w:sz w:val="20"/>
          <w:szCs w:val="20"/>
          <w:color w:val="auto"/>
        </w:rPr>
        <w:t xml:space="preserve">Drive, as further set forth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to the Office</w:t>
      </w:r>
    </w:p>
    <w:p>
      <w:pPr>
        <w:ind w:left="5420"/>
        <w:spacing w:after="0"/>
        <w:rPr>
          <w:sz w:val="20"/>
          <w:szCs w:val="20"/>
          <w:color w:val="auto"/>
        </w:rPr>
      </w:pPr>
      <w:r>
        <w:rPr>
          <w:rFonts w:ascii="Times New Roman" w:cs="Times New Roman" w:eastAsia="Times New Roman" w:hAnsi="Times New Roman"/>
          <w:sz w:val="20"/>
          <w:szCs w:val="20"/>
          <w:color w:val="auto"/>
        </w:rPr>
        <w:t>Lease. The Premises constitutes the entire rentable</w:t>
      </w:r>
    </w:p>
    <w:p>
      <w:pPr>
        <w:ind w:left="5420"/>
        <w:spacing w:after="0"/>
        <w:rPr>
          <w:sz w:val="20"/>
          <w:szCs w:val="20"/>
          <w:color w:val="auto"/>
        </w:rPr>
      </w:pPr>
      <w:r>
        <w:rPr>
          <w:rFonts w:ascii="Times New Roman" w:cs="Times New Roman" w:eastAsia="Times New Roman" w:hAnsi="Times New Roman"/>
          <w:sz w:val="20"/>
          <w:szCs w:val="20"/>
          <w:color w:val="auto"/>
        </w:rPr>
        <w:t>square footage of space within the Building.</w:t>
      </w:r>
    </w:p>
    <w:p>
      <w:pPr>
        <w:spacing w:after="0" w:line="194" w:lineRule="exact"/>
        <w:rPr>
          <w:sz w:val="20"/>
          <w:szCs w:val="20"/>
          <w:color w:val="auto"/>
        </w:rPr>
      </w:pPr>
    </w:p>
    <w:p>
      <w:pPr>
        <w:ind w:left="440" w:right="9800" w:hanging="335"/>
        <w:spacing w:after="0" w:line="295" w:lineRule="auto"/>
        <w:tabs>
          <w:tab w:leader="none" w:pos="494"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 Term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Length of Term:</w:t>
            </w:r>
          </w:p>
        </w:tc>
        <w:tc>
          <w:tcPr>
            <w:tcW w:w="6960" w:type="dxa"/>
            <w:vAlign w:val="bottom"/>
            <w:gridSpan w:val="3"/>
          </w:tcPr>
          <w:p>
            <w:pPr>
              <w:ind w:left="1140"/>
              <w:spacing w:after="0"/>
              <w:rPr>
                <w:sz w:val="20"/>
                <w:szCs w:val="20"/>
                <w:color w:val="auto"/>
              </w:rPr>
            </w:pPr>
            <w:r>
              <w:rPr>
                <w:rFonts w:ascii="Times New Roman" w:cs="Times New Roman" w:eastAsia="Times New Roman" w:hAnsi="Times New Roman"/>
                <w:sz w:val="20"/>
                <w:szCs w:val="20"/>
                <w:color w:val="auto"/>
              </w:rPr>
              <w:t>One hundred four (104) months after the Lease</w:t>
            </w:r>
          </w:p>
        </w:tc>
      </w:tr>
      <w:tr>
        <w:trPr>
          <w:trHeight w:val="258"/>
        </w:trPr>
        <w:tc>
          <w:tcPr>
            <w:tcW w:w="8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6960" w:type="dxa"/>
            <w:vAlign w:val="bottom"/>
            <w:gridSpan w:val="3"/>
          </w:tcPr>
          <w:p>
            <w:pPr>
              <w:ind w:left="1140"/>
              <w:spacing w:after="0"/>
              <w:rPr>
                <w:sz w:val="20"/>
                <w:szCs w:val="20"/>
                <w:color w:val="auto"/>
              </w:rPr>
            </w:pPr>
            <w:r>
              <w:rPr>
                <w:rFonts w:ascii="Times New Roman" w:cs="Times New Roman" w:eastAsia="Times New Roman" w:hAnsi="Times New Roman"/>
                <w:sz w:val="20"/>
                <w:szCs w:val="20"/>
                <w:color w:val="auto"/>
              </w:rPr>
              <w:t>Commencement Date.</w:t>
            </w:r>
          </w:p>
        </w:tc>
      </w:tr>
      <w:tr>
        <w:trPr>
          <w:trHeight w:val="417"/>
        </w:trPr>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3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 Commencement Date:</w:t>
            </w:r>
          </w:p>
        </w:tc>
        <w:tc>
          <w:tcPr>
            <w:tcW w:w="6960" w:type="dxa"/>
            <w:vAlign w:val="bottom"/>
            <w:gridSpan w:val="3"/>
          </w:tcPr>
          <w:p>
            <w:pPr>
              <w:ind w:left="1140"/>
              <w:spacing w:after="0"/>
              <w:rPr>
                <w:sz w:val="20"/>
                <w:szCs w:val="20"/>
                <w:color w:val="auto"/>
              </w:rPr>
            </w:pPr>
            <w:r>
              <w:rPr>
                <w:rFonts w:ascii="Times New Roman" w:cs="Times New Roman" w:eastAsia="Times New Roman" w:hAnsi="Times New Roman"/>
                <w:sz w:val="20"/>
                <w:szCs w:val="20"/>
                <w:color w:val="auto"/>
              </w:rPr>
              <w:t>The earlier of (i) the later of (x) the date two (2)</w:t>
            </w:r>
          </w:p>
        </w:tc>
      </w:tr>
      <w:tr>
        <w:trPr>
          <w:trHeight w:val="230"/>
        </w:trPr>
        <w:tc>
          <w:tcPr>
            <w:tcW w:w="8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960" w:type="dxa"/>
            <w:vAlign w:val="bottom"/>
            <w:gridSpan w:val="3"/>
          </w:tcPr>
          <w:p>
            <w:pPr>
              <w:ind w:left="1140"/>
              <w:spacing w:after="0"/>
              <w:rPr>
                <w:sz w:val="20"/>
                <w:szCs w:val="20"/>
                <w:color w:val="auto"/>
              </w:rPr>
            </w:pPr>
            <w:r>
              <w:rPr>
                <w:rFonts w:ascii="Times New Roman" w:cs="Times New Roman" w:eastAsia="Times New Roman" w:hAnsi="Times New Roman"/>
                <w:sz w:val="20"/>
                <w:szCs w:val="20"/>
                <w:color w:val="auto"/>
              </w:rPr>
              <w:t>weeks  following  the  date  Landlord  delivers</w:t>
            </w:r>
          </w:p>
        </w:tc>
      </w:tr>
      <w:tr>
        <w:trPr>
          <w:trHeight w:val="229"/>
        </w:trPr>
        <w:tc>
          <w:tcPr>
            <w:tcW w:w="8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960" w:type="dxa"/>
            <w:vAlign w:val="bottom"/>
            <w:gridSpan w:val="3"/>
          </w:tcPr>
          <w:p>
            <w:pPr>
              <w:ind w:left="1140"/>
              <w:spacing w:after="0"/>
              <w:rPr>
                <w:sz w:val="20"/>
                <w:szCs w:val="20"/>
                <w:color w:val="auto"/>
              </w:rPr>
            </w:pPr>
            <w:r>
              <w:rPr>
                <w:rFonts w:ascii="Times New Roman" w:cs="Times New Roman" w:eastAsia="Times New Roman" w:hAnsi="Times New Roman"/>
                <w:sz w:val="20"/>
                <w:szCs w:val="20"/>
                <w:color w:val="auto"/>
              </w:rPr>
              <w:t>possession of the Premises to Tenant with the Tenant</w:t>
            </w:r>
          </w:p>
        </w:tc>
      </w:tr>
      <w:tr>
        <w:trPr>
          <w:trHeight w:val="230"/>
        </w:trPr>
        <w:tc>
          <w:tcPr>
            <w:tcW w:w="8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960" w:type="dxa"/>
            <w:vAlign w:val="bottom"/>
            <w:gridSpan w:val="3"/>
          </w:tcPr>
          <w:p>
            <w:pPr>
              <w:ind w:left="1140"/>
              <w:spacing w:after="0"/>
              <w:rPr>
                <w:sz w:val="20"/>
                <w:szCs w:val="20"/>
                <w:color w:val="auto"/>
              </w:rPr>
            </w:pPr>
            <w:r>
              <w:rPr>
                <w:rFonts w:ascii="Times New Roman" w:cs="Times New Roman" w:eastAsia="Times New Roman" w:hAnsi="Times New Roman"/>
                <w:sz w:val="20"/>
                <w:szCs w:val="20"/>
                <w:color w:val="auto"/>
              </w:rPr>
              <w:t>Improvement  Work  therein  to  be  performed  by</w:t>
            </w:r>
          </w:p>
        </w:tc>
      </w:tr>
      <w:tr>
        <w:trPr>
          <w:trHeight w:val="230"/>
        </w:trPr>
        <w:tc>
          <w:tcPr>
            <w:tcW w:w="8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960" w:type="dxa"/>
            <w:vAlign w:val="bottom"/>
            <w:gridSpan w:val="3"/>
          </w:tcPr>
          <w:p>
            <w:pPr>
              <w:ind w:left="1140"/>
              <w:spacing w:after="0"/>
              <w:rPr>
                <w:sz w:val="20"/>
                <w:szCs w:val="20"/>
                <w:color w:val="auto"/>
              </w:rPr>
            </w:pPr>
            <w:r>
              <w:rPr>
                <w:rFonts w:ascii="Times New Roman" w:cs="Times New Roman" w:eastAsia="Times New Roman" w:hAnsi="Times New Roman"/>
                <w:sz w:val="20"/>
                <w:szCs w:val="20"/>
                <w:color w:val="auto"/>
              </w:rPr>
              <w:t>Landlord  pursuant  to  the  Tenant  Work  Letter</w:t>
            </w:r>
          </w:p>
        </w:tc>
      </w:tr>
      <w:tr>
        <w:trPr>
          <w:trHeight w:val="230"/>
        </w:trPr>
        <w:tc>
          <w:tcPr>
            <w:tcW w:w="8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960" w:type="dxa"/>
            <w:vAlign w:val="bottom"/>
            <w:gridSpan w:val="3"/>
          </w:tcPr>
          <w:p>
            <w:pPr>
              <w:ind w:left="1140"/>
              <w:spacing w:after="0"/>
              <w:rPr>
                <w:sz w:val="20"/>
                <w:szCs w:val="20"/>
                <w:color w:val="auto"/>
              </w:rPr>
            </w:pPr>
            <w:r>
              <w:rPr>
                <w:rFonts w:ascii="Times New Roman" w:cs="Times New Roman" w:eastAsia="Times New Roman" w:hAnsi="Times New Roman"/>
                <w:sz w:val="20"/>
                <w:szCs w:val="20"/>
                <w:color w:val="auto"/>
              </w:rPr>
              <w:t>“Substantially Completed” (as defined in the Tenant</w:t>
            </w:r>
          </w:p>
        </w:tc>
      </w:tr>
      <w:tr>
        <w:trPr>
          <w:trHeight w:val="229"/>
        </w:trPr>
        <w:tc>
          <w:tcPr>
            <w:tcW w:w="8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960" w:type="dxa"/>
            <w:vAlign w:val="bottom"/>
            <w:gridSpan w:val="3"/>
          </w:tcPr>
          <w:p>
            <w:pPr>
              <w:ind w:left="1140"/>
              <w:spacing w:after="0"/>
              <w:rPr>
                <w:sz w:val="20"/>
                <w:szCs w:val="20"/>
                <w:color w:val="auto"/>
              </w:rPr>
            </w:pPr>
            <w:r>
              <w:rPr>
                <w:rFonts w:ascii="Times New Roman" w:cs="Times New Roman" w:eastAsia="Times New Roman" w:hAnsi="Times New Roman"/>
                <w:sz w:val="20"/>
                <w:szCs w:val="20"/>
                <w:color w:val="auto"/>
              </w:rPr>
              <w:t>Work Letter) therein and otherwise in the condition</w:t>
            </w:r>
          </w:p>
        </w:tc>
      </w:tr>
      <w:tr>
        <w:trPr>
          <w:trHeight w:val="212"/>
        </w:trPr>
        <w:tc>
          <w:tcPr>
            <w:tcW w:w="8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60" w:type="dxa"/>
            <w:vAlign w:val="bottom"/>
            <w:gridSpan w:val="3"/>
          </w:tcPr>
          <w:p>
            <w:pPr>
              <w:ind w:left="1140"/>
              <w:spacing w:after="0" w:line="212" w:lineRule="exact"/>
              <w:rPr>
                <w:sz w:val="20"/>
                <w:szCs w:val="20"/>
                <w:color w:val="auto"/>
              </w:rPr>
            </w:pPr>
            <w:r>
              <w:rPr>
                <w:rFonts w:ascii="Times New Roman" w:cs="Times New Roman" w:eastAsia="Times New Roman" w:hAnsi="Times New Roman"/>
                <w:sz w:val="20"/>
                <w:szCs w:val="20"/>
                <w:color w:val="auto"/>
              </w:rPr>
              <w:t>required in Section 1.1.1 of this Lease, including</w:t>
            </w:r>
          </w:p>
        </w:tc>
      </w:tr>
      <w:tr>
        <w:trPr>
          <w:trHeight w:val="20"/>
        </w:trPr>
        <w:tc>
          <w:tcPr>
            <w:tcW w:w="8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27"/>
        </w:trPr>
        <w:tc>
          <w:tcPr>
            <w:tcW w:w="8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960" w:type="dxa"/>
            <w:vAlign w:val="bottom"/>
            <w:gridSpan w:val="3"/>
          </w:tcPr>
          <w:p>
            <w:pPr>
              <w:ind w:left="1140"/>
              <w:spacing w:after="0" w:line="228" w:lineRule="exact"/>
              <w:rPr>
                <w:sz w:val="20"/>
                <w:szCs w:val="20"/>
                <w:color w:val="auto"/>
              </w:rPr>
            </w:pPr>
            <w:r>
              <w:rPr>
                <w:rFonts w:ascii="Times New Roman" w:cs="Times New Roman" w:eastAsia="Times New Roman" w:hAnsi="Times New Roman"/>
                <w:sz w:val="20"/>
                <w:szCs w:val="20"/>
                <w:color w:val="auto"/>
              </w:rPr>
              <w:t>with all Existing Furniture and Furnishings installed</w:t>
            </w:r>
          </w:p>
        </w:tc>
      </w:tr>
      <w:tr>
        <w:trPr>
          <w:trHeight w:val="258"/>
        </w:trPr>
        <w:tc>
          <w:tcPr>
            <w:tcW w:w="8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6960" w:type="dxa"/>
            <w:vAlign w:val="bottom"/>
            <w:gridSpan w:val="3"/>
          </w:tcPr>
          <w:p>
            <w:pPr>
              <w:ind w:left="1140"/>
              <w:spacing w:after="0"/>
              <w:rPr>
                <w:sz w:val="20"/>
                <w:szCs w:val="20"/>
                <w:color w:val="auto"/>
              </w:rPr>
            </w:pPr>
            <w:r>
              <w:rPr>
                <w:rFonts w:ascii="Times New Roman" w:cs="Times New Roman" w:eastAsia="Times New Roman" w:hAnsi="Times New Roman"/>
                <w:sz w:val="20"/>
                <w:szCs w:val="20"/>
                <w:color w:val="auto"/>
              </w:rPr>
              <w:t>as</w:t>
            </w:r>
          </w:p>
        </w:tc>
      </w:tr>
      <w:tr>
        <w:trPr>
          <w:trHeight w:val="324"/>
        </w:trPr>
        <w:tc>
          <w:tcPr>
            <w:tcW w:w="8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w:t>
            </w:r>
          </w:p>
        </w:tc>
        <w:tc>
          <w:tcPr>
            <w:tcW w:w="3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081"/>
        </w:trPr>
        <w:tc>
          <w:tcPr>
            <w:tcW w:w="8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required under Section 1.1.1.2 or (y) September 1,</w:t>
            </w:r>
          </w:p>
        </w:tc>
      </w:tr>
      <w:tr>
        <w:trPr>
          <w:trHeight w:val="20"/>
        </w:trPr>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27"/>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line="228" w:lineRule="exact"/>
              <w:rPr>
                <w:sz w:val="20"/>
                <w:szCs w:val="20"/>
                <w:color w:val="auto"/>
              </w:rPr>
            </w:pPr>
            <w:r>
              <w:rPr>
                <w:rFonts w:ascii="Times New Roman" w:cs="Times New Roman" w:eastAsia="Times New Roman" w:hAnsi="Times New Roman"/>
                <w:sz w:val="20"/>
                <w:szCs w:val="20"/>
                <w:color w:val="auto"/>
              </w:rPr>
              <w:t>2025 or (ii) the date Tenant commences business</w:t>
            </w:r>
          </w:p>
        </w:tc>
      </w:tr>
      <w:tr>
        <w:trPr>
          <w:trHeight w:val="225"/>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line="226" w:lineRule="exact"/>
              <w:rPr>
                <w:sz w:val="20"/>
                <w:szCs w:val="20"/>
                <w:color w:val="auto"/>
              </w:rPr>
            </w:pPr>
            <w:r>
              <w:rPr>
                <w:rFonts w:ascii="Times New Roman" w:cs="Times New Roman" w:eastAsia="Times New Roman" w:hAnsi="Times New Roman"/>
                <w:sz w:val="20"/>
                <w:szCs w:val="20"/>
                <w:color w:val="auto"/>
              </w:rPr>
              <w:t>operations in the Premises. For purposes of this</w:t>
            </w:r>
          </w:p>
        </w:tc>
      </w:tr>
      <w:tr>
        <w:trPr>
          <w:trHeight w:val="234"/>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Lease, the term “</w:t>
            </w:r>
            <w:r>
              <w:rPr>
                <w:rFonts w:ascii="Times New Roman" w:cs="Times New Roman" w:eastAsia="Times New Roman" w:hAnsi="Times New Roman"/>
                <w:sz w:val="20"/>
                <w:szCs w:val="20"/>
                <w:b w:val="1"/>
                <w:bCs w:val="1"/>
                <w:color w:val="auto"/>
              </w:rPr>
              <w:t>Delivery Date</w:t>
            </w:r>
            <w:r>
              <w:rPr>
                <w:rFonts w:ascii="Times New Roman" w:cs="Times New Roman" w:eastAsia="Times New Roman" w:hAnsi="Times New Roman"/>
                <w:sz w:val="20"/>
                <w:szCs w:val="20"/>
                <w:color w:val="auto"/>
              </w:rPr>
              <w:t>” shall mean the date</w:t>
            </w:r>
          </w:p>
        </w:tc>
      </w:tr>
      <w:tr>
        <w:trPr>
          <w:trHeight w:val="229"/>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that Landlord delivers possession of the Premises to</w:t>
            </w:r>
          </w:p>
        </w:tc>
      </w:tr>
      <w:tr>
        <w:trPr>
          <w:trHeight w:val="229"/>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Tenant with the Tenant Improvement Work therein to</w:t>
            </w:r>
          </w:p>
        </w:tc>
      </w:tr>
      <w:tr>
        <w:trPr>
          <w:trHeight w:val="230"/>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be performed by Landlord pursuant to the Tenant</w:t>
            </w:r>
          </w:p>
        </w:tc>
      </w:tr>
      <w:tr>
        <w:trPr>
          <w:trHeight w:val="229"/>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Work Letter “Substantially Completed” (as defined in</w:t>
            </w:r>
          </w:p>
        </w:tc>
      </w:tr>
      <w:tr>
        <w:trPr>
          <w:trHeight w:val="229"/>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the Tenant Work Letter) therein and otherwise in the</w:t>
            </w:r>
          </w:p>
        </w:tc>
      </w:tr>
      <w:tr>
        <w:trPr>
          <w:trHeight w:val="230"/>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condition required in Section 1.1.1 of this Lease,</w:t>
            </w:r>
          </w:p>
        </w:tc>
      </w:tr>
      <w:tr>
        <w:trPr>
          <w:trHeight w:val="229"/>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including with all Existing Furniture and Furnishings</w:t>
            </w:r>
          </w:p>
        </w:tc>
      </w:tr>
      <w:tr>
        <w:trPr>
          <w:trHeight w:val="258"/>
        </w:trPr>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installed as required under Section 1.1.1.2.</w:t>
            </w:r>
          </w:p>
        </w:tc>
      </w:tr>
      <w:tr>
        <w:trPr>
          <w:trHeight w:val="660"/>
        </w:trPr>
        <w:tc>
          <w:tcPr>
            <w:tcW w:w="3700" w:type="dxa"/>
            <w:vAlign w:val="bottom"/>
            <w:gridSpan w:val="5"/>
          </w:tcPr>
          <w:p>
            <w:pPr>
              <w:ind w:left="460"/>
              <w:spacing w:after="0"/>
              <w:rPr>
                <w:sz w:val="20"/>
                <w:szCs w:val="20"/>
                <w:color w:val="auto"/>
              </w:rPr>
            </w:pPr>
            <w:r>
              <w:rPr>
                <w:rFonts w:ascii="Times New Roman" w:cs="Times New Roman" w:eastAsia="Times New Roman" w:hAnsi="Times New Roman"/>
                <w:sz w:val="20"/>
                <w:szCs w:val="20"/>
                <w:color w:val="auto"/>
              </w:rPr>
              <w:t>3.3  Lease Expiration Date:</w:t>
            </w:r>
          </w:p>
        </w:tc>
        <w:tc>
          <w:tcPr>
            <w:tcW w:w="1000" w:type="dxa"/>
            <w:vAlign w:val="bottom"/>
          </w:tcPr>
          <w:p>
            <w:pPr>
              <w:spacing w:after="0"/>
              <w:rPr>
                <w:sz w:val="24"/>
                <w:szCs w:val="24"/>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If the Lease Commencement Date shall be the first</w:t>
            </w:r>
          </w:p>
        </w:tc>
      </w:tr>
      <w:tr>
        <w:trPr>
          <w:trHeight w:val="229"/>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day of a calendar month, then the day immediately</w:t>
            </w:r>
          </w:p>
        </w:tc>
      </w:tr>
      <w:tr>
        <w:trPr>
          <w:trHeight w:val="229"/>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preceding the expiration of the one hundred fourth</w:t>
            </w:r>
          </w:p>
        </w:tc>
      </w:tr>
      <w:tr>
        <w:trPr>
          <w:trHeight w:val="230"/>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(104th) full calendar month following the Lease</w:t>
            </w:r>
          </w:p>
        </w:tc>
      </w:tr>
      <w:tr>
        <w:trPr>
          <w:trHeight w:val="229"/>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Commencement Date; or, if the Lease</w:t>
            </w:r>
          </w:p>
        </w:tc>
      </w:tr>
      <w:tr>
        <w:trPr>
          <w:trHeight w:val="230"/>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Commencement Date shall be other than the first day</w:t>
            </w:r>
          </w:p>
        </w:tc>
      </w:tr>
      <w:tr>
        <w:trPr>
          <w:trHeight w:val="229"/>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of a calendar month, then the last day of the month in</w:t>
            </w:r>
          </w:p>
        </w:tc>
      </w:tr>
      <w:tr>
        <w:trPr>
          <w:trHeight w:val="229"/>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which the one hundred fourth (104th) full calendar</w:t>
            </w:r>
          </w:p>
        </w:tc>
      </w:tr>
      <w:tr>
        <w:trPr>
          <w:trHeight w:val="258"/>
        </w:trPr>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540" w:type="dxa"/>
            <w:vAlign w:val="bottom"/>
            <w:gridSpan w:val="6"/>
          </w:tcPr>
          <w:p>
            <w:pPr>
              <w:ind w:left="700"/>
              <w:spacing w:after="0"/>
              <w:rPr>
                <w:sz w:val="20"/>
                <w:szCs w:val="20"/>
                <w:color w:val="auto"/>
              </w:rPr>
            </w:pPr>
            <w:r>
              <w:rPr>
                <w:rFonts w:ascii="Times New Roman" w:cs="Times New Roman" w:eastAsia="Times New Roman" w:hAnsi="Times New Roman"/>
                <w:sz w:val="20"/>
                <w:szCs w:val="20"/>
                <w:color w:val="auto"/>
              </w:rPr>
              <w:t>month of the Lease Commencement Date occurs.</w:t>
            </w:r>
          </w:p>
        </w:tc>
      </w:tr>
      <w:tr>
        <w:trPr>
          <w:trHeight w:val="399"/>
        </w:trPr>
        <w:tc>
          <w:tcPr>
            <w:tcW w:w="370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4.   Base Rent (Article 3):</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43"/>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2"/>
          </w:tcPr>
          <w:p>
            <w:pPr>
              <w:jc w:val="center"/>
              <w:ind w:right="2120"/>
              <w:spacing w:after="0"/>
              <w:rPr>
                <w:sz w:val="20"/>
                <w:szCs w:val="20"/>
                <w:color w:val="auto"/>
              </w:rPr>
            </w:pPr>
            <w:r>
              <w:rPr>
                <w:rFonts w:ascii="Times New Roman" w:cs="Times New Roman" w:eastAsia="Times New Roman" w:hAnsi="Times New Roman"/>
                <w:sz w:val="20"/>
                <w:szCs w:val="20"/>
                <w:color w:val="auto"/>
                <w:w w:val="98"/>
              </w:rPr>
              <w:t>Approximate</w:t>
            </w:r>
          </w:p>
        </w:tc>
      </w:tr>
      <w:tr>
        <w:trPr>
          <w:trHeight w:val="229"/>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gridSpan w:val="2"/>
          </w:tcPr>
          <w:p>
            <w:pPr>
              <w:jc w:val="center"/>
              <w:ind w:right="2120"/>
              <w:spacing w:after="0"/>
              <w:rPr>
                <w:sz w:val="20"/>
                <w:szCs w:val="20"/>
                <w:color w:val="auto"/>
              </w:rPr>
            </w:pPr>
            <w:r>
              <w:rPr>
                <w:rFonts w:ascii="Times New Roman" w:cs="Times New Roman" w:eastAsia="Times New Roman" w:hAnsi="Times New Roman"/>
                <w:sz w:val="20"/>
                <w:szCs w:val="20"/>
                <w:color w:val="auto"/>
                <w:w w:val="98"/>
              </w:rPr>
              <w:t>Monthly</w:t>
            </w:r>
          </w:p>
        </w:tc>
      </w:tr>
      <w:tr>
        <w:trPr>
          <w:trHeight w:val="230"/>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80" w:type="dxa"/>
            <w:vAlign w:val="bottom"/>
            <w:gridSpan w:val="2"/>
          </w:tcPr>
          <w:p>
            <w:pPr>
              <w:jc w:val="center"/>
              <w:ind w:right="980"/>
              <w:spacing w:after="0"/>
              <w:rPr>
                <w:sz w:val="20"/>
                <w:szCs w:val="20"/>
                <w:color w:val="auto"/>
              </w:rPr>
            </w:pPr>
            <w:r>
              <w:rPr>
                <w:rFonts w:ascii="Times New Roman" w:cs="Times New Roman" w:eastAsia="Times New Roman" w:hAnsi="Times New Roman"/>
                <w:sz w:val="20"/>
                <w:szCs w:val="20"/>
                <w:color w:val="auto"/>
                <w:w w:val="98"/>
              </w:rPr>
              <w:t>Monthly</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gridSpan w:val="2"/>
          </w:tcPr>
          <w:p>
            <w:pPr>
              <w:jc w:val="center"/>
              <w:ind w:right="2120"/>
              <w:spacing w:after="0"/>
              <w:rPr>
                <w:sz w:val="20"/>
                <w:szCs w:val="20"/>
                <w:color w:val="auto"/>
              </w:rPr>
            </w:pPr>
            <w:r>
              <w:rPr>
                <w:rFonts w:ascii="Times New Roman" w:cs="Times New Roman" w:eastAsia="Times New Roman" w:hAnsi="Times New Roman"/>
                <w:sz w:val="20"/>
                <w:szCs w:val="20"/>
                <w:color w:val="auto"/>
                <w:w w:val="97"/>
              </w:rPr>
              <w:t>Rental Rate</w:t>
            </w:r>
          </w:p>
        </w:tc>
      </w:tr>
      <w:tr>
        <w:trPr>
          <w:trHeight w:val="230"/>
        </w:trPr>
        <w:tc>
          <w:tcPr>
            <w:tcW w:w="3700" w:type="dxa"/>
            <w:vAlign w:val="bottom"/>
            <w:gridSpan w:val="5"/>
          </w:tcPr>
          <w:p>
            <w:pPr>
              <w:jc w:val="center"/>
              <w:ind w:right="1320"/>
              <w:spacing w:after="0"/>
              <w:rPr>
                <w:sz w:val="20"/>
                <w:szCs w:val="20"/>
                <w:color w:val="auto"/>
              </w:rPr>
            </w:pPr>
            <w:r>
              <w:rPr>
                <w:rFonts w:ascii="Times New Roman" w:cs="Times New Roman" w:eastAsia="Times New Roman" w:hAnsi="Times New Roman"/>
                <w:sz w:val="20"/>
                <w:szCs w:val="20"/>
                <w:color w:val="auto"/>
              </w:rPr>
              <w:t>Period During</w:t>
            </w:r>
          </w:p>
        </w:tc>
        <w:tc>
          <w:tcPr>
            <w:tcW w:w="1000" w:type="dxa"/>
            <w:vAlign w:val="bottom"/>
          </w:tcPr>
          <w:p>
            <w:pPr>
              <w:spacing w:after="0"/>
              <w:rPr>
                <w:sz w:val="19"/>
                <w:szCs w:val="19"/>
                <w:color w:val="auto"/>
              </w:rPr>
            </w:pPr>
          </w:p>
        </w:tc>
        <w:tc>
          <w:tcPr>
            <w:tcW w:w="1980" w:type="dxa"/>
            <w:vAlign w:val="bottom"/>
            <w:gridSpan w:val="2"/>
          </w:tcPr>
          <w:p>
            <w:pPr>
              <w:jc w:val="center"/>
              <w:ind w:right="1000"/>
              <w:spacing w:after="0"/>
              <w:rPr>
                <w:sz w:val="20"/>
                <w:szCs w:val="20"/>
                <w:color w:val="auto"/>
              </w:rPr>
            </w:pPr>
            <w:r>
              <w:rPr>
                <w:rFonts w:ascii="Times New Roman" w:cs="Times New Roman" w:eastAsia="Times New Roman" w:hAnsi="Times New Roman"/>
                <w:sz w:val="20"/>
                <w:szCs w:val="20"/>
                <w:color w:val="auto"/>
                <w:w w:val="99"/>
              </w:rPr>
              <w:t>Installment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gridSpan w:val="2"/>
          </w:tcPr>
          <w:p>
            <w:pPr>
              <w:jc w:val="center"/>
              <w:ind w:right="2120"/>
              <w:spacing w:after="0"/>
              <w:rPr>
                <w:sz w:val="20"/>
                <w:szCs w:val="20"/>
                <w:color w:val="auto"/>
              </w:rPr>
            </w:pPr>
            <w:r>
              <w:rPr>
                <w:rFonts w:ascii="Times New Roman" w:cs="Times New Roman" w:eastAsia="Times New Roman" w:hAnsi="Times New Roman"/>
                <w:sz w:val="20"/>
                <w:szCs w:val="20"/>
                <w:color w:val="auto"/>
                <w:w w:val="98"/>
              </w:rPr>
              <w:t>per Rentable</w:t>
            </w:r>
          </w:p>
        </w:tc>
      </w:tr>
      <w:tr>
        <w:trPr>
          <w:trHeight w:val="212"/>
        </w:trPr>
        <w:tc>
          <w:tcPr>
            <w:tcW w:w="740" w:type="dxa"/>
            <w:vAlign w:val="bottom"/>
          </w:tcPr>
          <w:p>
            <w:pPr>
              <w:spacing w:after="0"/>
              <w:rPr>
                <w:sz w:val="18"/>
                <w:szCs w:val="18"/>
                <w:color w:val="auto"/>
              </w:rPr>
            </w:pPr>
          </w:p>
        </w:tc>
        <w:tc>
          <w:tcPr>
            <w:tcW w:w="2960" w:type="dxa"/>
            <w:vAlign w:val="bottom"/>
            <w:gridSpan w:val="4"/>
          </w:tcPr>
          <w:p>
            <w:pPr>
              <w:jc w:val="center"/>
              <w:ind w:right="2020"/>
              <w:spacing w:after="0" w:line="212" w:lineRule="exact"/>
              <w:rPr>
                <w:sz w:val="20"/>
                <w:szCs w:val="20"/>
                <w:color w:val="auto"/>
              </w:rPr>
            </w:pPr>
            <w:r>
              <w:rPr>
                <w:rFonts w:ascii="Times New Roman" w:cs="Times New Roman" w:eastAsia="Times New Roman" w:hAnsi="Times New Roman"/>
                <w:sz w:val="20"/>
                <w:szCs w:val="20"/>
                <w:color w:val="auto"/>
                <w:w w:val="98"/>
              </w:rPr>
              <w:t>Lease Term</w:t>
            </w:r>
          </w:p>
        </w:tc>
        <w:tc>
          <w:tcPr>
            <w:tcW w:w="2980" w:type="dxa"/>
            <w:vAlign w:val="bottom"/>
            <w:gridSpan w:val="3"/>
          </w:tcPr>
          <w:p>
            <w:pPr>
              <w:jc w:val="center"/>
              <w:spacing w:after="0" w:line="212" w:lineRule="exact"/>
              <w:rPr>
                <w:sz w:val="20"/>
                <w:szCs w:val="20"/>
                <w:color w:val="auto"/>
              </w:rPr>
            </w:pPr>
            <w:r>
              <w:rPr>
                <w:rFonts w:ascii="Times New Roman" w:cs="Times New Roman" w:eastAsia="Times New Roman" w:hAnsi="Times New Roman"/>
                <w:sz w:val="20"/>
                <w:szCs w:val="20"/>
                <w:color w:val="auto"/>
              </w:rPr>
              <w:t>of Base Rent</w:t>
            </w:r>
          </w:p>
        </w:tc>
        <w:tc>
          <w:tcPr>
            <w:tcW w:w="4560" w:type="dxa"/>
            <w:vAlign w:val="bottom"/>
            <w:gridSpan w:val="4"/>
          </w:tcPr>
          <w:p>
            <w:pPr>
              <w:jc w:val="center"/>
              <w:ind w:right="820"/>
              <w:spacing w:after="0" w:line="212" w:lineRule="exact"/>
              <w:rPr>
                <w:sz w:val="20"/>
                <w:szCs w:val="20"/>
                <w:color w:val="auto"/>
              </w:rPr>
            </w:pPr>
            <w:r>
              <w:rPr>
                <w:rFonts w:ascii="Times New Roman" w:cs="Times New Roman" w:eastAsia="Times New Roman" w:hAnsi="Times New Roman"/>
                <w:sz w:val="20"/>
                <w:szCs w:val="20"/>
                <w:color w:val="auto"/>
                <w:w w:val="98"/>
              </w:rPr>
              <w:t>Square Foot (NNN)*</w:t>
            </w:r>
          </w:p>
        </w:tc>
      </w:tr>
      <w:tr>
        <w:trPr>
          <w:trHeight w:val="20"/>
        </w:trPr>
        <w:tc>
          <w:tcPr>
            <w:tcW w:w="7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72"/>
        </w:trPr>
        <w:tc>
          <w:tcPr>
            <w:tcW w:w="370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Lease Month 1 — 12**</w:t>
            </w:r>
          </w:p>
        </w:tc>
        <w:tc>
          <w:tcPr>
            <w:tcW w:w="2980" w:type="dxa"/>
            <w:vAlign w:val="bottom"/>
            <w:gridSpan w:val="3"/>
          </w:tcPr>
          <w:p>
            <w:pPr>
              <w:ind w:left="1020"/>
              <w:spacing w:after="0"/>
              <w:rPr>
                <w:sz w:val="20"/>
                <w:szCs w:val="20"/>
                <w:color w:val="auto"/>
              </w:rPr>
            </w:pPr>
            <w:r>
              <w:rPr>
                <w:rFonts w:ascii="Times New Roman" w:cs="Times New Roman" w:eastAsia="Times New Roman" w:hAnsi="Times New Roman"/>
                <w:sz w:val="20"/>
                <w:szCs w:val="20"/>
                <w:color w:val="auto"/>
              </w:rPr>
              <w:t>$144,677.50*</w:t>
            </w:r>
          </w:p>
        </w:tc>
        <w:tc>
          <w:tcPr>
            <w:tcW w:w="2700" w:type="dxa"/>
            <w:vAlign w:val="bottom"/>
            <w:gridSpan w:val="3"/>
          </w:tcPr>
          <w:p>
            <w:pPr>
              <w:ind w:left="1640"/>
              <w:spacing w:after="0"/>
              <w:rPr>
                <w:sz w:val="20"/>
                <w:szCs w:val="20"/>
                <w:color w:val="auto"/>
              </w:rPr>
            </w:pPr>
            <w:r>
              <w:rPr>
                <w:rFonts w:ascii="Times New Roman" w:cs="Times New Roman" w:eastAsia="Times New Roman" w:hAnsi="Times New Roman"/>
                <w:sz w:val="20"/>
                <w:szCs w:val="20"/>
                <w:color w:val="auto"/>
              </w:rPr>
              <w:t>$2.50*</w:t>
            </w:r>
          </w:p>
        </w:tc>
        <w:tc>
          <w:tcPr>
            <w:tcW w:w="1860" w:type="dxa"/>
            <w:vAlign w:val="bottom"/>
          </w:tcPr>
          <w:p>
            <w:pPr>
              <w:spacing w:after="0"/>
              <w:rPr>
                <w:sz w:val="24"/>
                <w:szCs w:val="24"/>
                <w:color w:val="auto"/>
              </w:rPr>
            </w:pPr>
          </w:p>
        </w:tc>
      </w:tr>
      <w:tr>
        <w:trPr>
          <w:trHeight w:val="445"/>
        </w:trPr>
        <w:tc>
          <w:tcPr>
            <w:tcW w:w="370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Lease Month 13 — 24</w:t>
            </w:r>
          </w:p>
        </w:tc>
        <w:tc>
          <w:tcPr>
            <w:tcW w:w="202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auto"/>
                <w:w w:val="97"/>
              </w:rPr>
              <w:t>$149,017.83</w:t>
            </w:r>
          </w:p>
        </w:tc>
        <w:tc>
          <w:tcPr>
            <w:tcW w:w="960" w:type="dxa"/>
            <w:vAlign w:val="bottom"/>
          </w:tcPr>
          <w:p>
            <w:pPr>
              <w:spacing w:after="0"/>
              <w:rPr>
                <w:sz w:val="24"/>
                <w:szCs w:val="24"/>
                <w:color w:val="auto"/>
              </w:rPr>
            </w:pPr>
          </w:p>
        </w:tc>
        <w:tc>
          <w:tcPr>
            <w:tcW w:w="2700" w:type="dxa"/>
            <w:vAlign w:val="bottom"/>
            <w:gridSpan w:val="3"/>
          </w:tcPr>
          <w:p>
            <w:pPr>
              <w:ind w:left="1640"/>
              <w:spacing w:after="0"/>
              <w:rPr>
                <w:sz w:val="20"/>
                <w:szCs w:val="20"/>
                <w:color w:val="auto"/>
              </w:rPr>
            </w:pPr>
            <w:r>
              <w:rPr>
                <w:rFonts w:ascii="Times New Roman" w:cs="Times New Roman" w:eastAsia="Times New Roman" w:hAnsi="Times New Roman"/>
                <w:sz w:val="20"/>
                <w:szCs w:val="20"/>
                <w:color w:val="auto"/>
              </w:rPr>
              <w:t>$2.58</w:t>
            </w:r>
          </w:p>
        </w:tc>
        <w:tc>
          <w:tcPr>
            <w:tcW w:w="1860" w:type="dxa"/>
            <w:vAlign w:val="bottom"/>
          </w:tcPr>
          <w:p>
            <w:pPr>
              <w:spacing w:after="0"/>
              <w:rPr>
                <w:sz w:val="24"/>
                <w:szCs w:val="24"/>
                <w:color w:val="auto"/>
              </w:rPr>
            </w:pPr>
          </w:p>
        </w:tc>
      </w:tr>
      <w:tr>
        <w:trPr>
          <w:trHeight w:val="445"/>
        </w:trPr>
        <w:tc>
          <w:tcPr>
            <w:tcW w:w="370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Lease Month 25 — 36</w:t>
            </w:r>
          </w:p>
        </w:tc>
        <w:tc>
          <w:tcPr>
            <w:tcW w:w="202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auto"/>
                <w:w w:val="97"/>
              </w:rPr>
              <w:t>$153,488.36</w:t>
            </w:r>
          </w:p>
        </w:tc>
        <w:tc>
          <w:tcPr>
            <w:tcW w:w="960" w:type="dxa"/>
            <w:vAlign w:val="bottom"/>
          </w:tcPr>
          <w:p>
            <w:pPr>
              <w:spacing w:after="0"/>
              <w:rPr>
                <w:sz w:val="24"/>
                <w:szCs w:val="24"/>
                <w:color w:val="auto"/>
              </w:rPr>
            </w:pPr>
          </w:p>
        </w:tc>
        <w:tc>
          <w:tcPr>
            <w:tcW w:w="2700" w:type="dxa"/>
            <w:vAlign w:val="bottom"/>
            <w:gridSpan w:val="3"/>
          </w:tcPr>
          <w:p>
            <w:pPr>
              <w:ind w:left="1640"/>
              <w:spacing w:after="0"/>
              <w:rPr>
                <w:sz w:val="20"/>
                <w:szCs w:val="20"/>
                <w:color w:val="auto"/>
              </w:rPr>
            </w:pPr>
            <w:r>
              <w:rPr>
                <w:rFonts w:ascii="Times New Roman" w:cs="Times New Roman" w:eastAsia="Times New Roman" w:hAnsi="Times New Roman"/>
                <w:sz w:val="20"/>
                <w:szCs w:val="20"/>
                <w:color w:val="auto"/>
              </w:rPr>
              <w:t>$2.65</w:t>
            </w:r>
          </w:p>
        </w:tc>
        <w:tc>
          <w:tcPr>
            <w:tcW w:w="1860" w:type="dxa"/>
            <w:vAlign w:val="bottom"/>
          </w:tcPr>
          <w:p>
            <w:pPr>
              <w:spacing w:after="0"/>
              <w:rPr>
                <w:sz w:val="24"/>
                <w:szCs w:val="24"/>
                <w:color w:val="auto"/>
              </w:rPr>
            </w:pPr>
          </w:p>
        </w:tc>
      </w:tr>
      <w:tr>
        <w:trPr>
          <w:trHeight w:val="540"/>
        </w:trPr>
        <w:tc>
          <w:tcPr>
            <w:tcW w:w="7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-2-</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081"/>
        </w:trPr>
        <w:tc>
          <w:tcPr>
            <w:tcW w:w="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02" w:name="page103"/>
    <w:bookmarkEnd w:id="102"/>
    <w:tbl>
      <w:tblPr>
        <w:tblLayout w:type="fixed"/>
        <w:tblInd w:w="100" w:type="dxa"/>
        <w:tblCellMar>
          <w:top w:w="0" w:type="dxa"/>
          <w:left w:w="0" w:type="dxa"/>
          <w:bottom w:w="0" w:type="dxa"/>
          <w:right w:w="0" w:type="dxa"/>
        </w:tblCellMar>
      </w:tblPr>
      <w:tr>
        <w:trPr>
          <w:trHeight w:val="258"/>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Month 37 — 48</w:t>
            </w:r>
          </w:p>
        </w:tc>
        <w:tc>
          <w:tcPr>
            <w:tcW w:w="3560" w:type="dxa"/>
            <w:vAlign w:val="bottom"/>
          </w:tcPr>
          <w:p>
            <w:pPr>
              <w:jc w:val="right"/>
              <w:ind w:right="981"/>
              <w:spacing w:after="0"/>
              <w:rPr>
                <w:sz w:val="20"/>
                <w:szCs w:val="20"/>
                <w:color w:val="auto"/>
              </w:rPr>
            </w:pPr>
            <w:r>
              <w:rPr>
                <w:rFonts w:ascii="Times New Roman" w:cs="Times New Roman" w:eastAsia="Times New Roman" w:hAnsi="Times New Roman"/>
                <w:sz w:val="20"/>
                <w:szCs w:val="20"/>
                <w:color w:val="auto"/>
              </w:rPr>
              <w:t>$158,093.01</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w:t>
            </w:r>
          </w:p>
        </w:tc>
      </w:tr>
      <w:tr>
        <w:trPr>
          <w:trHeight w:val="446"/>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Month 49 — 60</w:t>
            </w:r>
          </w:p>
        </w:tc>
        <w:tc>
          <w:tcPr>
            <w:tcW w:w="3560" w:type="dxa"/>
            <w:vAlign w:val="bottom"/>
          </w:tcPr>
          <w:p>
            <w:pPr>
              <w:jc w:val="right"/>
              <w:ind w:right="981"/>
              <w:spacing w:after="0"/>
              <w:rPr>
                <w:sz w:val="20"/>
                <w:szCs w:val="20"/>
                <w:color w:val="auto"/>
              </w:rPr>
            </w:pPr>
            <w:r>
              <w:rPr>
                <w:rFonts w:ascii="Times New Roman" w:cs="Times New Roman" w:eastAsia="Times New Roman" w:hAnsi="Times New Roman"/>
                <w:sz w:val="20"/>
                <w:szCs w:val="20"/>
                <w:color w:val="auto"/>
              </w:rPr>
              <w:t>$162,835.80</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w:t>
            </w:r>
          </w:p>
        </w:tc>
      </w:tr>
      <w:tr>
        <w:trPr>
          <w:trHeight w:val="44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w w:val="99"/>
              </w:rPr>
              <w:t>Lease Month 61</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72</w:t>
            </w:r>
          </w:p>
        </w:tc>
        <w:tc>
          <w:tcPr>
            <w:tcW w:w="3560" w:type="dxa"/>
            <w:vAlign w:val="bottom"/>
          </w:tcPr>
          <w:p>
            <w:pPr>
              <w:jc w:val="right"/>
              <w:ind w:right="981"/>
              <w:spacing w:after="0"/>
              <w:rPr>
                <w:sz w:val="20"/>
                <w:szCs w:val="20"/>
                <w:color w:val="auto"/>
              </w:rPr>
            </w:pPr>
            <w:r>
              <w:rPr>
                <w:rFonts w:ascii="Times New Roman" w:cs="Times New Roman" w:eastAsia="Times New Roman" w:hAnsi="Times New Roman"/>
                <w:sz w:val="20"/>
                <w:szCs w:val="20"/>
                <w:color w:val="auto"/>
              </w:rPr>
              <w:t>$167,720.87</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w:t>
            </w:r>
          </w:p>
        </w:tc>
      </w:tr>
      <w:tr>
        <w:trPr>
          <w:trHeight w:val="446"/>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w w:val="99"/>
              </w:rPr>
              <w:t>Lease Month 73</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84</w:t>
            </w:r>
          </w:p>
        </w:tc>
        <w:tc>
          <w:tcPr>
            <w:tcW w:w="3560" w:type="dxa"/>
            <w:vAlign w:val="bottom"/>
          </w:tcPr>
          <w:p>
            <w:pPr>
              <w:jc w:val="right"/>
              <w:ind w:right="981"/>
              <w:spacing w:after="0"/>
              <w:rPr>
                <w:sz w:val="20"/>
                <w:szCs w:val="20"/>
                <w:color w:val="auto"/>
              </w:rPr>
            </w:pPr>
            <w:r>
              <w:rPr>
                <w:rFonts w:ascii="Times New Roman" w:cs="Times New Roman" w:eastAsia="Times New Roman" w:hAnsi="Times New Roman"/>
                <w:sz w:val="20"/>
                <w:szCs w:val="20"/>
                <w:color w:val="auto"/>
              </w:rPr>
              <w:t>$172,752.50</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w:t>
            </w:r>
          </w:p>
        </w:tc>
      </w:tr>
      <w:tr>
        <w:trPr>
          <w:trHeight w:val="445"/>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w w:val="99"/>
              </w:rPr>
              <w:t>Lease Month 85</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96</w:t>
            </w:r>
          </w:p>
        </w:tc>
        <w:tc>
          <w:tcPr>
            <w:tcW w:w="3560" w:type="dxa"/>
            <w:vAlign w:val="bottom"/>
          </w:tcPr>
          <w:p>
            <w:pPr>
              <w:jc w:val="right"/>
              <w:ind w:right="981"/>
              <w:spacing w:after="0"/>
              <w:rPr>
                <w:sz w:val="20"/>
                <w:szCs w:val="20"/>
                <w:color w:val="auto"/>
              </w:rPr>
            </w:pPr>
            <w:r>
              <w:rPr>
                <w:rFonts w:ascii="Times New Roman" w:cs="Times New Roman" w:eastAsia="Times New Roman" w:hAnsi="Times New Roman"/>
                <w:sz w:val="20"/>
                <w:szCs w:val="20"/>
                <w:color w:val="auto"/>
              </w:rPr>
              <w:t>$177,935.08</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r>
      <w:tr>
        <w:trPr>
          <w:trHeight w:val="446"/>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w w:val="99"/>
              </w:rPr>
              <w:t>Lease Month 97</w:t>
            </w:r>
          </w:p>
        </w:tc>
        <w:tc>
          <w:tcPr>
            <w:tcW w:w="2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104</w:t>
            </w:r>
          </w:p>
        </w:tc>
        <w:tc>
          <w:tcPr>
            <w:tcW w:w="3560" w:type="dxa"/>
            <w:vAlign w:val="bottom"/>
          </w:tcPr>
          <w:p>
            <w:pPr>
              <w:jc w:val="right"/>
              <w:ind w:right="981"/>
              <w:spacing w:after="0"/>
              <w:rPr>
                <w:sz w:val="20"/>
                <w:szCs w:val="20"/>
                <w:color w:val="auto"/>
              </w:rPr>
            </w:pPr>
            <w:r>
              <w:rPr>
                <w:rFonts w:ascii="Times New Roman" w:cs="Times New Roman" w:eastAsia="Times New Roman" w:hAnsi="Times New Roman"/>
                <w:sz w:val="20"/>
                <w:szCs w:val="20"/>
                <w:color w:val="auto"/>
              </w:rPr>
              <w:t>$183,273.13</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w:t>
            </w:r>
          </w:p>
        </w:tc>
      </w:tr>
    </w:tbl>
    <w:p>
      <w:pPr>
        <w:spacing w:after="0" w:line="3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Lease Month 1</w:t>
      </w:r>
      <w:r>
        <w:rPr>
          <w:rFonts w:ascii="Times New Roman" w:cs="Times New Roman" w:eastAsia="Times New Roman" w:hAnsi="Times New Roman"/>
          <w:sz w:val="20"/>
          <w:szCs w:val="20"/>
          <w:color w:val="auto"/>
        </w:rPr>
        <w:t>” shall commence on the Lease Commencement Date and end on the last day of the first full calendar month thereafter, and each subsequent Lease Month shall be the calendar month commencing on the day after the expiration of the prior Lease Month.</w:t>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*Landlord hereby agrees that Tenant shall be entitled to an abatement of Base Rent in Lease Months 1 through 8 (inclusive) (the “</w:t>
      </w:r>
      <w:r>
        <w:rPr>
          <w:rFonts w:ascii="Times New Roman" w:cs="Times New Roman" w:eastAsia="Times New Roman" w:hAnsi="Times New Roman"/>
          <w:sz w:val="20"/>
          <w:szCs w:val="20"/>
          <w:b w:val="1"/>
          <w:bCs w:val="1"/>
          <w:color w:val="auto"/>
        </w:rPr>
        <w:t>Abatement Period</w:t>
      </w:r>
      <w:r>
        <w:rPr>
          <w:rFonts w:ascii="Times New Roman" w:cs="Times New Roman" w:eastAsia="Times New Roman" w:hAnsi="Times New Roman"/>
          <w:sz w:val="20"/>
          <w:szCs w:val="20"/>
          <w:color w:val="auto"/>
        </w:rPr>
        <w:t xml:space="preserve">”), in the amount of One Hundred Forty-Four Thousand Six Hundred Seventy-Seven and 50/100 Dollars ($144,677.50) per Lease Month, for a total amount of Base Rent abated pursuant to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that shall in no event exceed or be less than the aggregate of One Million One Hundred Fifty-Seven Thousand Four Hundred Twenty and 00/100 Dollars ($1,157,420.00). Landlord and Tenant acknowledge that Tenant’s right (the “</w:t>
      </w:r>
      <w:r>
        <w:rPr>
          <w:rFonts w:ascii="Times New Roman" w:cs="Times New Roman" w:eastAsia="Times New Roman" w:hAnsi="Times New Roman"/>
          <w:sz w:val="20"/>
          <w:szCs w:val="20"/>
          <w:b w:val="1"/>
          <w:bCs w:val="1"/>
          <w:color w:val="auto"/>
        </w:rPr>
        <w:t>Abatement Right</w:t>
      </w:r>
      <w:r>
        <w:rPr>
          <w:rFonts w:ascii="Times New Roman" w:cs="Times New Roman" w:eastAsia="Times New Roman" w:hAnsi="Times New Roman"/>
          <w:sz w:val="20"/>
          <w:szCs w:val="20"/>
          <w:color w:val="auto"/>
        </w:rPr>
        <w:t>”) to receive Base Rent abatement during the Abatement Period has been granted to Tenant as additional consideration for Tenant’s agreement to enter into this Lease and comply with the terms and conditions otherwise required under this Lease.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9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Tenant’s Share of the Project</w:t>
            </w:r>
          </w:p>
        </w:tc>
        <w:tc>
          <w:tcPr>
            <w:tcW w:w="69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Approximately 14.10%.</w:t>
            </w:r>
          </w:p>
        </w:tc>
      </w:tr>
      <w:tr>
        <w:trPr>
          <w:trHeight w:val="212"/>
        </w:trPr>
        <w:tc>
          <w:tcPr>
            <w:tcW w:w="320" w:type="dxa"/>
            <w:vAlign w:val="bottom"/>
          </w:tcPr>
          <w:p>
            <w:pPr>
              <w:spacing w:after="0"/>
              <w:rPr>
                <w:sz w:val="18"/>
                <w:szCs w:val="18"/>
                <w:color w:val="auto"/>
              </w:rPr>
            </w:pPr>
          </w:p>
        </w:tc>
        <w:tc>
          <w:tcPr>
            <w:tcW w:w="3960" w:type="dxa"/>
            <w:vAlign w:val="bottom"/>
            <w:gridSpan w:val="5"/>
          </w:tcPr>
          <w:p>
            <w:pPr>
              <w:ind w:left="140"/>
              <w:spacing w:after="0" w:line="212" w:lineRule="exact"/>
              <w:rPr>
                <w:sz w:val="20"/>
                <w:szCs w:val="20"/>
                <w:color w:val="auto"/>
              </w:rPr>
            </w:pPr>
            <w:r>
              <w:rPr>
                <w:rFonts w:ascii="Times New Roman" w:cs="Times New Roman" w:eastAsia="Times New Roman" w:hAnsi="Times New Roman"/>
                <w:sz w:val="20"/>
                <w:szCs w:val="20"/>
                <w:color w:val="auto"/>
              </w:rPr>
              <w:t>(Article 4):</w:t>
            </w:r>
          </w:p>
        </w:tc>
        <w:tc>
          <w:tcPr>
            <w:tcW w:w="69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443"/>
        </w:trPr>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39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Tenant’s Share of the Building</w:t>
            </w:r>
          </w:p>
        </w:tc>
        <w:tc>
          <w:tcPr>
            <w:tcW w:w="69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100%.</w:t>
            </w:r>
          </w:p>
        </w:tc>
      </w:tr>
      <w:tr>
        <w:trPr>
          <w:trHeight w:val="212"/>
        </w:trPr>
        <w:tc>
          <w:tcPr>
            <w:tcW w:w="320" w:type="dxa"/>
            <w:vAlign w:val="bottom"/>
          </w:tcPr>
          <w:p>
            <w:pPr>
              <w:spacing w:after="0"/>
              <w:rPr>
                <w:sz w:val="18"/>
                <w:szCs w:val="18"/>
                <w:color w:val="auto"/>
              </w:rPr>
            </w:pPr>
          </w:p>
        </w:tc>
        <w:tc>
          <w:tcPr>
            <w:tcW w:w="3960" w:type="dxa"/>
            <w:vAlign w:val="bottom"/>
            <w:gridSpan w:val="5"/>
          </w:tcPr>
          <w:p>
            <w:pPr>
              <w:ind w:left="140"/>
              <w:spacing w:after="0" w:line="212" w:lineRule="exact"/>
              <w:rPr>
                <w:sz w:val="20"/>
                <w:szCs w:val="20"/>
                <w:color w:val="auto"/>
              </w:rPr>
            </w:pPr>
            <w:r>
              <w:rPr>
                <w:rFonts w:ascii="Times New Roman" w:cs="Times New Roman" w:eastAsia="Times New Roman" w:hAnsi="Times New Roman"/>
                <w:sz w:val="20"/>
                <w:szCs w:val="20"/>
                <w:color w:val="auto"/>
              </w:rPr>
              <w:t>(Article 4):</w:t>
            </w:r>
          </w:p>
        </w:tc>
        <w:tc>
          <w:tcPr>
            <w:tcW w:w="69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443"/>
        </w:trPr>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39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Permitted Use</w:t>
            </w:r>
          </w:p>
        </w:tc>
        <w:tc>
          <w:tcPr>
            <w:tcW w:w="69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General office, administrative use and research and development</w:t>
            </w:r>
          </w:p>
        </w:tc>
      </w:tr>
      <w:tr>
        <w:trPr>
          <w:trHeight w:val="212"/>
        </w:trPr>
        <w:tc>
          <w:tcPr>
            <w:tcW w:w="320" w:type="dxa"/>
            <w:vAlign w:val="bottom"/>
          </w:tcPr>
          <w:p>
            <w:pPr>
              <w:spacing w:after="0"/>
              <w:rPr>
                <w:sz w:val="18"/>
                <w:szCs w:val="18"/>
                <w:color w:val="auto"/>
              </w:rPr>
            </w:pPr>
          </w:p>
        </w:tc>
        <w:tc>
          <w:tcPr>
            <w:tcW w:w="3960" w:type="dxa"/>
            <w:vAlign w:val="bottom"/>
            <w:gridSpan w:val="5"/>
          </w:tcPr>
          <w:p>
            <w:pPr>
              <w:ind w:left="140"/>
              <w:spacing w:after="0" w:line="212" w:lineRule="exact"/>
              <w:rPr>
                <w:sz w:val="20"/>
                <w:szCs w:val="20"/>
                <w:color w:val="auto"/>
              </w:rPr>
            </w:pPr>
            <w:r>
              <w:rPr>
                <w:rFonts w:ascii="Times New Roman" w:cs="Times New Roman" w:eastAsia="Times New Roman" w:hAnsi="Times New Roman"/>
                <w:sz w:val="20"/>
                <w:szCs w:val="20"/>
                <w:color w:val="auto"/>
              </w:rPr>
              <w:t>(Article 5):</w:t>
            </w:r>
          </w:p>
        </w:tc>
        <w:tc>
          <w:tcPr>
            <w:tcW w:w="6960" w:type="dxa"/>
            <w:vAlign w:val="bottom"/>
          </w:tcPr>
          <w:p>
            <w:pPr>
              <w:ind w:left="1340"/>
              <w:spacing w:after="0" w:line="212" w:lineRule="exact"/>
              <w:rPr>
                <w:sz w:val="20"/>
                <w:szCs w:val="20"/>
                <w:color w:val="auto"/>
              </w:rPr>
            </w:pPr>
            <w:r>
              <w:rPr>
                <w:rFonts w:ascii="Times New Roman" w:cs="Times New Roman" w:eastAsia="Times New Roman" w:hAnsi="Times New Roman"/>
                <w:sz w:val="20"/>
                <w:szCs w:val="20"/>
                <w:color w:val="auto"/>
              </w:rPr>
              <w:t>consistent with a first-class office building (including a hardware lab)</w:t>
            </w:r>
          </w:p>
        </w:tc>
      </w:tr>
      <w:tr>
        <w:trPr>
          <w:trHeight w:val="256"/>
        </w:trPr>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69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and consistent with Applicable Laws.</w:t>
            </w:r>
          </w:p>
        </w:tc>
      </w:tr>
      <w:tr>
        <w:trPr>
          <w:trHeight w:val="417"/>
        </w:trPr>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9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Security Deposit</w:t>
            </w:r>
          </w:p>
        </w:tc>
        <w:tc>
          <w:tcPr>
            <w:tcW w:w="69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$434,032.50, subject to reduction as provided in Article 21.</w:t>
            </w:r>
          </w:p>
        </w:tc>
      </w:tr>
      <w:tr>
        <w:trPr>
          <w:trHeight w:val="212"/>
        </w:trPr>
        <w:tc>
          <w:tcPr>
            <w:tcW w:w="320" w:type="dxa"/>
            <w:vAlign w:val="bottom"/>
          </w:tcPr>
          <w:p>
            <w:pPr>
              <w:spacing w:after="0"/>
              <w:rPr>
                <w:sz w:val="18"/>
                <w:szCs w:val="18"/>
                <w:color w:val="auto"/>
              </w:rPr>
            </w:pPr>
          </w:p>
        </w:tc>
        <w:tc>
          <w:tcPr>
            <w:tcW w:w="3960" w:type="dxa"/>
            <w:vAlign w:val="bottom"/>
            <w:gridSpan w:val="5"/>
          </w:tcPr>
          <w:p>
            <w:pPr>
              <w:ind w:left="140"/>
              <w:spacing w:after="0" w:line="212" w:lineRule="exact"/>
              <w:rPr>
                <w:sz w:val="20"/>
                <w:szCs w:val="20"/>
                <w:color w:val="auto"/>
              </w:rPr>
            </w:pPr>
            <w:r>
              <w:rPr>
                <w:rFonts w:ascii="Times New Roman" w:cs="Times New Roman" w:eastAsia="Times New Roman" w:hAnsi="Times New Roman"/>
                <w:sz w:val="20"/>
                <w:szCs w:val="20"/>
                <w:color w:val="auto"/>
              </w:rPr>
              <w:t>(Article 21):</w:t>
            </w:r>
          </w:p>
        </w:tc>
        <w:tc>
          <w:tcPr>
            <w:tcW w:w="69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889"/>
        </w:trPr>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39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Tenant Permitted Parking</w:t>
            </w:r>
          </w:p>
        </w:tc>
        <w:tc>
          <w:tcPr>
            <w:tcW w:w="696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3.4 unassigned parking spaces for every 1,000 rentable square feet of</w:t>
            </w:r>
          </w:p>
        </w:tc>
      </w:tr>
      <w:tr>
        <w:trPr>
          <w:trHeight w:val="212"/>
        </w:trPr>
        <w:tc>
          <w:tcPr>
            <w:tcW w:w="320" w:type="dxa"/>
            <w:vAlign w:val="bottom"/>
          </w:tcPr>
          <w:p>
            <w:pPr>
              <w:spacing w:after="0"/>
              <w:rPr>
                <w:sz w:val="18"/>
                <w:szCs w:val="18"/>
                <w:color w:val="auto"/>
              </w:rPr>
            </w:pPr>
          </w:p>
        </w:tc>
        <w:tc>
          <w:tcPr>
            <w:tcW w:w="3960" w:type="dxa"/>
            <w:vAlign w:val="bottom"/>
            <w:gridSpan w:val="5"/>
          </w:tcPr>
          <w:p>
            <w:pPr>
              <w:ind w:left="140"/>
              <w:spacing w:after="0" w:line="212" w:lineRule="exact"/>
              <w:rPr>
                <w:sz w:val="20"/>
                <w:szCs w:val="20"/>
                <w:color w:val="auto"/>
              </w:rPr>
            </w:pPr>
            <w:r>
              <w:rPr>
                <w:rFonts w:ascii="Times New Roman" w:cs="Times New Roman" w:eastAsia="Times New Roman" w:hAnsi="Times New Roman"/>
                <w:sz w:val="20"/>
                <w:szCs w:val="20"/>
                <w:color w:val="auto"/>
              </w:rPr>
              <w:t>(Article 28):</w:t>
            </w:r>
          </w:p>
        </w:tc>
        <w:tc>
          <w:tcPr>
            <w:tcW w:w="6960" w:type="dxa"/>
            <w:vAlign w:val="bottom"/>
          </w:tcPr>
          <w:p>
            <w:pPr>
              <w:ind w:left="1340"/>
              <w:spacing w:after="0" w:line="212" w:lineRule="exact"/>
              <w:rPr>
                <w:sz w:val="20"/>
                <w:szCs w:val="20"/>
                <w:color w:val="auto"/>
              </w:rPr>
            </w:pPr>
            <w:r>
              <w:rPr>
                <w:rFonts w:ascii="Times New Roman" w:cs="Times New Roman" w:eastAsia="Times New Roman" w:hAnsi="Times New Roman"/>
                <w:sz w:val="20"/>
                <w:szCs w:val="20"/>
                <w:color w:val="auto"/>
              </w:rPr>
              <w:t>the Premises (as of the Lease</w:t>
            </w:r>
          </w:p>
        </w:tc>
      </w:tr>
      <w:tr>
        <w:trPr>
          <w:trHeight w:val="20"/>
        </w:trPr>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567"/>
        </w:trPr>
        <w:tc>
          <w:tcPr>
            <w:tcW w:w="320" w:type="dxa"/>
            <w:vAlign w:val="bottom"/>
          </w:tcPr>
          <w:p>
            <w:pPr>
              <w:spacing w:after="0"/>
              <w:rPr>
                <w:sz w:val="24"/>
                <w:szCs w:val="24"/>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960" w:type="dxa"/>
            <w:vAlign w:val="bottom"/>
          </w:tcPr>
          <w:p>
            <w:pPr>
              <w:spacing w:after="0"/>
              <w:rPr>
                <w:sz w:val="24"/>
                <w:szCs w:val="24"/>
                <w:color w:val="auto"/>
              </w:rPr>
            </w:pPr>
          </w:p>
        </w:tc>
      </w:tr>
      <w:tr>
        <w:trPr>
          <w:trHeight w:val="1081"/>
        </w:trPr>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Date, 197 spaces), subject to the terms of Article 28 of the Lease. In</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520" w:type="dxa"/>
            <w:vAlign w:val="bottom"/>
            <w:gridSpan w:val="8"/>
          </w:tcPr>
          <w:p>
            <w:pPr>
              <w:spacing w:after="0" w:line="228" w:lineRule="exact"/>
              <w:rPr>
                <w:sz w:val="20"/>
                <w:szCs w:val="20"/>
                <w:color w:val="auto"/>
              </w:rPr>
            </w:pPr>
            <w:r>
              <w:rPr>
                <w:rFonts w:ascii="Times New Roman" w:cs="Times New Roman" w:eastAsia="Times New Roman" w:hAnsi="Times New Roman"/>
                <w:sz w:val="20"/>
                <w:szCs w:val="20"/>
                <w:color w:val="auto"/>
              </w:rPr>
              <w:t>addition to the 197 unassigned parking space referred to above,</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9"/>
              </w:rPr>
              <w:t>Tenant and its visitors will have exclusive right to use five (5) visitor</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parking spaces near the entry of the Premises, subject to the terms of</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520" w:type="dxa"/>
            <w:vAlign w:val="bottom"/>
            <w:gridSpan w:val="8"/>
          </w:tcPr>
          <w:p>
            <w:pPr>
              <w:spacing w:after="0" w:line="212" w:lineRule="exact"/>
              <w:rPr>
                <w:sz w:val="20"/>
                <w:szCs w:val="20"/>
                <w:color w:val="auto"/>
              </w:rPr>
            </w:pPr>
            <w:r>
              <w:rPr>
                <w:rFonts w:ascii="Times New Roman" w:cs="Times New Roman" w:eastAsia="Times New Roman" w:hAnsi="Times New Roman"/>
                <w:sz w:val="20"/>
                <w:szCs w:val="20"/>
                <w:color w:val="auto"/>
              </w:rPr>
              <w:t>Article 28 of the Lease.</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w:t>
            </w:r>
          </w:p>
        </w:tc>
        <w:tc>
          <w:tcPr>
            <w:tcW w:w="52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Address of Tenant</w:t>
            </w: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Ambarella Corporation</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5220" w:type="dxa"/>
            <w:vAlign w:val="bottom"/>
            <w:gridSpan w:val="4"/>
          </w:tcPr>
          <w:p>
            <w:pPr>
              <w:ind w:left="60"/>
              <w:spacing w:after="0" w:line="212" w:lineRule="exact"/>
              <w:rPr>
                <w:sz w:val="20"/>
                <w:szCs w:val="20"/>
                <w:color w:val="auto"/>
              </w:rPr>
            </w:pPr>
            <w:r>
              <w:rPr>
                <w:rFonts w:ascii="Times New Roman" w:cs="Times New Roman" w:eastAsia="Times New Roman" w:hAnsi="Times New Roman"/>
                <w:sz w:val="20"/>
                <w:szCs w:val="20"/>
                <w:color w:val="auto"/>
              </w:rPr>
              <w:t>(Section 29.18):</w:t>
            </w:r>
          </w:p>
        </w:tc>
        <w:tc>
          <w:tcPr>
            <w:tcW w:w="5520" w:type="dxa"/>
            <w:vAlign w:val="bottom"/>
            <w:gridSpan w:val="8"/>
          </w:tcPr>
          <w:p>
            <w:pPr>
              <w:spacing w:after="0" w:line="212" w:lineRule="exact"/>
              <w:rPr>
                <w:sz w:val="20"/>
                <w:szCs w:val="20"/>
                <w:color w:val="auto"/>
              </w:rPr>
            </w:pPr>
            <w:r>
              <w:rPr>
                <w:rFonts w:ascii="Times New Roman" w:cs="Times New Roman" w:eastAsia="Times New Roman" w:hAnsi="Times New Roman"/>
                <w:sz w:val="20"/>
                <w:szCs w:val="20"/>
                <w:color w:val="auto"/>
              </w:rPr>
              <w:t>3101 Jay Street, #110</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000" w:type="dxa"/>
            <w:vAlign w:val="bottom"/>
          </w:tcPr>
          <w:p>
            <w:pPr>
              <w:spacing w:after="0"/>
              <w:rPr>
                <w:sz w:val="19"/>
                <w:szCs w:val="19"/>
                <w:color w:val="auto"/>
              </w:rPr>
            </w:pPr>
          </w:p>
        </w:tc>
        <w:tc>
          <w:tcPr>
            <w:tcW w:w="5520" w:type="dxa"/>
            <w:vAlign w:val="bottom"/>
            <w:gridSpan w:val="8"/>
          </w:tcPr>
          <w:p>
            <w:pPr>
              <w:spacing w:after="0" w:line="228" w:lineRule="exact"/>
              <w:rPr>
                <w:sz w:val="20"/>
                <w:szCs w:val="20"/>
                <w:color w:val="auto"/>
              </w:rPr>
            </w:pPr>
            <w:r>
              <w:rPr>
                <w:rFonts w:ascii="Times New Roman" w:cs="Times New Roman" w:eastAsia="Times New Roman" w:hAnsi="Times New Roman"/>
                <w:sz w:val="20"/>
                <w:szCs w:val="20"/>
                <w:color w:val="auto"/>
              </w:rPr>
              <w:t>Santa Clara, CA 95054</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Attention: General Counsel</w:t>
            </w:r>
          </w:p>
        </w:tc>
        <w:tc>
          <w:tcPr>
            <w:tcW w:w="0" w:type="dxa"/>
            <w:vAlign w:val="bottom"/>
          </w:tcPr>
          <w:p>
            <w:pPr>
              <w:spacing w:after="0"/>
              <w:rPr>
                <w:sz w:val="1"/>
                <w:szCs w:val="1"/>
                <w:color w:val="auto"/>
              </w:rPr>
            </w:pPr>
          </w:p>
        </w:tc>
      </w:tr>
      <w:tr>
        <w:trPr>
          <w:trHeight w:val="258"/>
        </w:trPr>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Email: legal-notices@ambarella.com</w:t>
            </w:r>
          </w:p>
        </w:tc>
        <w:tc>
          <w:tcPr>
            <w:tcW w:w="0" w:type="dxa"/>
            <w:vAlign w:val="bottom"/>
          </w:tcPr>
          <w:p>
            <w:pPr>
              <w:spacing w:after="0"/>
              <w:rPr>
                <w:sz w:val="1"/>
                <w:szCs w:val="1"/>
                <w:color w:val="auto"/>
              </w:rPr>
            </w:pPr>
          </w:p>
        </w:tc>
      </w:tr>
      <w:tr>
        <w:trPr>
          <w:trHeight w:val="628"/>
        </w:trPr>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11.</w:t>
            </w:r>
          </w:p>
        </w:tc>
        <w:tc>
          <w:tcPr>
            <w:tcW w:w="52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Address of Landlord</w:t>
            </w: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See Section 29.18 of the Lease.</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220" w:type="dxa"/>
            <w:vAlign w:val="bottom"/>
            <w:gridSpan w:val="4"/>
          </w:tcPr>
          <w:p>
            <w:pPr>
              <w:ind w:left="60"/>
              <w:spacing w:after="0" w:line="209" w:lineRule="exact"/>
              <w:rPr>
                <w:sz w:val="20"/>
                <w:szCs w:val="20"/>
                <w:color w:val="auto"/>
              </w:rPr>
            </w:pPr>
            <w:r>
              <w:rPr>
                <w:rFonts w:ascii="Times New Roman" w:cs="Times New Roman" w:eastAsia="Times New Roman" w:hAnsi="Times New Roman"/>
                <w:sz w:val="20"/>
                <w:szCs w:val="20"/>
                <w:color w:val="auto"/>
              </w:rPr>
              <w:t>(Section 29.18):</w:t>
            </w: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12.</w:t>
            </w:r>
          </w:p>
        </w:tc>
        <w:tc>
          <w:tcPr>
            <w:tcW w:w="52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Broker(s)</w:t>
            </w: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Representing Landlord:</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220" w:type="dxa"/>
            <w:vAlign w:val="bottom"/>
            <w:gridSpan w:val="4"/>
            <w:vMerge w:val="restart"/>
          </w:tcPr>
          <w:p>
            <w:pPr>
              <w:ind w:left="60"/>
              <w:spacing w:after="0"/>
              <w:rPr>
                <w:sz w:val="20"/>
                <w:szCs w:val="20"/>
                <w:color w:val="auto"/>
              </w:rPr>
            </w:pPr>
            <w:r>
              <w:rPr>
                <w:rFonts w:ascii="Times New Roman" w:cs="Times New Roman" w:eastAsia="Times New Roman" w:hAnsi="Times New Roman"/>
                <w:sz w:val="20"/>
                <w:szCs w:val="20"/>
                <w:color w:val="auto"/>
              </w:rPr>
              <w:t>(Section 29.24):</w:t>
            </w:r>
          </w:p>
        </w:tc>
        <w:tc>
          <w:tcPr>
            <w:tcW w:w="164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5220" w:type="dxa"/>
            <w:vAlign w:val="bottom"/>
            <w:gridSpan w:val="4"/>
            <w:vMerge w:val="continue"/>
          </w:tcPr>
          <w:p>
            <w:pPr>
              <w:spacing w:after="0"/>
              <w:rPr>
                <w:sz w:val="18"/>
                <w:szCs w:val="18"/>
                <w:color w:val="auto"/>
              </w:rPr>
            </w:pPr>
          </w:p>
        </w:tc>
        <w:tc>
          <w:tcPr>
            <w:tcW w:w="5520" w:type="dxa"/>
            <w:vAlign w:val="bottom"/>
            <w:gridSpan w:val="8"/>
          </w:tcPr>
          <w:p>
            <w:pPr>
              <w:spacing w:after="0" w:line="209" w:lineRule="exact"/>
              <w:rPr>
                <w:sz w:val="20"/>
                <w:szCs w:val="20"/>
                <w:color w:val="auto"/>
              </w:rPr>
            </w:pPr>
            <w:r>
              <w:rPr>
                <w:rFonts w:ascii="Times New Roman" w:cs="Times New Roman" w:eastAsia="Times New Roman" w:hAnsi="Times New Roman"/>
                <w:sz w:val="20"/>
                <w:szCs w:val="20"/>
                <w:color w:val="auto"/>
              </w:rPr>
              <w:t>Cushman &amp; Wakefield U.S., Inc.</w:t>
            </w:r>
          </w:p>
        </w:tc>
        <w:tc>
          <w:tcPr>
            <w:tcW w:w="0" w:type="dxa"/>
            <w:vAlign w:val="bottom"/>
          </w:tcPr>
          <w:p>
            <w:pPr>
              <w:spacing w:after="0"/>
              <w:rPr>
                <w:sz w:val="1"/>
                <w:szCs w:val="1"/>
                <w:color w:val="auto"/>
              </w:rPr>
            </w:pPr>
          </w:p>
        </w:tc>
      </w:tr>
      <w:tr>
        <w:trPr>
          <w:trHeight w:val="426"/>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Representing Tenant:</w:t>
            </w: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6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Newmark</w:t>
            </w:r>
          </w:p>
        </w:tc>
        <w:tc>
          <w:tcPr>
            <w:tcW w:w="38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13.</w:t>
            </w:r>
          </w:p>
        </w:tc>
        <w:tc>
          <w:tcPr>
            <w:tcW w:w="52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Guarantor:</w:t>
            </w:r>
          </w:p>
        </w:tc>
        <w:tc>
          <w:tcPr>
            <w:tcW w:w="5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687070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395" w:right="4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w:t>
      </w:r>
    </w:p>
    <w:p>
      <w:pPr>
        <w:spacing w:after="0" w:line="22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u w:val="single" w:color="auto"/>
          <w:color w:val="auto"/>
        </w:rPr>
        <w:t>PREMISES, BUILDING, PROJECT, AND COMMON AREAS</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b w:val="1"/>
          <w:bCs w:val="1"/>
          <w:u w:val="single" w:color="auto"/>
          <w:color w:val="auto"/>
        </w:rPr>
        <w:t>Premises, Building, Project and Common Areas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b w:val="1"/>
          <w:bCs w:val="1"/>
          <w:u w:val="single" w:color="auto"/>
          <w:color w:val="auto"/>
        </w:rPr>
        <w:t>The Premises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hereby leases to Tenant and Tenant hereby leases from Landlord the premises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of the Summary (the “</w:t>
      </w: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xml:space="preserve">”). The outline or floor plans of the Premises is set forth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attached hereto.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is to show the approximate location of the Premises in the “Building,” as that term is defined in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below, only, and such Exhibit is not meant to constitute an agreement, representation or warranty as to the construction of the Premises, the precise area thereof or the specific location of the “Common Areas,” as that term is defined in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below, or the elements thereof or of the access ways to the Premises or the “Project,” as that term is defined in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below. Tenant also acknowledges that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Tenant Work Letter. Except as specifically set forth in this Lease and in the Tenant Work Letter attached hereto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Tenant Work Letter</w:t>
      </w:r>
      <w:r>
        <w:rPr>
          <w:rFonts w:ascii="Times New Roman" w:cs="Times New Roman" w:eastAsia="Times New Roman" w:hAnsi="Times New Roman"/>
          <w:sz w:val="20"/>
          <w:szCs w:val="20"/>
          <w:color w:val="auto"/>
        </w:rPr>
        <w:t>”), Tenant agrees to accept the Premises in their “as is” condition, without any representations or warranties by Landlord, and with no obligation of Landlord to make any alterations or improvements to the Premises or to provide any tenant improvement allowance. Landlord shall cause the work to be performed by Landlord as described in the Tenant Work Letter to be “Substantially Completed” (as defined in the Tenant Work Letter) prior to delivery of possession of the Premises to Tenant. Notwithstanding anything in this Lease to the contrary, Landlord shall deliver the Premises upon Substantial Completion of the Tenant Improvements in good, vacant, broom clean condition, with the Building, Common Areas and building systems and subsystems serving the Premises (including the roof, air conditioner, generator, lighting, electrical, plumbing, water and gas) in good operating condition, and with the Tenant Improvements to be constructed by Landlord pursuant to the Tenant Work Letter in compliance with all Applicable Laws.</w:t>
      </w:r>
    </w:p>
    <w:p>
      <w:pPr>
        <w:spacing w:after="0" w:line="187"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b w:val="1"/>
          <w:bCs w:val="1"/>
          <w:u w:val="single" w:color="auto"/>
          <w:color w:val="auto"/>
        </w:rPr>
        <w:t>Building Systems and Roof Warranty</w:t>
      </w:r>
      <w:r>
        <w:rPr>
          <w:rFonts w:ascii="Times New Roman" w:cs="Times New Roman" w:eastAsia="Times New Roman" w:hAnsi="Times New Roman"/>
          <w:sz w:val="20"/>
          <w:szCs w:val="20"/>
          <w:color w:val="auto"/>
        </w:rPr>
        <w:t xml:space="preserve">. Anything herein to the contrary notwithstanding, Landlord hereby warrants the Building systems and subsystems, including plumbing, electrical, mechanical, fire protection and heating, ventilaton and air conditioning systems (but not any supplemental HVAC unit(s) or system installed by Tenant or any of its agents, employees or contractors) serving the Building and the roof against defects for a period of twelve (12) months following the Lease Commencement Date. Such warranty shall not be applicable to any defects in or to such systems or roof to the extent caused by (i) the negligence, willful misconduct or other misuse by Tenant or any of its agents, employees, contractors, subcontractors, licensees, invitees, vendors, sublessees or other representatives, or (ii) any alterations, additions or improvements constructed or installed in, on or about the Premises or Building by Tenant or any of its agents, employees or contractors. If any non-compliance with such warranty set forth in this paragraph exists as of the Delivery Date or within the 12-month period referred to in this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above, as the case may be, then Landlord shall promptly after receipt of written notice from Tenant setting forth the nature of such non-compliance, cure or remedy the same at Landlord’s sole cost. If Tenant does not give Landlord written notice of such non-compliance with this warranty within the 12-month period referred to above, then such warranty shall be deemed to have expired and shall be of no further force or effect. Tenant shall also be the beneficiary of all vendor warranties, if any, received by</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color w:val="auto"/>
        </w:rPr>
        <w:t>Landlord with respect to the Premises, including the mechanical serving the Premises and roof of the Building.</w:t>
      </w:r>
    </w:p>
    <w:p>
      <w:pPr>
        <w:spacing w:after="0" w:line="212" w:lineRule="exact"/>
        <w:rPr>
          <w:sz w:val="20"/>
          <w:szCs w:val="20"/>
          <w:color w:val="auto"/>
        </w:rPr>
      </w:pPr>
    </w:p>
    <w:p>
      <w:pPr>
        <w:jc w:val="both"/>
        <w:ind w:firstLine="2246"/>
        <w:spacing w:after="0" w:line="241" w:lineRule="auto"/>
        <w:rPr>
          <w:sz w:val="20"/>
          <w:szCs w:val="20"/>
          <w:color w:val="auto"/>
        </w:rPr>
      </w:pPr>
      <w:r>
        <w:rPr>
          <w:rFonts w:ascii="Times New Roman" w:cs="Times New Roman" w:eastAsia="Times New Roman" w:hAnsi="Times New Roman"/>
          <w:sz w:val="20"/>
          <w:szCs w:val="20"/>
          <w:color w:val="auto"/>
        </w:rPr>
        <w:t xml:space="preserve">1.1.1.2 </w:t>
      </w:r>
      <w:r>
        <w:rPr>
          <w:rFonts w:ascii="Times New Roman" w:cs="Times New Roman" w:eastAsia="Times New Roman" w:hAnsi="Times New Roman"/>
          <w:sz w:val="20"/>
          <w:szCs w:val="20"/>
          <w:b w:val="1"/>
          <w:bCs w:val="1"/>
          <w:u w:val="single" w:color="auto"/>
          <w:color w:val="auto"/>
        </w:rPr>
        <w:t>Furnishing of Premises</w:t>
      </w:r>
      <w:r>
        <w:rPr>
          <w:rFonts w:ascii="Times New Roman" w:cs="Times New Roman" w:eastAsia="Times New Roman" w:hAnsi="Times New Roman"/>
          <w:sz w:val="20"/>
          <w:szCs w:val="20"/>
          <w:color w:val="auto"/>
        </w:rPr>
        <w:t>. Prior to the Delivery Date, Landlord agrees to furnish, or cause to be furnished, at Landlord’s sole cost, the lobby, new breakroom (including new dishwasher, garbage disposal and refrigerator), offices, conference rooms, collaboration centers and other areas in the Premises designated by Tenant utilizing the furniture and furnishings identified by Tenant prior to March 15, 2025, that existed in the Project or in the Premises on the execution of this Lease (and which Landlord shall cause to be placed in the area of the Premises designated by Tenant, to the extent not now located in such area of the Premises) prior to the Delivery Date. Such furniture and furnishings identified by Tenant prior to March 15, 2025, that are to be placed, or caused to be placed, in the Premises (to the extent not now located in the Premises) by Landlord prior to the Delivery Date is collectively, referred to herein as the “</w:t>
      </w:r>
      <w:r>
        <w:rPr>
          <w:rFonts w:ascii="Times New Roman" w:cs="Times New Roman" w:eastAsia="Times New Roman" w:hAnsi="Times New Roman"/>
          <w:sz w:val="20"/>
          <w:szCs w:val="20"/>
          <w:b w:val="1"/>
          <w:bCs w:val="1"/>
          <w:color w:val="auto"/>
        </w:rPr>
        <w:t>Existing Furniture and Furnishings</w:t>
      </w:r>
      <w:r>
        <w:rPr>
          <w:rFonts w:ascii="Times New Roman" w:cs="Times New Roman" w:eastAsia="Times New Roman" w:hAnsi="Times New Roman"/>
          <w:sz w:val="20"/>
          <w:szCs w:val="20"/>
          <w:color w:val="auto"/>
        </w:rPr>
        <w:t>”. During the Lease Term, as it may be extended, Tenant shall have the right to use, free of any additional charge, the Existing Furniture and Furnishings. During the Lease Term, as it may be extended, Tenant may use the Existing Furniture and Furnishings for the purposes for which they were intended and Tenant, at its sole cost, shall maintain such Existing Furniture and Furnishings in the same condition and repair as exists as of the Delivery Date, ordinary wear and tear and damage from casualty excepted. As of the Delivery Date, Tenant shall accept the Existing Furniture and Furnishings in its “as is” condition as of the date of this Lease and without faults, and without any representations or warranties concerning the title or condition of the Existing Furniture and Furnishings, except that Landlord owns the Existing Furniture and Furnishings free of any liens. At the expiration or earlier termination of the Lease Term, Tenant shall surrender the Existing Furniture and Furnishings to Landlord in the same condition as exists on the Delivery Date, ordinary wear and tear and damage from casualty excepted. Tenant shall have no obligation to replace any of the Existing Furniture and Furnishings unless Tenant or any of its agents, employees, contractors or other representatives materially damages or destroys the same. Notwithstanding the Tenant’s right to use the Existing Furniture and Furnishings as provided above, such Existing Furniture and Furnishings shall remain the property of Landlord. Tenant acknowledges and agrees that Landlord shall have no obligation to maintain, repair or insure the Existing Furniture and Furnishings. Prior to the Delivery Date, Landlord shall, at its sole cost, remove all furniture, fixtures and equipment from the Premises other than the Existing Furniture and Furnishings.</w:t>
      </w:r>
    </w:p>
    <w:p>
      <w:pPr>
        <w:spacing w:after="0" w:line="186" w:lineRule="exact"/>
        <w:rPr>
          <w:sz w:val="20"/>
          <w:szCs w:val="20"/>
          <w:color w:val="auto"/>
        </w:rPr>
      </w:pPr>
    </w:p>
    <w:p>
      <w:pPr>
        <w:jc w:val="both"/>
        <w:ind w:firstLine="2246"/>
        <w:spacing w:after="0" w:line="241" w:lineRule="auto"/>
        <w:rPr>
          <w:sz w:val="20"/>
          <w:szCs w:val="20"/>
          <w:color w:val="auto"/>
        </w:rPr>
      </w:pPr>
      <w:r>
        <w:rPr>
          <w:rFonts w:ascii="Times New Roman" w:cs="Times New Roman" w:eastAsia="Times New Roman" w:hAnsi="Times New Roman"/>
          <w:sz w:val="20"/>
          <w:szCs w:val="20"/>
          <w:color w:val="auto"/>
        </w:rPr>
        <w:t xml:space="preserve">1.1.1.3 </w:t>
      </w:r>
      <w:r>
        <w:rPr>
          <w:rFonts w:ascii="Times New Roman" w:cs="Times New Roman" w:eastAsia="Times New Roman" w:hAnsi="Times New Roman"/>
          <w:sz w:val="20"/>
          <w:szCs w:val="20"/>
          <w:b w:val="1"/>
          <w:bCs w:val="1"/>
          <w:u w:val="single" w:color="auto"/>
          <w:color w:val="auto"/>
        </w:rPr>
        <w:t>Workstations Allowance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shall be entitled to a one-time allowance in an amount equal to Six Hundred Fifty Thousand and 00/100 Dollars ($650,000.00) (the “</w:t>
      </w:r>
      <w:r>
        <w:rPr>
          <w:rFonts w:ascii="Times New Roman" w:cs="Times New Roman" w:eastAsia="Times New Roman" w:hAnsi="Times New Roman"/>
          <w:sz w:val="20"/>
          <w:szCs w:val="20"/>
          <w:b w:val="1"/>
          <w:bCs w:val="1"/>
          <w:color w:val="auto"/>
        </w:rPr>
        <w:t>Workstations Allowance</w:t>
      </w:r>
      <w:r>
        <w:rPr>
          <w:rFonts w:ascii="Times New Roman" w:cs="Times New Roman" w:eastAsia="Times New Roman" w:hAnsi="Times New Roman"/>
          <w:sz w:val="20"/>
          <w:szCs w:val="20"/>
          <w:color w:val="auto"/>
        </w:rPr>
        <w:t>”) for the costs of purchasing office workstations, cabling, soft seating, chairs, reception furniture and other furniture, and fixtures to be placed and used in the Premises by Tenant (the “</w:t>
      </w:r>
      <w:r>
        <w:rPr>
          <w:rFonts w:ascii="Times New Roman" w:cs="Times New Roman" w:eastAsia="Times New Roman" w:hAnsi="Times New Roman"/>
          <w:sz w:val="20"/>
          <w:szCs w:val="20"/>
          <w:b w:val="1"/>
          <w:bCs w:val="1"/>
          <w:color w:val="auto"/>
        </w:rPr>
        <w:t>Workstations</w:t>
      </w:r>
      <w:r>
        <w:rPr>
          <w:rFonts w:ascii="Times New Roman" w:cs="Times New Roman" w:eastAsia="Times New Roman" w:hAnsi="Times New Roman"/>
          <w:sz w:val="20"/>
          <w:szCs w:val="20"/>
          <w:color w:val="auto"/>
        </w:rPr>
        <w:t>”) and for the set-up, installation, cabling and electrification of such Workstations. In no event shall Landlord be obligated to make disbursements pursuant to this Lease for costs related to the Workstations which exceed the sum of the Workstations Allowance. Tenant shall be responsible for all costs of purchasing, set-up, installation, cabling and electrification of the Workstations to the extent such costs exceed the Workstations Allowance. Following Tenant’s purchase of such Workstations and completion of the set-up, installation in the Premises, cabling and electrification of such Workstations, Tenant shall submit to Landlord an invoice(s) evidencing the total costs incurred by Tenant in connection with the purchase, set-up, installation, cabling and electrification of such Workstations. Within fifteen (15) days following receipt of such invoice(s), Landlord shall disburse to Tenant from the Workstations Allowance the amounts shown in the invoices presented to Landlord evidencing the total costs incurred by Tenant in connection with the purchase, set-up, installation, cabling and electrification of such Workstations (but in no event shall Landlord be obligated to disburse to Tenant an amount in excess of the Workstations Allowance). To the extent the total costs disbursed to Tenant in connection with the purchase, set-up, installation, cabling and electrification of such Workstations is less than the Workstations Allowance, the undisbursed portion of the Workstations Allowance may be used by Tenant to pay for the cost of other furniture, furnishings and equipment to be used by Tenant in connection with Tenant’s use of the Premises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jc w:val="both"/>
        <w:spacing w:after="0" w:line="269" w:lineRule="auto"/>
        <w:rPr>
          <w:sz w:val="20"/>
          <w:szCs w:val="20"/>
          <w:color w:val="auto"/>
        </w:rPr>
      </w:pPr>
      <w:r>
        <w:rPr>
          <w:rFonts w:ascii="Times New Roman" w:cs="Times New Roman" w:eastAsia="Times New Roman" w:hAnsi="Times New Roman"/>
          <w:sz w:val="20"/>
          <w:szCs w:val="20"/>
          <w:color w:val="auto"/>
        </w:rPr>
        <w:t>and shall be disbursed by Landlord to Tenant based on paid invoices received by Landlord from Tenant for such other furniture, furnishings and equipment.</w:t>
      </w:r>
    </w:p>
    <w:p>
      <w:pPr>
        <w:spacing w:after="0" w:line="15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b w:val="1"/>
          <w:bCs w:val="1"/>
          <w:u w:val="single" w:color="auto"/>
          <w:color w:val="auto"/>
        </w:rPr>
        <w:t>The Building and The Project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Premises are a part of the Building set forth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of the Summary (the “</w:t>
      </w:r>
      <w:r>
        <w:rPr>
          <w:rFonts w:ascii="Times New Roman" w:cs="Times New Roman" w:eastAsia="Times New Roman" w:hAnsi="Times New Roman"/>
          <w:sz w:val="20"/>
          <w:szCs w:val="20"/>
          <w:b w:val="1"/>
          <w:bCs w:val="1"/>
          <w:color w:val="auto"/>
        </w:rPr>
        <w:t>Building</w:t>
      </w:r>
      <w:r>
        <w:rPr>
          <w:rFonts w:ascii="Times New Roman" w:cs="Times New Roman" w:eastAsia="Times New Roman" w:hAnsi="Times New Roman"/>
          <w:sz w:val="20"/>
          <w:szCs w:val="20"/>
          <w:color w:val="auto"/>
        </w:rPr>
        <w:t xml:space="preserve">”). The Building is part of a seven (7) building office project known as </w:t>
      </w:r>
      <w:r>
        <w:rPr>
          <w:rFonts w:ascii="Times New Roman" w:cs="Times New Roman" w:eastAsia="Times New Roman" w:hAnsi="Times New Roman"/>
          <w:sz w:val="20"/>
          <w:szCs w:val="20"/>
          <w:b w:val="1"/>
          <w:bCs w:val="1"/>
          <w:color w:val="auto"/>
        </w:rPr>
        <w:t>“The Quad @ Tasman.”</w:t>
      </w:r>
      <w:r>
        <w:rPr>
          <w:rFonts w:ascii="Times New Roman" w:cs="Times New Roman" w:eastAsia="Times New Roman" w:hAnsi="Times New Roman"/>
          <w:sz w:val="20"/>
          <w:szCs w:val="20"/>
          <w:color w:val="auto"/>
        </w:rPr>
        <w:t xml:space="preserve"> The term “Project,” as used in this Lease, shall mean (i) the Building and the Common Areas, (ii) the land (which is improved with landscaping, subterranean parking facilities and other improvements) upon which the Building and the Common Areas are located, (iii) the other buildings located in the Project and the land upon which such other buildings are located, and (iv) at Landlord’s discretion, any additional real property, areas, land, buildings or other improvements added thereto outside of but adjacent to that serve the Project and do not result in an Adverse Event (defined below). Each of the Building and the other buildings now or hereafter included in the Project are sometimes referred to herein as a “</w:t>
      </w:r>
      <w:r>
        <w:rPr>
          <w:rFonts w:ascii="Times New Roman" w:cs="Times New Roman" w:eastAsia="Times New Roman" w:hAnsi="Times New Roman"/>
          <w:sz w:val="20"/>
          <w:szCs w:val="20"/>
          <w:b w:val="1"/>
          <w:bCs w:val="1"/>
          <w:color w:val="auto"/>
        </w:rPr>
        <w:t>Project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Building</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b w:val="1"/>
          <w:bCs w:val="1"/>
          <w:u w:val="single" w:color="auto"/>
          <w:color w:val="auto"/>
        </w:rPr>
        <w:t>Common Areas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shall have the non-exclusive right to use in common with other tenants in the Project, and subject to the rules and regulations referred to in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 xml:space="preserve"> of this Lease, those portions of the Project which are provided, from time to time, for use in common by Landlord, Tenant and any other tenants of the Project and designated by Landlord as such (such areas are collectively referred to herein as the “</w:t>
      </w:r>
      <w:r>
        <w:rPr>
          <w:rFonts w:ascii="Times New Roman" w:cs="Times New Roman" w:eastAsia="Times New Roman" w:hAnsi="Times New Roman"/>
          <w:sz w:val="20"/>
          <w:szCs w:val="20"/>
          <w:b w:val="1"/>
          <w:bCs w:val="1"/>
          <w:color w:val="auto"/>
        </w:rPr>
        <w:t>Common Areas</w:t>
      </w:r>
      <w:r>
        <w:rPr>
          <w:rFonts w:ascii="Times New Roman" w:cs="Times New Roman" w:eastAsia="Times New Roman" w:hAnsi="Times New Roman"/>
          <w:sz w:val="20"/>
          <w:szCs w:val="20"/>
          <w:color w:val="auto"/>
        </w:rPr>
        <w:t>”). The manner in which the Common Areas are maintained and operated shall be at the sole but reasonable discretion of Landlord, provided that Landlord shall maintain and operate the same in a manner consistent with that of other Class A, mid-rise office buildings in the downtown areas of Santa Clara, California, which buildings are comparable in quality of appearance, services, and amenities (the “</w:t>
      </w:r>
      <w:r>
        <w:rPr>
          <w:rFonts w:ascii="Times New Roman" w:cs="Times New Roman" w:eastAsia="Times New Roman" w:hAnsi="Times New Roman"/>
          <w:sz w:val="20"/>
          <w:szCs w:val="20"/>
          <w:b w:val="1"/>
          <w:bCs w:val="1"/>
          <w:color w:val="auto"/>
        </w:rPr>
        <w:t>Comparable Buildings</w:t>
      </w:r>
      <w:r>
        <w:rPr>
          <w:rFonts w:ascii="Times New Roman" w:cs="Times New Roman" w:eastAsia="Times New Roman" w:hAnsi="Times New Roman"/>
          <w:sz w:val="20"/>
          <w:szCs w:val="20"/>
          <w:color w:val="auto"/>
        </w:rPr>
        <w:t>”) and the use thereof shall be subject to such rules, regulations and restrictions as Landlord may make from time to time that do not unreasonably interfere with Tenant’s use of or access to the Premises or Common Areas or Tenant’s parking rights or materially increase Tenant’s obligations or materially decrease Tenant’s rights (each an "</w:t>
      </w:r>
      <w:r>
        <w:rPr>
          <w:rFonts w:ascii="Times New Roman" w:cs="Times New Roman" w:eastAsia="Times New Roman" w:hAnsi="Times New Roman"/>
          <w:sz w:val="20"/>
          <w:szCs w:val="20"/>
          <w:b w:val="1"/>
          <w:bCs w:val="1"/>
          <w:color w:val="auto"/>
        </w:rPr>
        <w:t>Adverse Event</w:t>
      </w:r>
      <w:r>
        <w:rPr>
          <w:rFonts w:ascii="Times New Roman" w:cs="Times New Roman" w:eastAsia="Times New Roman" w:hAnsi="Times New Roman"/>
          <w:sz w:val="20"/>
          <w:szCs w:val="20"/>
          <w:color w:val="auto"/>
        </w:rPr>
        <w:t>"). Landlord reserves the right to close temporarily, make alterations or additions to, or change the location of elements of the Project and the Common Areas, provided that Tenant shall have a reasonable alternative means to access the Premises for the Permitted Use and all of Tenant's parking rights and so long as the same do not result in any Adverse Event. Notwithstanding anything to the contrary herein, (i) the Common Areas shall include throughout the Lease Term (unless otherwise limited, precluded, suspended or diminished by any Applicable Laws) the Fitness Center and outdoor collaboration areas and conference pods that are comparable in size and utility to those existing on the date of this Lease and (ii) neither Tenant nor Tenant's personnel shall be charged any additional fee (other than Tenant’s Share of Direct Expenses) to use any Common Areas.</w:t>
      </w:r>
    </w:p>
    <w:p>
      <w:pPr>
        <w:spacing w:after="0" w:line="193" w:lineRule="exact"/>
        <w:rPr>
          <w:sz w:val="20"/>
          <w:szCs w:val="20"/>
          <w:color w:val="auto"/>
        </w:rPr>
      </w:pPr>
    </w:p>
    <w:p>
      <w:pPr>
        <w:jc w:val="both"/>
        <w:ind w:left="100" w:firstLine="749"/>
        <w:spacing w:after="0" w:line="273"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b w:val="1"/>
          <w:bCs w:val="1"/>
          <w:u w:val="single" w:color="auto"/>
          <w:color w:val="auto"/>
        </w:rPr>
        <w:t>Rentable Square Feet of Premises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For purposes of this Lease, “rentable square feet” of the Premises shall be deemed as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of the Summary and shall not be subject to remeasurement or modification.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LEASE TERM</w:t>
      </w:r>
    </w:p>
    <w:p>
      <w:pPr>
        <w:spacing w:after="0" w:line="216" w:lineRule="exact"/>
        <w:rPr>
          <w:sz w:val="20"/>
          <w:szCs w:val="20"/>
          <w:color w:val="auto"/>
        </w:rPr>
      </w:pPr>
    </w:p>
    <w:p>
      <w:pPr>
        <w:jc w:val="both"/>
        <w:ind w:left="100" w:firstLine="749"/>
        <w:spacing w:after="0" w:line="261"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b w:val="1"/>
          <w:bCs w:val="1"/>
          <w:u w:val="single" w:color="auto"/>
          <w:color w:val="auto"/>
        </w:rPr>
        <w:t>General</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The terms and provisions of this Lease shall be effective as of the date of this Lease. The term of this Lease (the “</w:t>
      </w:r>
      <w:r>
        <w:rPr>
          <w:rFonts w:ascii="Times New Roman" w:cs="Times New Roman" w:eastAsia="Times New Roman" w:hAnsi="Times New Roman"/>
          <w:sz w:val="19"/>
          <w:szCs w:val="19"/>
          <w:b w:val="1"/>
          <w:bCs w:val="1"/>
          <w:color w:val="auto"/>
        </w:rPr>
        <w:t>Lease Term</w:t>
      </w:r>
      <w:r>
        <w:rPr>
          <w:rFonts w:ascii="Times New Roman" w:cs="Times New Roman" w:eastAsia="Times New Roman" w:hAnsi="Times New Roman"/>
          <w:sz w:val="19"/>
          <w:szCs w:val="19"/>
          <w:color w:val="auto"/>
        </w:rPr>
        <w:t xml:space="preserve">”) shall be as set forth in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of the Summary, shall commence on the date set forth in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of the Summary (the “</w:t>
      </w:r>
      <w:r>
        <w:rPr>
          <w:rFonts w:ascii="Times New Roman" w:cs="Times New Roman" w:eastAsia="Times New Roman" w:hAnsi="Times New Roman"/>
          <w:sz w:val="19"/>
          <w:szCs w:val="19"/>
          <w:b w:val="1"/>
          <w:bCs w:val="1"/>
          <w:color w:val="auto"/>
        </w:rPr>
        <w:t>Lease Commencement Date</w:t>
      </w:r>
      <w:r>
        <w:rPr>
          <w:rFonts w:ascii="Times New Roman" w:cs="Times New Roman" w:eastAsia="Times New Roman" w:hAnsi="Times New Roman"/>
          <w:sz w:val="19"/>
          <w:szCs w:val="19"/>
          <w:color w:val="auto"/>
        </w:rPr>
        <w:t xml:space="preserve">”), and shall terminate on the date set forth in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xml:space="preserve"> of the Summary (the “</w:t>
      </w:r>
      <w:r>
        <w:rPr>
          <w:rFonts w:ascii="Times New Roman" w:cs="Times New Roman" w:eastAsia="Times New Roman" w:hAnsi="Times New Roman"/>
          <w:sz w:val="19"/>
          <w:szCs w:val="19"/>
          <w:b w:val="1"/>
          <w:bCs w:val="1"/>
          <w:color w:val="auto"/>
        </w:rPr>
        <w:t>Lease Expiration Date</w:t>
      </w:r>
      <w:r>
        <w:rPr>
          <w:rFonts w:ascii="Times New Roman" w:cs="Times New Roman" w:eastAsia="Times New Roman" w:hAnsi="Times New Roman"/>
          <w:sz w:val="19"/>
          <w:szCs w:val="19"/>
          <w:color w:val="auto"/>
        </w:rPr>
        <w:t>”) unless this Lease is sooner terminated or extended as hereinafter provided. For purposes of this Lease, the term “</w:t>
      </w:r>
      <w:r>
        <w:rPr>
          <w:rFonts w:ascii="Times New Roman" w:cs="Times New Roman" w:eastAsia="Times New Roman" w:hAnsi="Times New Roman"/>
          <w:sz w:val="19"/>
          <w:szCs w:val="19"/>
          <w:b w:val="1"/>
          <w:bCs w:val="1"/>
          <w:color w:val="auto"/>
        </w:rPr>
        <w:t>Lease Year</w:t>
      </w:r>
      <w:r>
        <w:rPr>
          <w:rFonts w:ascii="Times New Roman" w:cs="Times New Roman" w:eastAsia="Times New Roman" w:hAnsi="Times New Roman"/>
          <w:sz w:val="19"/>
          <w:szCs w:val="19"/>
          <w:color w:val="auto"/>
        </w:rPr>
        <w:t>” shall mean each consecutive twelve (12) month period during the Lease Term; provided, however, that the first Lease Year shall commence on the Lease Commencement Date and end on the last day of the twelfth full calendar month thereafter and the second and each succeeding Lease</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both"/>
        <w:ind w:left="100"/>
        <w:spacing w:after="0" w:line="243" w:lineRule="auto"/>
        <w:rPr>
          <w:sz w:val="20"/>
          <w:szCs w:val="20"/>
          <w:color w:val="auto"/>
        </w:rPr>
      </w:pPr>
      <w:r>
        <w:rPr>
          <w:rFonts w:ascii="Times New Roman" w:cs="Times New Roman" w:eastAsia="Times New Roman" w:hAnsi="Times New Roman"/>
          <w:sz w:val="20"/>
          <w:szCs w:val="20"/>
          <w:color w:val="auto"/>
        </w:rPr>
        <w:t xml:space="preserve">Year shall commence on the first day of the next calendar month; and further provided that the last Lease Year shall end on the Lease Expiration Date (unless this Lease is sooner terminated or extended). At any time during the Lease Term, Landlord may deliver to Tenant a notice in the form as set forth in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attached hereto (the “</w:t>
      </w:r>
      <w:r>
        <w:rPr>
          <w:rFonts w:ascii="Times New Roman" w:cs="Times New Roman" w:eastAsia="Times New Roman" w:hAnsi="Times New Roman"/>
          <w:sz w:val="20"/>
          <w:szCs w:val="20"/>
          <w:b w:val="1"/>
          <w:bCs w:val="1"/>
          <w:color w:val="auto"/>
        </w:rPr>
        <w:t>Notice of Lease Term Dates</w:t>
      </w:r>
      <w:r>
        <w:rPr>
          <w:rFonts w:ascii="Times New Roman" w:cs="Times New Roman" w:eastAsia="Times New Roman" w:hAnsi="Times New Roman"/>
          <w:sz w:val="20"/>
          <w:szCs w:val="20"/>
          <w:color w:val="auto"/>
        </w:rPr>
        <w:t>”), as a confirmation of the information set forth therein, which Tenant shall execute and return to Landlord within ten (10) business days of receipt thereof, and thereafter the dates set forth on such notice shall be conclusive and binding upon Tenant. Failure of Tenant to execute and deliver the Notice of Lease Term Dates (or provide comments thereto) within ten (10) business days of receipt thereof shall constitute an acknowledgment by Tenant that the statements included in such notice are true and correct, without exception. This Lease shall be a binding contractual obligation effective upon execution and delivery hereof by Landlord and Tenant, notwithstanding the later commencement of the Term.</w:t>
      </w:r>
    </w:p>
    <w:p>
      <w:pPr>
        <w:spacing w:after="0" w:line="185"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b w:val="1"/>
          <w:bCs w:val="1"/>
          <w:u w:val="single" w:color="auto"/>
          <w:color w:val="auto"/>
        </w:rPr>
        <w:t>Abated Rent if Lease Delivery Date is Later than September 1, 2025</w:t>
      </w:r>
      <w:r>
        <w:rPr>
          <w:rFonts w:ascii="Times New Roman" w:cs="Times New Roman" w:eastAsia="Times New Roman" w:hAnsi="Times New Roman"/>
          <w:sz w:val="20"/>
          <w:szCs w:val="20"/>
          <w:color w:val="auto"/>
        </w:rPr>
        <w:t xml:space="preserve">. If the Delivery Date has not occurred by September 1, 2025, as such September 1, 2025 date shall be extended one (1) day for each day (i) that Substantial Completion of the work to be performed by Landlord pursuant to the Tenant Work Letter is delayed due to an event(s) of Force Majeure (as defined in </w:t>
      </w:r>
      <w:r>
        <w:rPr>
          <w:rFonts w:ascii="Times New Roman" w:cs="Times New Roman" w:eastAsia="Times New Roman" w:hAnsi="Times New Roman"/>
          <w:sz w:val="20"/>
          <w:szCs w:val="20"/>
          <w:u w:val="single" w:color="auto"/>
          <w:color w:val="auto"/>
        </w:rPr>
        <w:t>Section 29.16</w:t>
      </w:r>
      <w:r>
        <w:rPr>
          <w:rFonts w:ascii="Times New Roman" w:cs="Times New Roman" w:eastAsia="Times New Roman" w:hAnsi="Times New Roman"/>
          <w:sz w:val="20"/>
          <w:szCs w:val="20"/>
          <w:color w:val="auto"/>
        </w:rPr>
        <w:t xml:space="preserve"> below) (however, for purposes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in no event shall such days of Force Majeure delays be greater than sixty (60) days) and/or any Tenant Delay (as defined in the Tenant Work Letter), without double-counting and/or (ii) from and after December 20, 2024 that this Lease has not been fully signed and delivered by Landlord and Tenant (the “</w:t>
      </w:r>
      <w:r>
        <w:rPr>
          <w:rFonts w:ascii="Times New Roman" w:cs="Times New Roman" w:eastAsia="Times New Roman" w:hAnsi="Times New Roman"/>
          <w:sz w:val="20"/>
          <w:szCs w:val="20"/>
          <w:b w:val="1"/>
          <w:bCs w:val="1"/>
          <w:color w:val="auto"/>
        </w:rPr>
        <w:t>Outside Delivery Date</w:t>
      </w:r>
      <w:r>
        <w:rPr>
          <w:rFonts w:ascii="Times New Roman" w:cs="Times New Roman" w:eastAsia="Times New Roman" w:hAnsi="Times New Roman"/>
          <w:sz w:val="20"/>
          <w:szCs w:val="20"/>
          <w:color w:val="auto"/>
        </w:rPr>
        <w:t>”), then, commencing on the first day of the ninth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full month of the initial Lease Term, Tenant shall be granted one (1) day of abated Base Rent and one day of abated Tenant’s Share of the annual Building Direct Expenses for each day that that the Delivery Date is delayed beyond the Outside Delivery Date. In addition, if the Delivery Date has not occurred by February 28, 2026, as such date shall be extended by one (1) day for each day that Substantial Completion of the work to be performed by Landlord pursuant to the Tenant Work Letter is delayed due to and event of Force Majeure (but not greater than sixty (60) days of Force Majeure delays) and/or Tenant Delay, without double-counting, then Tenant may also terminate this Lease by delivering written notice thereof to Landlord.</w:t>
      </w:r>
    </w:p>
    <w:p>
      <w:pPr>
        <w:spacing w:after="0" w:line="19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u w:val="single" w:color="auto"/>
          <w:color w:val="auto"/>
        </w:rPr>
        <w:t>Renewal Option</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9"/>
          <w:szCs w:val="19"/>
          <w:color w:val="auto"/>
        </w:rPr>
        <w:t xml:space="preserve">2.2.1 </w:t>
      </w:r>
      <w:r>
        <w:rPr>
          <w:rFonts w:ascii="Times New Roman" w:cs="Times New Roman" w:eastAsia="Times New Roman" w:hAnsi="Times New Roman"/>
          <w:sz w:val="19"/>
          <w:szCs w:val="19"/>
          <w:b w:val="1"/>
          <w:bCs w:val="1"/>
          <w:u w:val="single" w:color="auto"/>
          <w:color w:val="auto"/>
        </w:rPr>
        <w:t>Extension Option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Landlord hereby grants to the Tenant originally named in this Lease and any Permitted Assignee thereof (as defined in </w:t>
      </w:r>
      <w:r>
        <w:rPr>
          <w:rFonts w:ascii="Times New Roman" w:cs="Times New Roman" w:eastAsia="Times New Roman" w:hAnsi="Times New Roman"/>
          <w:sz w:val="19"/>
          <w:szCs w:val="19"/>
          <w:u w:val="single" w:color="auto"/>
          <w:color w:val="auto"/>
        </w:rPr>
        <w:t>Section 14.8</w:t>
      </w:r>
      <w:r>
        <w:rPr>
          <w:rFonts w:ascii="Times New Roman" w:cs="Times New Roman" w:eastAsia="Times New Roman" w:hAnsi="Times New Roman"/>
          <w:sz w:val="19"/>
          <w:szCs w:val="19"/>
          <w:color w:val="auto"/>
        </w:rPr>
        <w:t xml:space="preserve"> below) (inclusive of such Permitted Assignee, the “</w:t>
      </w:r>
      <w:r>
        <w:rPr>
          <w:rFonts w:ascii="Times New Roman" w:cs="Times New Roman" w:eastAsia="Times New Roman" w:hAnsi="Times New Roman"/>
          <w:sz w:val="19"/>
          <w:szCs w:val="19"/>
          <w:b w:val="1"/>
          <w:bCs w:val="1"/>
          <w:color w:val="auto"/>
        </w:rPr>
        <w:t>Original Tenant</w:t>
      </w:r>
      <w:r>
        <w:rPr>
          <w:rFonts w:ascii="Times New Roman" w:cs="Times New Roman" w:eastAsia="Times New Roman" w:hAnsi="Times New Roman"/>
          <w:sz w:val="19"/>
          <w:szCs w:val="19"/>
          <w:color w:val="auto"/>
        </w:rPr>
        <w:t>”), one (1) option to extend (each an “</w:t>
      </w:r>
      <w:r>
        <w:rPr>
          <w:rFonts w:ascii="Times New Roman" w:cs="Times New Roman" w:eastAsia="Times New Roman" w:hAnsi="Times New Roman"/>
          <w:sz w:val="19"/>
          <w:szCs w:val="19"/>
          <w:b w:val="1"/>
          <w:bCs w:val="1"/>
          <w:color w:val="auto"/>
        </w:rPr>
        <w:t>Extension Option</w:t>
      </w:r>
      <w:r>
        <w:rPr>
          <w:rFonts w:ascii="Times New Roman" w:cs="Times New Roman" w:eastAsia="Times New Roman" w:hAnsi="Times New Roman"/>
          <w:sz w:val="19"/>
          <w:szCs w:val="19"/>
          <w:color w:val="auto"/>
        </w:rPr>
        <w:t>”) the Lease Term for a period of five (5) years (the “</w:t>
      </w:r>
      <w:r>
        <w:rPr>
          <w:rFonts w:ascii="Times New Roman" w:cs="Times New Roman" w:eastAsia="Times New Roman" w:hAnsi="Times New Roman"/>
          <w:sz w:val="19"/>
          <w:szCs w:val="19"/>
          <w:b w:val="1"/>
          <w:bCs w:val="1"/>
          <w:color w:val="auto"/>
        </w:rPr>
        <w:t>Option Term</w:t>
      </w:r>
      <w:r>
        <w:rPr>
          <w:rFonts w:ascii="Times New Roman" w:cs="Times New Roman" w:eastAsia="Times New Roman" w:hAnsi="Times New Roman"/>
          <w:sz w:val="19"/>
          <w:szCs w:val="19"/>
          <w:color w:val="auto"/>
        </w:rPr>
        <w:t>”), which option shall be exercisable only by written notice delivered by Tenant to Landlord as provided below, provided that the following conditions (the “</w:t>
      </w:r>
      <w:r>
        <w:rPr>
          <w:rFonts w:ascii="Times New Roman" w:cs="Times New Roman" w:eastAsia="Times New Roman" w:hAnsi="Times New Roman"/>
          <w:sz w:val="19"/>
          <w:szCs w:val="19"/>
          <w:b w:val="1"/>
          <w:bCs w:val="1"/>
          <w:color w:val="auto"/>
        </w:rPr>
        <w:t>Option Conditions</w:t>
      </w:r>
      <w:r>
        <w:rPr>
          <w:rFonts w:ascii="Times New Roman" w:cs="Times New Roman" w:eastAsia="Times New Roman" w:hAnsi="Times New Roman"/>
          <w:sz w:val="19"/>
          <w:szCs w:val="19"/>
          <w:color w:val="auto"/>
        </w:rPr>
        <w:t xml:space="preserve">”) are satisfied: (i) as of the date of delivery of the “Option Rent Notice”, as that term is defined in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below and as of the date of delivery of the “Option Exercise Notice,” as that term is defined in </w:t>
      </w:r>
      <w:r>
        <w:rPr>
          <w:rFonts w:ascii="Times New Roman" w:cs="Times New Roman" w:eastAsia="Times New Roman" w:hAnsi="Times New Roman"/>
          <w:sz w:val="19"/>
          <w:szCs w:val="19"/>
          <w:u w:val="single" w:color="auto"/>
          <w:color w:val="auto"/>
        </w:rPr>
        <w:t>Section 2.3.3</w:t>
      </w:r>
      <w:r>
        <w:rPr>
          <w:rFonts w:ascii="Times New Roman" w:cs="Times New Roman" w:eastAsia="Times New Roman" w:hAnsi="Times New Roman"/>
          <w:sz w:val="19"/>
          <w:szCs w:val="19"/>
          <w:color w:val="auto"/>
        </w:rPr>
        <w:t xml:space="preserve">, below: (A) this Lease remains in full force and effect, (ii) Tenant is not in material default under this Lease after the expiration of applicable notice and cure periods and no material Event of Default has occurred under this Lease during the immediately preceding twelve (12) months, (C) Original Tenant has not assigned the Lease other than to a Permitted Assignee and (D) no more than fifty percent (50%) of the Premises is then subleased other than to a Permitted Transferee. Landlord may, at Landlord’s option, exercised in Landlord’s sole and absolute discretion, waive any of the Option Conditions in which case the option, if otherwise properly exercised by Tenant, shall remain in full force and effect. Upon the proper exercise of the Extension Option, and provided that Tenant satisfies all of the Option Conditions (except those, if any, which are waived by Landlord), the Lease Term, as it applies to the Premises, shall be extended for a period of five (5) years. The rights contained in this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xml:space="preserve"> shall be personal to Original Tenant and any Permitted Assignee, and may be exercised only by Original Tenant or any Permitted Assignee (and not by any assignee, sublessee or other “Transferee,” as that term is defined in </w:t>
      </w:r>
      <w:r>
        <w:rPr>
          <w:rFonts w:ascii="Times New Roman" w:cs="Times New Roman" w:eastAsia="Times New Roman" w:hAnsi="Times New Roman"/>
          <w:sz w:val="19"/>
          <w:szCs w:val="19"/>
          <w:u w:val="single" w:color="auto"/>
          <w:color w:val="auto"/>
        </w:rPr>
        <w:t>Section 14.1</w:t>
      </w:r>
      <w:r>
        <w:rPr>
          <w:rFonts w:ascii="Times New Roman" w:cs="Times New Roman" w:eastAsia="Times New Roman" w:hAnsi="Times New Roman"/>
          <w:sz w:val="19"/>
          <w:szCs w:val="19"/>
          <w:color w:val="auto"/>
        </w:rPr>
        <w:t>, below, of Tenant’s interest in this Lease).</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2.2.2 </w:t>
      </w:r>
      <w:r>
        <w:rPr>
          <w:rFonts w:ascii="Times New Roman" w:cs="Times New Roman" w:eastAsia="Times New Roman" w:hAnsi="Times New Roman"/>
          <w:sz w:val="20"/>
          <w:szCs w:val="20"/>
          <w:b w:val="1"/>
          <w:bCs w:val="1"/>
          <w:u w:val="single" w:color="auto"/>
          <w:color w:val="auto"/>
        </w:rPr>
        <w:t>Option Rent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rent payable by Tenant during the Option Term (the “</w:t>
      </w:r>
      <w:r>
        <w:rPr>
          <w:rFonts w:ascii="Times New Roman" w:cs="Times New Roman" w:eastAsia="Times New Roman" w:hAnsi="Times New Roman"/>
          <w:sz w:val="20"/>
          <w:szCs w:val="20"/>
          <w:b w:val="1"/>
          <w:bCs w:val="1"/>
          <w:color w:val="auto"/>
        </w:rPr>
        <w:t>Option Rent</w:t>
      </w:r>
      <w:r>
        <w:rPr>
          <w:rFonts w:ascii="Times New Roman" w:cs="Times New Roman" w:eastAsia="Times New Roman" w:hAnsi="Times New Roman"/>
          <w:sz w:val="20"/>
          <w:szCs w:val="20"/>
          <w:color w:val="auto"/>
        </w:rPr>
        <w:t>”) shall be equal to one hundred percent (100%) of the Fair Market Value (as hereinafter defined) of the Premises. “</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shall mean the fixed rent component (or “Base Rent”) (and one hundred percent (100%) of the additional rent component) of the rent (including any additional rent and considering any “triple net” applicable thereto or “base year” or “expense stop” applicable thereto), on an annual per rentable square foot basis, including all escalations, at which tenants, as of the commencement of the applicable Option Term, are leasing non-sublease, non-encumbered, non-equity space comparable in size, location and quality to the Premises for a term comparable to the applicable Option Term, in an arm’s length transaction consummated during the twelve (12) month period prior to the date on which Landlord delivers to Tenant the “Option Rent Notice,” as this term is defined below, which comparable space is located in the Comparable Buildings (“</w:t>
      </w:r>
      <w:r>
        <w:rPr>
          <w:rFonts w:ascii="Times New Roman" w:cs="Times New Roman" w:eastAsia="Times New Roman" w:hAnsi="Times New Roman"/>
          <w:sz w:val="20"/>
          <w:szCs w:val="20"/>
          <w:b w:val="1"/>
          <w:bCs w:val="1"/>
          <w:color w:val="auto"/>
        </w:rPr>
        <w:t>Comparable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Transactions</w:t>
      </w:r>
      <w:r>
        <w:rPr>
          <w:rFonts w:ascii="Times New Roman" w:cs="Times New Roman" w:eastAsia="Times New Roman" w:hAnsi="Times New Roman"/>
          <w:sz w:val="20"/>
          <w:szCs w:val="20"/>
          <w:color w:val="auto"/>
        </w:rPr>
        <w:t>”), taking into consideration concessions offered in such Comparable Transactions (“</w:t>
      </w:r>
      <w:r>
        <w:rPr>
          <w:rFonts w:ascii="Times New Roman" w:cs="Times New Roman" w:eastAsia="Times New Roman" w:hAnsi="Times New Roman"/>
          <w:sz w:val="20"/>
          <w:szCs w:val="20"/>
          <w:b w:val="1"/>
          <w:bCs w:val="1"/>
          <w:color w:val="auto"/>
        </w:rPr>
        <w:t>Concessions</w:t>
      </w:r>
      <w:r>
        <w:rPr>
          <w:rFonts w:ascii="Times New Roman" w:cs="Times New Roman" w:eastAsia="Times New Roman" w:hAnsi="Times New Roman"/>
          <w:sz w:val="20"/>
          <w:szCs w:val="20"/>
          <w:color w:val="auto"/>
        </w:rPr>
        <w:t>”), and that the same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Concessions are not being provided to Tenant, including, but not limited to: (a) rental abatement concessions, if any, being granted such tenants in connection with such comparable space, and (b) tenant improvements or allowances provided or to be provided for such comparable space, taking into account the then existing improvements in the Premises (but excluding the value of any improvements made at Tenant's sole expense), such value to be based upon the age, quality and layout of the improvements; provided, however, that notwithstanding anything to the contrary herein, no consideration shall be given to the fact that Landlord is or is not required to pay a real estate brokerage commission in connection with Tenant’s exercise of its right to lease the Premises during the applicable Option Term or the fact that the Comparable Transactions do or do not involve the payment of real estate brokerage commissions; and provided further that, to the extent not included in Fair Market Value, Tenant shall pay Tenant’s Share of Building Direct Expenses (which includes Tenant’s Share of Project Direct Expenses that are included in Building Direct Expenses per Section 4.3.1) during the applicable Option Term in accordance with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below.</w:t>
      </w:r>
    </w:p>
    <w:p>
      <w:pPr>
        <w:spacing w:after="0" w:line="189"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0"/>
          <w:szCs w:val="20"/>
          <w:color w:val="auto"/>
        </w:rPr>
        <w:t xml:space="preserve">2.2.3 </w:t>
      </w:r>
      <w:r>
        <w:rPr>
          <w:rFonts w:ascii="Times New Roman" w:cs="Times New Roman" w:eastAsia="Times New Roman" w:hAnsi="Times New Roman"/>
          <w:sz w:val="20"/>
          <w:szCs w:val="20"/>
          <w:b w:val="1"/>
          <w:bCs w:val="1"/>
          <w:u w:val="single" w:color="auto"/>
          <w:color w:val="auto"/>
        </w:rPr>
        <w:t>Exercise of Option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Extension Option contained in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shall be exercised by Tenant, if at all, only in the following manner: (i) Tenant shall deliver irrevocable written notice (the “</w:t>
      </w:r>
      <w:r>
        <w:rPr>
          <w:rFonts w:ascii="Times New Roman" w:cs="Times New Roman" w:eastAsia="Times New Roman" w:hAnsi="Times New Roman"/>
          <w:sz w:val="20"/>
          <w:szCs w:val="20"/>
          <w:b w:val="1"/>
          <w:bCs w:val="1"/>
          <w:color w:val="auto"/>
        </w:rPr>
        <w:t>Option Exercise Notice</w:t>
      </w:r>
      <w:r>
        <w:rPr>
          <w:rFonts w:ascii="Times New Roman" w:cs="Times New Roman" w:eastAsia="Times New Roman" w:hAnsi="Times New Roman"/>
          <w:sz w:val="20"/>
          <w:szCs w:val="20"/>
          <w:color w:val="auto"/>
        </w:rPr>
        <w:t>”) to Landlord not more than fifteen (15) months nor less than twelve (12) months prior to the date the initial Term of the Lease would expire; (ii) Landlord, within thirty</w:t>
      </w:r>
    </w:p>
    <w:p>
      <w:pPr>
        <w:spacing w:after="0" w:line="2" w:lineRule="exact"/>
        <w:rPr>
          <w:sz w:val="20"/>
          <w:szCs w:val="20"/>
          <w:color w:val="auto"/>
        </w:rPr>
      </w:pPr>
    </w:p>
    <w:p>
      <w:pPr>
        <w:jc w:val="both"/>
        <w:ind w:firstLine="8"/>
        <w:spacing w:after="0" w:line="241" w:lineRule="auto"/>
        <w:tabs>
          <w:tab w:leader="none" w:pos="40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receipt of Tenant’s Option Exercise Notice, shall deliver notice (the “</w:t>
      </w:r>
      <w:r>
        <w:rPr>
          <w:rFonts w:ascii="Times New Roman" w:cs="Times New Roman" w:eastAsia="Times New Roman" w:hAnsi="Times New Roman"/>
          <w:sz w:val="20"/>
          <w:szCs w:val="20"/>
          <w:b w:val="1"/>
          <w:bCs w:val="1"/>
          <w:color w:val="auto"/>
        </w:rPr>
        <w:t>Option Rent Notice</w:t>
      </w:r>
      <w:r>
        <w:rPr>
          <w:rFonts w:ascii="Times New Roman" w:cs="Times New Roman" w:eastAsia="Times New Roman" w:hAnsi="Times New Roman"/>
          <w:sz w:val="20"/>
          <w:szCs w:val="20"/>
          <w:color w:val="auto"/>
        </w:rPr>
        <w:t xml:space="preserve">”), to Tenant setting forth the Option Rent; and (iii) Tenant, within ten (10) business days after Tenant’s receipt of the Option Rent Notice, shall send written notice to Landlord either (A) confirming Tenant’s agreement with the proposed Option Rent contained in the Option Rent Notice, or (B) objecting to the Option Rent contained in the Option Rent Notice. If Tenant timely objects to the Option Rent Notice or fails to timely respond to the Option Rent Notice, then the parties shall follow the procedure, and the Option Rent shall be determined, as set forth in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below.</w:t>
      </w:r>
    </w:p>
    <w:p>
      <w:pPr>
        <w:spacing w:after="0" w:line="183"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2.2.4 </w:t>
      </w:r>
      <w:r>
        <w:rPr>
          <w:rFonts w:ascii="Times New Roman" w:cs="Times New Roman" w:eastAsia="Times New Roman" w:hAnsi="Times New Roman"/>
          <w:sz w:val="20"/>
          <w:szCs w:val="20"/>
          <w:b w:val="1"/>
          <w:bCs w:val="1"/>
          <w:u w:val="single" w:color="auto"/>
          <w:color w:val="auto"/>
        </w:rPr>
        <w:t>Determination of Option Rent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the event Tenant timely and appropriately objects to the Option Rent, Landlord and Tenant shall attempt to agree upon the Option Rent using their good-faith efforts to do so. If Landlord and Tenant fail to reach agreement within ten (10) business days following Tenant’s objection to the Option Rent (the “</w:t>
      </w:r>
      <w:r>
        <w:rPr>
          <w:rFonts w:ascii="Times New Roman" w:cs="Times New Roman" w:eastAsia="Times New Roman" w:hAnsi="Times New Roman"/>
          <w:sz w:val="20"/>
          <w:szCs w:val="20"/>
          <w:b w:val="1"/>
          <w:bCs w:val="1"/>
          <w:color w:val="auto"/>
        </w:rPr>
        <w:t>Outside Agreement Date</w:t>
      </w:r>
      <w:r>
        <w:rPr>
          <w:rFonts w:ascii="Times New Roman" w:cs="Times New Roman" w:eastAsia="Times New Roman" w:hAnsi="Times New Roman"/>
          <w:sz w:val="20"/>
          <w:szCs w:val="20"/>
          <w:color w:val="auto"/>
        </w:rPr>
        <w:t xml:space="preserve">”), then each party shall make a separate determination of the Option Rent within ten (10) business days, and such determinations shall be submitted to arbitration in accordance with </w:t>
      </w:r>
      <w:r>
        <w:rPr>
          <w:rFonts w:ascii="Times New Roman" w:cs="Times New Roman" w:eastAsia="Times New Roman" w:hAnsi="Times New Roman"/>
          <w:sz w:val="20"/>
          <w:szCs w:val="20"/>
          <w:u w:val="single" w:color="auto"/>
          <w:color w:val="auto"/>
        </w:rPr>
        <w:t>Sections 2.2.4.1 through 2.2.4.7</w:t>
      </w:r>
      <w:r>
        <w:rPr>
          <w:rFonts w:ascii="Times New Roman" w:cs="Times New Roman" w:eastAsia="Times New Roman" w:hAnsi="Times New Roman"/>
          <w:sz w:val="20"/>
          <w:szCs w:val="20"/>
          <w:color w:val="auto"/>
        </w:rPr>
        <w:t xml:space="preserve"> below.</w:t>
      </w:r>
    </w:p>
    <w:p>
      <w:pPr>
        <w:spacing w:after="0" w:line="184"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0"/>
          <w:szCs w:val="20"/>
          <w:color w:val="auto"/>
        </w:rPr>
        <w:t>2.2.4.1 Landlord and Tenant shall each appoint one arbitrator who shall by profession be a commercial real estate agent or broker or a real estate appraiser who shall be a member of the appraisal institute and in each case have been active over the five (5) year period ending on the date of such appointment in the appraisal or leasing of Comparable Buildings. The determination of the arbitrators shall be limited solely to the issue of whether Landlord’s or Tenant’s submitted Option Rent is the closest to the actual Option Rent and related terms and conditions including concessions as determined by the</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9" w:name="page110"/>
    <w:bookmarkEnd w:id="109"/>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arbitrators, taking into account the requirements of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of this Lease. Each such arbitrator shall be appointed within fifteen (15) days after the Outside Agreement Date.</w:t>
      </w:r>
    </w:p>
    <w:p>
      <w:pPr>
        <w:spacing w:after="0" w:line="159"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0"/>
          <w:szCs w:val="20"/>
          <w:color w:val="auto"/>
        </w:rPr>
        <w:t>2.2.4.2 The two arbitrators so appointed shall within ten (10) days of the date of the appointment of the last appointed arbitrator agree upon and appoint a third arbitrator who shall be qualified under the same criteria set forth hereinabove for qualification of the initial two arbitrators, provided that the third arbitrator shall not be then representing or have represented in the preceding three (3) year period Landlord or Tenant or their affiliates. Landlord and Tenant each shall pay the arbitrator it selects and the cost of the third arbitrator shall be borne equally by Landlord and Tenant.</w:t>
      </w:r>
    </w:p>
    <w:p>
      <w:pPr>
        <w:spacing w:after="0" w:line="185"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0"/>
          <w:szCs w:val="20"/>
          <w:color w:val="auto"/>
        </w:rPr>
        <w:t>2.2.4.3 The three arbitrators shall within thirty (30) days of the appointment of the third arbitrator reach a decision as to whether the parties shall use Landlord’s or Tenant’s submitted Option Rent and stated terms and conditions and shall notify Landlord and Tenant thereof.</w:t>
      </w:r>
    </w:p>
    <w:p>
      <w:pPr>
        <w:spacing w:after="0" w:line="174" w:lineRule="exact"/>
        <w:rPr>
          <w:sz w:val="20"/>
          <w:szCs w:val="20"/>
          <w:color w:val="auto"/>
        </w:rPr>
      </w:pPr>
    </w:p>
    <w:p>
      <w:pPr>
        <w:ind w:left="2260"/>
        <w:spacing w:after="0"/>
        <w:tabs>
          <w:tab w:leader="none" w:pos="3020" w:val="left"/>
        </w:tabs>
        <w:rPr>
          <w:sz w:val="20"/>
          <w:szCs w:val="20"/>
          <w:color w:val="auto"/>
        </w:rPr>
      </w:pPr>
      <w:r>
        <w:rPr>
          <w:rFonts w:ascii="Times New Roman" w:cs="Times New Roman" w:eastAsia="Times New Roman" w:hAnsi="Times New Roman"/>
          <w:sz w:val="20"/>
          <w:szCs w:val="20"/>
          <w:color w:val="auto"/>
        </w:rPr>
        <w:t>2.2.4.4</w:t>
      </w:r>
      <w:r>
        <w:rPr>
          <w:sz w:val="20"/>
          <w:szCs w:val="20"/>
          <w:color w:val="auto"/>
        </w:rPr>
        <w:tab/>
      </w:r>
      <w:r>
        <w:rPr>
          <w:rFonts w:ascii="Times New Roman" w:cs="Times New Roman" w:eastAsia="Times New Roman" w:hAnsi="Times New Roman"/>
          <w:sz w:val="19"/>
          <w:szCs w:val="19"/>
          <w:color w:val="auto"/>
        </w:rPr>
        <w:t>The decision of the majority of the three (3) arbitrators shall be binding upon Landlord and Tenant.</w:t>
      </w:r>
    </w:p>
    <w:p>
      <w:pPr>
        <w:spacing w:after="0" w:line="216"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0"/>
          <w:szCs w:val="20"/>
          <w:color w:val="auto"/>
        </w:rPr>
        <w:t>2.2.4.5 If either Landlord or Tenant fails to appoint an arbitrator within fifteen (15) days after the Outside Agreement Date, the arbitrator appointed by one of them shall reach a decision, notify Landlord and Tenant thereof, and such arbitrator’s decision shall be binding upon Landlord and Tenant.</w:t>
      </w:r>
    </w:p>
    <w:p>
      <w:pPr>
        <w:spacing w:after="0" w:line="174"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0"/>
          <w:szCs w:val="20"/>
          <w:color w:val="auto"/>
        </w:rPr>
        <w:t xml:space="preserve">2.2.4.6 If the two (2) arbitrators fail to agree upon and appoint a third arbitrator, or if both parties fail to appoint an arbitrator, then the appointment of the third arbitrator or any arbitrator shall be dismissed and the matter to be decided shall be forthwith submitted to binding, final, non-appealable arbitration before a JAMS arbitrator mutually agreed upon by Landlord and Tenant. If Landlord and Tenant cannot agree on the arbitrator, the parties will so inform JAMS, who will then be authorized to select a JAMS judge to arbitrate the matter. Each party shall have the right of discovery pursuant to the California Code of Civil Procedure and evidentiary hearings shall be governed by the California Evidence Code, but subject to the instruction set forth in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The cost of the JAMS arbitrator and JAMS arbitration, if applicable, shall be paid by Landlord and Tenant equally.</w:t>
      </w:r>
    </w:p>
    <w:p>
      <w:pPr>
        <w:spacing w:after="0" w:line="182" w:lineRule="exact"/>
        <w:rPr>
          <w:sz w:val="20"/>
          <w:szCs w:val="20"/>
          <w:color w:val="auto"/>
        </w:rPr>
      </w:pPr>
    </w:p>
    <w:p>
      <w:pPr>
        <w:jc w:val="both"/>
        <w:ind w:left="100" w:firstLine="749"/>
        <w:spacing w:after="0" w:line="241"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b w:val="1"/>
          <w:bCs w:val="1"/>
          <w:u w:val="single" w:color="auto"/>
          <w:color w:val="auto"/>
        </w:rPr>
        <w:t>Early Access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and its authorized agents, contractors, subcontractors and employees shall be granted an exclusive license (subject to Landlord and its agents, employees, contractors and subcontractors right to enter upon the Premises to complete construction of the work to be performed by Landlord pursuant to the Tenant Work Letter) by Landlord to enter upon the Premises, at Tenant’s sole risk and expense, at least four (4) weeks prior to the Lease Commencement Date to install furniture, fixtures and equipment, including Tenant’s AV and data cabling and security system, if applicable (collectively, the “</w:t>
      </w:r>
      <w:r>
        <w:rPr>
          <w:rFonts w:ascii="Times New Roman" w:cs="Times New Roman" w:eastAsia="Times New Roman" w:hAnsi="Times New Roman"/>
          <w:sz w:val="20"/>
          <w:szCs w:val="20"/>
          <w:b w:val="1"/>
          <w:bCs w:val="1"/>
          <w:color w:val="auto"/>
        </w:rPr>
        <w:t>Tenant’s FF&amp;E Work</w:t>
      </w:r>
      <w:r>
        <w:rPr>
          <w:rFonts w:ascii="Times New Roman" w:cs="Times New Roman" w:eastAsia="Times New Roman" w:hAnsi="Times New Roman"/>
          <w:sz w:val="20"/>
          <w:szCs w:val="20"/>
          <w:color w:val="auto"/>
        </w:rPr>
        <w:t xml:space="preserve">”) and conduct business therein (subject to subpart (ii) of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of the Summary of Basic Lease Information); provided, however, that (a) the provisions of this Lease, other than with respect to the payment of Base Rent or payment of Building Direct Expenses (as defined below), shall apply during such early entry, including, but not limited to, the provisions of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relating to Tenant’s indemnification of Landlord, (b) prior to any such entry, Tenant shall pay for and provide evidence of the insurance to be provided by Tenant pursuant to the provisions of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(c) Tenant shall pay all separately metered utility, service and maintenance charges for the Premises attributable to Tenant’ s early entry and use of the Premises as reasonably determined and documented by Landlord, and (d) prior to such entry, Tenant shall have delivered to Landlord an executed original of this Lease and payment in an amount equal to: (i) Base Rent and Tenant’s Share of estimated Building Direct Expenses for the first (1st) month of the Lease Term in which such amounts are due, plus (ii) the Security Deposit. Tenant shall also have early access on the above terms (except the obligation to pay utilities) for Tenant's FF&amp;E Work while Landlord completes the Tenant Improvements provided such access does not</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jc w:val="both"/>
        <w:ind w:left="100" w:right="20"/>
        <w:spacing w:after="0" w:line="254" w:lineRule="auto"/>
        <w:rPr>
          <w:sz w:val="20"/>
          <w:szCs w:val="20"/>
          <w:color w:val="auto"/>
        </w:rPr>
      </w:pPr>
      <w:r>
        <w:rPr>
          <w:rFonts w:ascii="Times New Roman" w:cs="Times New Roman" w:eastAsia="Times New Roman" w:hAnsi="Times New Roman"/>
          <w:sz w:val="20"/>
          <w:szCs w:val="20"/>
          <w:color w:val="auto"/>
        </w:rPr>
        <w:t>materially interfere with or delay Landlord's work (and if Landlord’s work is so materially interfered with or delayed, then Tenant shall suspend or cease such Tenant’s FFE Work until Tenant can perform, or cause to be performed the same, without material interference with or delay of Landlord’s Work.</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BASE RENT</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Tenant shall pay, without prior notice or demand, offset or deduction, unless expressly stipulated otherwise herein, to Landlord or Landlord’s agent at the management office of the Project, or, at Landlord’s option, at such other place as Landlord may from time to time reasonably designate in writing, by a check, ACH or wire transfer for currency which, at the time of payment, is legal tender for private or public debts in the United States of America, base rent (“</w:t>
      </w:r>
      <w:r>
        <w:rPr>
          <w:rFonts w:ascii="Times New Roman" w:cs="Times New Roman" w:eastAsia="Times New Roman" w:hAnsi="Times New Roman"/>
          <w:sz w:val="20"/>
          <w:szCs w:val="20"/>
          <w:b w:val="1"/>
          <w:bCs w:val="1"/>
          <w:color w:val="auto"/>
        </w:rPr>
        <w:t>Base Rent</w:t>
      </w:r>
      <w:r>
        <w:rPr>
          <w:rFonts w:ascii="Times New Roman" w:cs="Times New Roman" w:eastAsia="Times New Roman" w:hAnsi="Times New Roman"/>
          <w:sz w:val="20"/>
          <w:szCs w:val="20"/>
          <w:color w:val="auto"/>
        </w:rPr>
        <w:t xml:space="preserve">”) as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the Summary, payable in equal monthly installments as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the Summary in advance on or before the first day of each and every calendar month during the Lease Term, without any setoff or deduction whatsoever. The Base Rent for the first full month of the Lease Term which occurs after the expiration of any Abatement Period (as defined in the Summary) shall be paid by Tenant to Landlord at the time of Tenant’s execution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RENT</w:t>
      </w:r>
    </w:p>
    <w:p>
      <w:pPr>
        <w:spacing w:after="0" w:line="216" w:lineRule="exact"/>
        <w:rPr>
          <w:sz w:val="20"/>
          <w:szCs w:val="20"/>
          <w:color w:val="auto"/>
        </w:rPr>
      </w:pPr>
    </w:p>
    <w:p>
      <w:pPr>
        <w:jc w:val="both"/>
        <w:ind w:left="100" w:firstLine="749"/>
        <w:spacing w:after="0" w:line="242"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u w:val="single" w:color="auto"/>
          <w:color w:val="auto"/>
        </w:rPr>
        <w:t>General Terms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Commencing on the Lease Commencement Date and continuing throughout the Term, as it may be extended, in addition to paying the Base Rent specified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of this Lease, Tenant shall pay “Tenant’s Share” of the annual “Building Direct Expenses,” as those terms are defined in </w:t>
      </w:r>
      <w:r>
        <w:rPr>
          <w:rFonts w:ascii="Times New Roman" w:cs="Times New Roman" w:eastAsia="Times New Roman" w:hAnsi="Times New Roman"/>
          <w:sz w:val="20"/>
          <w:szCs w:val="20"/>
          <w:u w:val="single" w:color="auto"/>
          <w:color w:val="auto"/>
        </w:rPr>
        <w:t>Sections 4.2.9 and 4.2.2</w:t>
      </w:r>
      <w:r>
        <w:rPr>
          <w:rFonts w:ascii="Times New Roman" w:cs="Times New Roman" w:eastAsia="Times New Roman" w:hAnsi="Times New Roman"/>
          <w:sz w:val="20"/>
          <w:szCs w:val="20"/>
          <w:color w:val="auto"/>
        </w:rPr>
        <w:t xml:space="preserve"> of this Lease, respectively. Landlord currently anticipates that Building Direct Expenses (excluding utilities and janitorial which shall be paid directly by Tenant) for 2025 will be approximately $0.92 per rentable square foot per month of the Premises. Such payments by Tenant, together with any and all other amounts payable by Tenant to Landlord pursuant to the terms of this Lease, are hereinafter collectively referred to as the “</w:t>
      </w:r>
      <w:r>
        <w:rPr>
          <w:rFonts w:ascii="Times New Roman" w:cs="Times New Roman" w:eastAsia="Times New Roman" w:hAnsi="Times New Roman"/>
          <w:sz w:val="20"/>
          <w:szCs w:val="20"/>
          <w:b w:val="1"/>
          <w:bCs w:val="1"/>
          <w:color w:val="auto"/>
        </w:rPr>
        <w:t>Additional Rent</w:t>
      </w:r>
      <w:r>
        <w:rPr>
          <w:rFonts w:ascii="Times New Roman" w:cs="Times New Roman" w:eastAsia="Times New Roman" w:hAnsi="Times New Roman"/>
          <w:sz w:val="20"/>
          <w:szCs w:val="20"/>
          <w:color w:val="auto"/>
        </w:rPr>
        <w:t>”, and the Base Rent and the Additional Rent are herein collectively referred to as “</w:t>
      </w:r>
      <w:r>
        <w:rPr>
          <w:rFonts w:ascii="Times New Roman" w:cs="Times New Roman" w:eastAsia="Times New Roman" w:hAnsi="Times New Roman"/>
          <w:sz w:val="20"/>
          <w:szCs w:val="20"/>
          <w:b w:val="1"/>
          <w:bCs w:val="1"/>
          <w:color w:val="auto"/>
        </w:rPr>
        <w:t>Rent</w:t>
      </w:r>
      <w:r>
        <w:rPr>
          <w:rFonts w:ascii="Times New Roman" w:cs="Times New Roman" w:eastAsia="Times New Roman" w:hAnsi="Times New Roman"/>
          <w:sz w:val="20"/>
          <w:szCs w:val="20"/>
          <w:color w:val="auto"/>
        </w:rPr>
        <w:t xml:space="preserve">.” All amounts due under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as Additional Rent shall be payable for the same periods and in the same manner as the Base Rent (except that there shall be no abatement or conditional abatement of Additional Rent as is provided in the Summary with respect to Base Rent, if applicable). The Tenant’s Share of the estimated, annual Building Direct Expenses payable for the first month of the initial Lease Term shall be paid by Tenant to Landlord at the time of Tenant’s execution of this Lease. Without limitation on other obligations of Tenant which survive the expiration of the Lease Term, the obligations of Tenant to pay the Additional Rent provided for in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shall survive the expiration of the Lease Term, subject to the limitations set forth in </w:t>
      </w:r>
      <w:r>
        <w:rPr>
          <w:rFonts w:ascii="Times New Roman" w:cs="Times New Roman" w:eastAsia="Times New Roman" w:hAnsi="Times New Roman"/>
          <w:sz w:val="20"/>
          <w:szCs w:val="20"/>
          <w:u w:val="single" w:color="auto"/>
          <w:color w:val="auto"/>
        </w:rPr>
        <w:t>Section 4.4.3</w:t>
      </w:r>
      <w:r>
        <w:rPr>
          <w:rFonts w:ascii="Times New Roman" w:cs="Times New Roman" w:eastAsia="Times New Roman" w:hAnsi="Times New Roman"/>
          <w:sz w:val="20"/>
          <w:szCs w:val="20"/>
          <w:color w:val="auto"/>
        </w:rPr>
        <w:t xml:space="preserve"> below.</w:t>
      </w:r>
    </w:p>
    <w:p>
      <w:pPr>
        <w:spacing w:after="0" w:line="185" w:lineRule="exact"/>
        <w:rPr>
          <w:sz w:val="20"/>
          <w:szCs w:val="20"/>
          <w:color w:val="auto"/>
        </w:rPr>
      </w:pPr>
    </w:p>
    <w:p>
      <w:pPr>
        <w:jc w:val="both"/>
        <w:ind w:left="100" w:firstLine="749"/>
        <w:spacing w:after="0" w:line="27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u w:val="single" w:color="auto"/>
          <w:color w:val="auto"/>
        </w:rPr>
        <w:t>Definitions of Key Terms Relating to Additional Rent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As used in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the following terms shall have the meanings hereinafter set forth:</w:t>
      </w:r>
    </w:p>
    <w:p>
      <w:pPr>
        <w:spacing w:after="0" w:line="156"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4.2.1</w:t>
      </w:r>
      <w:r>
        <w:rPr>
          <w:sz w:val="20"/>
          <w:szCs w:val="20"/>
          <w:color w:val="auto"/>
        </w:rPr>
        <w:tab/>
      </w:r>
      <w:r>
        <w:rPr>
          <w:rFonts w:ascii="Times New Roman" w:cs="Times New Roman" w:eastAsia="Times New Roman" w:hAnsi="Times New Roman"/>
          <w:sz w:val="19"/>
          <w:szCs w:val="19"/>
          <w:color w:val="auto"/>
        </w:rPr>
        <w:t>Intentionally Omitted.</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4.2.2 “</w:t>
      </w:r>
      <w:r>
        <w:rPr>
          <w:rFonts w:ascii="Times New Roman" w:cs="Times New Roman" w:eastAsia="Times New Roman" w:hAnsi="Times New Roman"/>
          <w:sz w:val="20"/>
          <w:szCs w:val="20"/>
          <w:b w:val="1"/>
          <w:bCs w:val="1"/>
          <w:color w:val="auto"/>
        </w:rPr>
        <w:t>Building Direct Expenses</w:t>
      </w:r>
      <w:r>
        <w:rPr>
          <w:rFonts w:ascii="Times New Roman" w:cs="Times New Roman" w:eastAsia="Times New Roman" w:hAnsi="Times New Roman"/>
          <w:sz w:val="20"/>
          <w:szCs w:val="20"/>
          <w:color w:val="auto"/>
        </w:rPr>
        <w:t xml:space="preserve">” shall mean “Building Operating Expenses” and “Building Tax Expenses”, as those terms are defined in </w:t>
      </w:r>
      <w:r>
        <w:rPr>
          <w:rFonts w:ascii="Times New Roman" w:cs="Times New Roman" w:eastAsia="Times New Roman" w:hAnsi="Times New Roman"/>
          <w:sz w:val="20"/>
          <w:szCs w:val="20"/>
          <w:u w:val="single" w:color="auto"/>
          <w:color w:val="auto"/>
        </w:rPr>
        <w:t>Sections 4.2.3 and 4.2.4</w:t>
      </w:r>
      <w:r>
        <w:rPr>
          <w:rFonts w:ascii="Times New Roman" w:cs="Times New Roman" w:eastAsia="Times New Roman" w:hAnsi="Times New Roman"/>
          <w:sz w:val="20"/>
          <w:szCs w:val="20"/>
          <w:color w:val="auto"/>
        </w:rPr>
        <w:t xml:space="preserve"> below, respectively.</w:t>
      </w:r>
    </w:p>
    <w:p>
      <w:pPr>
        <w:spacing w:after="0" w:line="152" w:lineRule="exact"/>
        <w:rPr>
          <w:sz w:val="20"/>
          <w:szCs w:val="20"/>
          <w:color w:val="auto"/>
        </w:rPr>
      </w:pPr>
    </w:p>
    <w:p>
      <w:pPr>
        <w:jc w:val="both"/>
        <w:ind w:right="20" w:firstLine="1497"/>
        <w:spacing w:after="0" w:line="273" w:lineRule="auto"/>
        <w:rPr>
          <w:sz w:val="20"/>
          <w:szCs w:val="20"/>
          <w:color w:val="auto"/>
        </w:rPr>
      </w:pPr>
      <w:r>
        <w:rPr>
          <w:rFonts w:ascii="Times New Roman" w:cs="Times New Roman" w:eastAsia="Times New Roman" w:hAnsi="Times New Roman"/>
          <w:sz w:val="20"/>
          <w:szCs w:val="20"/>
          <w:color w:val="auto"/>
        </w:rPr>
        <w:t xml:space="preserve">4.2.3 “ </w:t>
      </w:r>
      <w:r>
        <w:rPr>
          <w:rFonts w:ascii="Times New Roman" w:cs="Times New Roman" w:eastAsia="Times New Roman" w:hAnsi="Times New Roman"/>
          <w:sz w:val="20"/>
          <w:szCs w:val="20"/>
          <w:b w:val="1"/>
          <w:bCs w:val="1"/>
          <w:color w:val="auto"/>
        </w:rPr>
        <w:t>Building Operating Expenses</w:t>
      </w:r>
      <w:r>
        <w:rPr>
          <w:rFonts w:ascii="Times New Roman" w:cs="Times New Roman" w:eastAsia="Times New Roman" w:hAnsi="Times New Roman"/>
          <w:sz w:val="20"/>
          <w:szCs w:val="20"/>
          <w:color w:val="auto"/>
        </w:rPr>
        <w:t xml:space="preserve">” shall mean the portion of “Operating Expenses,” as that term is defined in </w:t>
      </w:r>
      <w:r>
        <w:rPr>
          <w:rFonts w:ascii="Times New Roman" w:cs="Times New Roman" w:eastAsia="Times New Roman" w:hAnsi="Times New Roman"/>
          <w:sz w:val="20"/>
          <w:szCs w:val="20"/>
          <w:u w:val="single" w:color="auto"/>
          <w:color w:val="auto"/>
        </w:rPr>
        <w:t>Section 4.2.7</w:t>
      </w:r>
      <w:r>
        <w:rPr>
          <w:rFonts w:ascii="Times New Roman" w:cs="Times New Roman" w:eastAsia="Times New Roman" w:hAnsi="Times New Roman"/>
          <w:sz w:val="20"/>
          <w:szCs w:val="20"/>
          <w:color w:val="auto"/>
        </w:rPr>
        <w:t xml:space="preserve"> below, allocated to the tenants of the Building pursuant to the terms of </w:t>
      </w:r>
      <w:r>
        <w:rPr>
          <w:rFonts w:ascii="Times New Roman" w:cs="Times New Roman" w:eastAsia="Times New Roman" w:hAnsi="Times New Roman"/>
          <w:sz w:val="20"/>
          <w:szCs w:val="20"/>
          <w:u w:val="single" w:color="auto"/>
          <w:color w:val="auto"/>
        </w:rPr>
        <w:t>Section 4.3.1</w:t>
      </w:r>
      <w:r>
        <w:rPr>
          <w:rFonts w:ascii="Times New Roman" w:cs="Times New Roman" w:eastAsia="Times New Roman" w:hAnsi="Times New Roman"/>
          <w:sz w:val="20"/>
          <w:szCs w:val="20"/>
          <w:color w:val="auto"/>
        </w:rPr>
        <w:t xml:space="preserve"> below.</w:t>
      </w:r>
    </w:p>
    <w:p>
      <w:pPr>
        <w:spacing w:after="0" w:line="152" w:lineRule="exact"/>
        <w:rPr>
          <w:sz w:val="20"/>
          <w:szCs w:val="20"/>
          <w:color w:val="auto"/>
        </w:rPr>
      </w:pPr>
    </w:p>
    <w:p>
      <w:pPr>
        <w:jc w:val="both"/>
        <w:ind w:right="20" w:firstLine="1497"/>
        <w:spacing w:after="0" w:line="273" w:lineRule="auto"/>
        <w:rPr>
          <w:sz w:val="20"/>
          <w:szCs w:val="20"/>
          <w:color w:val="auto"/>
        </w:rPr>
      </w:pPr>
      <w:r>
        <w:rPr>
          <w:rFonts w:ascii="Times New Roman" w:cs="Times New Roman" w:eastAsia="Times New Roman" w:hAnsi="Times New Roman"/>
          <w:sz w:val="20"/>
          <w:szCs w:val="20"/>
          <w:color w:val="auto"/>
        </w:rPr>
        <w:t>4.2.4 “</w:t>
      </w:r>
      <w:r>
        <w:rPr>
          <w:rFonts w:ascii="Times New Roman" w:cs="Times New Roman" w:eastAsia="Times New Roman" w:hAnsi="Times New Roman"/>
          <w:sz w:val="20"/>
          <w:szCs w:val="20"/>
          <w:b w:val="1"/>
          <w:bCs w:val="1"/>
          <w:color w:val="auto"/>
        </w:rPr>
        <w:t>Building Tax Expenses</w:t>
      </w:r>
      <w:r>
        <w:rPr>
          <w:rFonts w:ascii="Times New Roman" w:cs="Times New Roman" w:eastAsia="Times New Roman" w:hAnsi="Times New Roman"/>
          <w:sz w:val="20"/>
          <w:szCs w:val="20"/>
          <w:color w:val="auto"/>
        </w:rPr>
        <w:t xml:space="preserve">” shall mean that portion of “Tax Expenses”, as that term is defined in </w:t>
      </w:r>
      <w:r>
        <w:rPr>
          <w:rFonts w:ascii="Times New Roman" w:cs="Times New Roman" w:eastAsia="Times New Roman" w:hAnsi="Times New Roman"/>
          <w:sz w:val="20"/>
          <w:szCs w:val="20"/>
          <w:u w:val="single" w:color="auto"/>
          <w:color w:val="auto"/>
        </w:rPr>
        <w:t>Section 4.2.8</w:t>
      </w:r>
      <w:r>
        <w:rPr>
          <w:rFonts w:ascii="Times New Roman" w:cs="Times New Roman" w:eastAsia="Times New Roman" w:hAnsi="Times New Roman"/>
          <w:sz w:val="20"/>
          <w:szCs w:val="20"/>
          <w:color w:val="auto"/>
        </w:rPr>
        <w:t xml:space="preserve"> below, allocated to the tenants of the Building pursuant to the terms of </w:t>
      </w:r>
      <w:r>
        <w:rPr>
          <w:rFonts w:ascii="Times New Roman" w:cs="Times New Roman" w:eastAsia="Times New Roman" w:hAnsi="Times New Roman"/>
          <w:sz w:val="20"/>
          <w:szCs w:val="20"/>
          <w:u w:val="single" w:color="auto"/>
          <w:color w:val="auto"/>
        </w:rPr>
        <w:t>Section 4.3.1</w:t>
      </w:r>
      <w:r>
        <w:rPr>
          <w:rFonts w:ascii="Times New Roman" w:cs="Times New Roman" w:eastAsia="Times New Roman" w:hAnsi="Times New Roman"/>
          <w:sz w:val="20"/>
          <w:szCs w:val="20"/>
          <w:color w:val="auto"/>
        </w:rPr>
        <w:t xml:space="preserve"> below.</w:t>
      </w:r>
    </w:p>
    <w:p>
      <w:pPr>
        <w:spacing w:after="0" w:line="152"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4.2.5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Direct Expenses</w:t>
      </w:r>
      <w:r>
        <w:rPr>
          <w:rFonts w:ascii="Times New Roman" w:cs="Times New Roman" w:eastAsia="Times New Roman" w:hAnsi="Times New Roman"/>
          <w:sz w:val="19"/>
          <w:szCs w:val="19"/>
          <w:color w:val="auto"/>
        </w:rPr>
        <w:t>” shall mean “Operating Expenses” and “Tax Expenses.”</w:t>
      </w:r>
    </w:p>
    <w:p>
      <w:pPr>
        <w:spacing w:after="0" w:line="216"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 xml:space="preserve">4.2.6 “ </w:t>
      </w:r>
      <w:r>
        <w:rPr>
          <w:rFonts w:ascii="Times New Roman" w:cs="Times New Roman" w:eastAsia="Times New Roman" w:hAnsi="Times New Roman"/>
          <w:sz w:val="20"/>
          <w:szCs w:val="20"/>
          <w:b w:val="1"/>
          <w:bCs w:val="1"/>
          <w:color w:val="auto"/>
        </w:rPr>
        <w:t>Expense Year</w:t>
      </w:r>
      <w:r>
        <w:rPr>
          <w:rFonts w:ascii="Times New Roman" w:cs="Times New Roman" w:eastAsia="Times New Roman" w:hAnsi="Times New Roman"/>
          <w:sz w:val="20"/>
          <w:szCs w:val="20"/>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 (12) consecutive month period, and, in the event of any such change, Tenant’s Share of Building Direct Expenses shall be equitably adjusted for any Expense Year involved in any such change.</w:t>
      </w:r>
    </w:p>
    <w:p>
      <w:pPr>
        <w:spacing w:after="0" w:line="176"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20"/>
          <w:szCs w:val="20"/>
          <w:color w:val="auto"/>
        </w:rPr>
        <w:t>4.2.7 “</w:t>
      </w:r>
      <w:r>
        <w:rPr>
          <w:rFonts w:ascii="Times New Roman" w:cs="Times New Roman" w:eastAsia="Times New Roman" w:hAnsi="Times New Roman"/>
          <w:sz w:val="20"/>
          <w:szCs w:val="20"/>
          <w:b w:val="1"/>
          <w:bCs w:val="1"/>
          <w:color w:val="auto"/>
        </w:rPr>
        <w:t>Operating Expenses</w:t>
      </w:r>
      <w:r>
        <w:rPr>
          <w:rFonts w:ascii="Times New Roman" w:cs="Times New Roman" w:eastAsia="Times New Roman" w:hAnsi="Times New Roman"/>
          <w:sz w:val="20"/>
          <w:szCs w:val="20"/>
          <w:color w:val="auto"/>
        </w:rPr>
        <w:t>” shall mean all expenses, costs and amounts of every kind and nature which Landlord pays or accrues during any Expense Year because of or in connection with the ownership, management, maintenance, security, repair, replacement, restoration, preservation or operation of the Project (including each of the Project Buildings), or any portion thereof. Without limiting the generality of the foregoing, Operating Expenses shall specifically include any and all of the following: (i) the cost of supplying all utilities, the cost of operating, repairing, maintaining, and renovating the utility, telephone, mechanical, sanitary, storm drainage, plumbing, electrical and elevator systems, and the cost of maintenance and service contracts in connection therewith, to the extent such utilities, maintenance and service contracts, are furnished, or caused to be furnished, to the Premises, or applicable part thereof, by or on behalf of Landlord; (ii) the cost of licenses, certificates, permits and inspections and the cost of contesting any governmental enactments which may affect Operating Expenses, and the costs incurred in connection with a governmentally mandated transportation system management program or similar program; (iii) the cost of all insurance carried by Landlord in connection with the Project as reasonably determined by Landlord (and the deductible portion of the insured loss under Landlord’s insurance to the extent permitted under subpart (u) below, but in no event shall the Tenant’s Share of such deductibles exceed One Hundred Fifty Thousand and 00/100 Dollars ($150,000.00) per casualty); (iv) the cost of landscaping, relamping, and all supplies, tools, equipment and materials used in the operation, repair and maintenance of the Project, or any portion thereof; (v) the cost of parking area and parking facility operation, repair, resurfacing, restoration, and maintenance; (vi) fees and other costs, including, without limitation, consulting fees, legal fees and accounting fees, of all contractors and consultants incurred by Landlord in connection with the operation, maintenance and repair of the Project; (vii) payments under any equipment rental agreements; (viii) subject to item (f) below, wages, salaries and other compensation and benefits, including taxes levied thereon, of all persons engaged in the operation, maintenance and security of the Project; (ix) payments under any easement, license, shared use agreement, operating agreement, declaration, restrictive covenant, or instrument pertaining to the sharing of costs by the Project, including, without limitation, any covenants, conditions and restrictions affecting the property, and reciprocal easement agreements affecting the Project, any parking licenses, and any agreements with transit agencies affecting the Project (collectively, “</w:t>
      </w:r>
      <w:r>
        <w:rPr>
          <w:rFonts w:ascii="Times New Roman" w:cs="Times New Roman" w:eastAsia="Times New Roman" w:hAnsi="Times New Roman"/>
          <w:sz w:val="20"/>
          <w:szCs w:val="20"/>
          <w:b w:val="1"/>
          <w:bCs w:val="1"/>
          <w:color w:val="auto"/>
        </w:rPr>
        <w:t>Underlying Documents</w:t>
      </w:r>
      <w:r>
        <w:rPr>
          <w:rFonts w:ascii="Times New Roman" w:cs="Times New Roman" w:eastAsia="Times New Roman" w:hAnsi="Times New Roman"/>
          <w:sz w:val="20"/>
          <w:szCs w:val="20"/>
          <w:color w:val="auto"/>
        </w:rPr>
        <w:t>”); (x) operation, repair, maintenance and replacement of all systems and equipment and components thereof of the Project; (xi) the cost of janitorial, alarm, security and other services, replacement of wall and floor coverings, ceiling tiles and fixtures in common areas, maintenance and replacement of curbs and walkways, repair to roofs and re-roofing; (xii) amortization (including interest on the unamortized cost) over the useful life as Landlord shall reasonably</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2" w:name="page113"/>
    <w:bookmarkEnd w:id="112"/>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determine, in accordance with generally accepted accounting practices, of the cost of acquiring or the rental expense of personal property used in the maintenance, operation and repair of the Project, or any portion thereof; (xiii) the cost of capital improvements, capital replacements or other costs incurred in connection with the Project (A) which are intended to effect economies in the operation or maintenance of the Project, or any portion thereof, or reduce current or future Operating Expenses during the Lease Term, (B) that are required to comply with present or future legally required conservation programs, (C) which are replacements or modifications of nonstructural items located in the Common Areas required to keep the Common Areas in good order or condition, (D) that are required under any governmental law, ordinance, rule or regulation, (E) which are replacements of capital improvements or building service equipment or any building systems existing as of the Date of this Lease when required because of normal wear and tear, (F) which are replacement of the roof membrane, (G) which are resurfacing or replacing any parking areas, (H) which are repainting the exterior of the Building or (I) that relate to the safety or security of the Project, its occupants and visitors, and are deemed advisable in the reasonable judgment of Landlord; provided, however, that any capital expenditure shall be amortized over its useful life (with interest thereon at the lesser of (i) the annual rate of interest charged on the loan obtained by Landlord to finance such capital improvement or replacement (or if Landlord does not obtain a loan to finance such capital improvement or replacement, then at the prime rate of Bank of America, NT&amp;SA plus two percent (2%)), or (ii) the maximum rate permitted by law) as Landlord shall reasonably determine (and Landlord may only include the annual amortized amount (with interest thereon as provided above) as Operating Expenses for the particular Expense Year), in accordance with generally accepted accounting practices;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Times New Roman" w:cs="Times New Roman" w:eastAsia="Times New Roman" w:hAnsi="Times New Roman"/>
          <w:sz w:val="19"/>
          <w:szCs w:val="19"/>
          <w:u w:val="single" w:color="auto"/>
          <w:color w:val="auto"/>
        </w:rPr>
        <w:t>Section 4.2.8</w:t>
      </w:r>
      <w:r>
        <w:rPr>
          <w:rFonts w:ascii="Times New Roman" w:cs="Times New Roman" w:eastAsia="Times New Roman" w:hAnsi="Times New Roman"/>
          <w:sz w:val="19"/>
          <w:szCs w:val="19"/>
          <w:color w:val="auto"/>
        </w:rPr>
        <w:t xml:space="preserve"> below; (xv) costs and expenses incurred by Landlord to police or secure the parking areas of the Project, including, without limitation, the installation of gates, barriers, security controls and other equipment, security guards and patrol, to the extent that Landlord elects in its discretion to provide such service, for special events at the stadium currently known as “Levi’s Stadium” or related to events held at such stadium where Landlord may make parking available at the Project for people attending and/or working at such special events at such stadium (less any income received by Landlord therefor) and/or where Landlord is attempting to restrict use of the Project parking facility by attendees or workers at such special events shall be included as part of Operating Expenses; it being agreed by Landlord that during events held at Levi’s Stadium, Tenant and its employees will have access to the Project through at least one entry point, will have access to the Building and will have its parking rights under this Lease; (xvi) any fees, costs and expenses relating to operating, managing, owning, repairing, and maintaining the Fitness Center, or other amenities at the Project; (xvii) costs of maintaining, repairing or replacing Building Systems to the extent undertaken by or on behalf of Landlord; (xviii) costs of maintaining, installing, repairing or replacing lighting fixtures, directional or other signs and signals, irrigation or drainage systems, trees and shrubs, and maintaining all landscaped areas; (xix) salaries, wages and other compensation, expenses and benefits payable to on-site property management personnel; (xx) the fair market rental value of any onsite property management office; (xxi) reasonable consultant fees incurred in connection with the performance of any energy audit required to be performed, or caused to be performed, by Landlord; and (xxii) costs of operating, maintaining and repairing the coffee pavilion situated with the Project.</w:t>
      </w:r>
    </w:p>
    <w:p>
      <w:pPr>
        <w:spacing w:after="0" w:line="200" w:lineRule="exact"/>
        <w:rPr>
          <w:sz w:val="20"/>
          <w:szCs w:val="20"/>
          <w:color w:val="auto"/>
        </w:rPr>
      </w:pP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In addition to Tenant being obligated to pay Tenant’s Share of Building Direct Expenses, Tenant shall pay to Landlord a property management fee, as Additional Rent, on the first day of each month during the Lease Term (other than periods in which Base Rent is abated other than the Abatement Period referred to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the Summary), in an amount equal to two and one-half percent (2.5%) of the monthly Base Rent and Tenant’s Share of Building Direct Expenses payable by Tenant to Landlord under this Lease.</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Notwithstanding the foregoing, for purposes of this Lease, Operating Expenses shall not, however, include:</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both"/>
        <w:ind w:left="360" w:firstLine="1494"/>
        <w:spacing w:after="0" w:line="245" w:lineRule="auto"/>
        <w:tabs>
          <w:tab w:leader="none" w:pos="225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including marketing costs, legal fees, space planners’ fees, advertising and promotional expenses, and brokerage fees incurred in connection with the original construction or development, or original or future leasing of the Project, and costs, including permit, license and inspection costs, incurred with respect to the installation of tenant improvements made for other tenants occupying space in the Project or incurred in renovating or otherwise improving, decorating, painting or redecorating vacant space for tenants or other occupants of the Project (excluding, however, such costs relating to any common areas of the Project or parking facilities);</w:t>
      </w:r>
    </w:p>
    <w:p>
      <w:pPr>
        <w:spacing w:after="0" w:line="184" w:lineRule="exact"/>
        <w:rPr>
          <w:rFonts w:ascii="Times New Roman" w:cs="Times New Roman" w:eastAsia="Times New Roman" w:hAnsi="Times New Roman"/>
          <w:sz w:val="20"/>
          <w:szCs w:val="20"/>
          <w:color w:val="auto"/>
        </w:rPr>
      </w:pPr>
    </w:p>
    <w:p>
      <w:pPr>
        <w:jc w:val="both"/>
        <w:ind w:left="360" w:firstLine="1494"/>
        <w:spacing w:after="0" w:line="254" w:lineRule="auto"/>
        <w:tabs>
          <w:tab w:leader="none" w:pos="225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items (xii) and (xiii) above, depreciation, interest and principal payments on mortgages and other debt costs, if any, penalties and interest, costs of capital repairs and capital alterations, and costs of capital expenditures and equipment;</w:t>
      </w:r>
    </w:p>
    <w:p>
      <w:pPr>
        <w:spacing w:after="0" w:line="174" w:lineRule="exact"/>
        <w:rPr>
          <w:rFonts w:ascii="Times New Roman" w:cs="Times New Roman" w:eastAsia="Times New Roman" w:hAnsi="Times New Roman"/>
          <w:sz w:val="20"/>
          <w:szCs w:val="20"/>
          <w:color w:val="auto"/>
        </w:rPr>
      </w:pPr>
    </w:p>
    <w:p>
      <w:pPr>
        <w:jc w:val="both"/>
        <w:ind w:left="360" w:firstLine="1494"/>
        <w:spacing w:after="0" w:line="254" w:lineRule="auto"/>
        <w:tabs>
          <w:tab w:leader="none" w:pos="225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for which the Landlord is reimbursed or entitled to reimbursement by any tenant or occupant of the Project or by insurance by its carrier or any tenant’s carrier or by anyone else, and electric power costs for which any tenant directly contracts with the local public service company;</w:t>
      </w:r>
    </w:p>
    <w:p>
      <w:pPr>
        <w:spacing w:after="0" w:line="174" w:lineRule="exact"/>
        <w:rPr>
          <w:rFonts w:ascii="Times New Roman" w:cs="Times New Roman" w:eastAsia="Times New Roman" w:hAnsi="Times New Roman"/>
          <w:sz w:val="20"/>
          <w:szCs w:val="20"/>
          <w:color w:val="auto"/>
        </w:rPr>
      </w:pPr>
    </w:p>
    <w:p>
      <w:pPr>
        <w:ind w:left="2260" w:hanging="406"/>
        <w:spacing w:after="0"/>
        <w:tabs>
          <w:tab w:leader="none" w:pos="22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bad debt loss, rent loss, or other reserves;</w:t>
      </w:r>
    </w:p>
    <w:p>
      <w:pPr>
        <w:spacing w:after="0" w:line="215" w:lineRule="exact"/>
        <w:rPr>
          <w:rFonts w:ascii="Times New Roman" w:cs="Times New Roman" w:eastAsia="Times New Roman" w:hAnsi="Times New Roman"/>
          <w:sz w:val="20"/>
          <w:szCs w:val="20"/>
          <w:color w:val="auto"/>
        </w:rPr>
      </w:pPr>
    </w:p>
    <w:p>
      <w:pPr>
        <w:jc w:val="both"/>
        <w:ind w:left="360" w:firstLine="1494"/>
        <w:spacing w:after="0" w:line="243" w:lineRule="auto"/>
        <w:tabs>
          <w:tab w:leader="none" w:pos="225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the operation of the business of the limited liability company,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limited liability company,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w:t>
      </w:r>
    </w:p>
    <w:p>
      <w:pPr>
        <w:spacing w:after="0" w:line="189" w:lineRule="exact"/>
        <w:rPr>
          <w:rFonts w:ascii="Times New Roman" w:cs="Times New Roman" w:eastAsia="Times New Roman" w:hAnsi="Times New Roman"/>
          <w:sz w:val="20"/>
          <w:szCs w:val="20"/>
          <w:color w:val="auto"/>
        </w:rPr>
      </w:pPr>
    </w:p>
    <w:p>
      <w:pPr>
        <w:jc w:val="both"/>
        <w:ind w:left="360" w:firstLine="1494"/>
        <w:spacing w:after="0" w:line="249" w:lineRule="auto"/>
        <w:tabs>
          <w:tab w:leader="none" w:pos="225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spacing w:after="0" w:line="179" w:lineRule="exact"/>
        <w:rPr>
          <w:rFonts w:ascii="Times New Roman" w:cs="Times New Roman" w:eastAsia="Times New Roman" w:hAnsi="Times New Roman"/>
          <w:sz w:val="20"/>
          <w:szCs w:val="20"/>
          <w:color w:val="auto"/>
        </w:rPr>
      </w:pPr>
    </w:p>
    <w:p>
      <w:pPr>
        <w:ind w:left="2260" w:hanging="406"/>
        <w:spacing w:after="0"/>
        <w:tabs>
          <w:tab w:leader="none" w:pos="22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paid as ground rental, if any, for the Project by the Landlord;</w:t>
      </w:r>
    </w:p>
    <w:p>
      <w:pPr>
        <w:spacing w:after="0" w:line="215" w:lineRule="exact"/>
        <w:rPr>
          <w:rFonts w:ascii="Times New Roman" w:cs="Times New Roman" w:eastAsia="Times New Roman" w:hAnsi="Times New Roman"/>
          <w:sz w:val="20"/>
          <w:szCs w:val="20"/>
          <w:color w:val="auto"/>
        </w:rPr>
      </w:pPr>
    </w:p>
    <w:p>
      <w:pPr>
        <w:jc w:val="both"/>
        <w:ind w:left="360" w:firstLine="1494"/>
        <w:spacing w:after="0" w:line="254" w:lineRule="auto"/>
        <w:tabs>
          <w:tab w:leader="none" w:pos="225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2.5% property management fee referred to immediately before the Operating Expense exclusions above, any payments made to the Landlord or to subsidiaries or affiliates of the Landlord for services in the Project to the extent the same exceeds the costs of such services rendered by qualified, unaffiliated third parties on a competitive basis;</w:t>
      </w:r>
    </w:p>
    <w:p>
      <w:pPr>
        <w:spacing w:after="0" w:line="174" w:lineRule="exact"/>
        <w:rPr>
          <w:sz w:val="20"/>
          <w:szCs w:val="20"/>
          <w:color w:val="auto"/>
        </w:rPr>
      </w:pPr>
    </w:p>
    <w:p>
      <w:pPr>
        <w:ind w:left="360" w:right="20" w:firstLine="1494"/>
        <w:spacing w:after="0" w:line="269" w:lineRule="auto"/>
        <w:tabs>
          <w:tab w:leader="none" w:pos="225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159" w:lineRule="exact"/>
        <w:rPr>
          <w:sz w:val="20"/>
          <w:szCs w:val="20"/>
          <w:color w:val="auto"/>
        </w:rPr>
      </w:pPr>
    </w:p>
    <w:p>
      <w:pPr>
        <w:ind w:left="360" w:firstLine="1494"/>
        <w:spacing w:after="0" w:line="269" w:lineRule="auto"/>
        <w:tabs>
          <w:tab w:leader="none" w:pos="225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rentals and other related expenses incurred in leasing air conditioning systems, elevators or other equipment which if purchased the cost of which would be excluded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781685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13" w:right="339" w:bottom="1440" w:gutter="0" w:footer="0" w:header="0"/>
        </w:sectPr>
      </w:pPr>
    </w:p>
    <w:bookmarkStart w:id="114" w:name="page115"/>
    <w:bookmarkEnd w:id="114"/>
    <w:p>
      <w:pPr>
        <w:jc w:val="both"/>
        <w:ind w:left="360"/>
        <w:spacing w:after="0" w:line="254" w:lineRule="auto"/>
        <w:rPr>
          <w:sz w:val="20"/>
          <w:szCs w:val="20"/>
          <w:color w:val="auto"/>
        </w:rPr>
      </w:pPr>
      <w:r>
        <w:rPr>
          <w:rFonts w:ascii="Times New Roman" w:cs="Times New Roman" w:eastAsia="Times New Roman" w:hAnsi="Times New Roman"/>
          <w:sz w:val="20"/>
          <w:szCs w:val="20"/>
          <w:color w:val="auto"/>
        </w:rPr>
        <w:t>from Operating Expenses as a capital cost, except equipment not affixed to the Project which is used in providing janitorial or similar services and, further excepting from this exclusion such equipment rented or leased to remedy or ameliorate an emergency condition in the Project;</w:t>
      </w:r>
    </w:p>
    <w:p>
      <w:pPr>
        <w:spacing w:after="0" w:line="174" w:lineRule="exact"/>
        <w:rPr>
          <w:sz w:val="20"/>
          <w:szCs w:val="20"/>
          <w:color w:val="auto"/>
        </w:rPr>
      </w:pPr>
    </w:p>
    <w:p>
      <w:pPr>
        <w:jc w:val="both"/>
        <w:ind w:left="360" w:firstLine="1494"/>
        <w:spacing w:after="0" w:line="249" w:lineRule="auto"/>
        <w:tabs>
          <w:tab w:leader="none" w:pos="225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items and services for which Tenant or any other tenant in the Project reimburses Landlord (other than reimbursement or payment to Landlord of Tenant’s Share of Direct Expenses or any other tenant’s reimbursement or payment to Landlord of such tenant’s share of Direct Expenses) or pays for directly or which Landlord provides selectively to one or more tenants (other than Tenant);</w:t>
      </w:r>
    </w:p>
    <w:p>
      <w:pPr>
        <w:spacing w:after="0" w:line="179" w:lineRule="exact"/>
        <w:rPr>
          <w:rFonts w:ascii="Times New Roman" w:cs="Times New Roman" w:eastAsia="Times New Roman" w:hAnsi="Times New Roman"/>
          <w:sz w:val="20"/>
          <w:szCs w:val="20"/>
          <w:color w:val="auto"/>
        </w:rPr>
      </w:pPr>
    </w:p>
    <w:p>
      <w:pPr>
        <w:ind w:left="2260" w:hanging="406"/>
        <w:spacing w:after="0"/>
        <w:tabs>
          <w:tab w:leader="none" w:pos="2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penalties and interest incurred by Landlord for late payment by Landlord;</w:t>
      </w:r>
    </w:p>
    <w:p>
      <w:pPr>
        <w:spacing w:after="0" w:line="215" w:lineRule="exact"/>
        <w:rPr>
          <w:rFonts w:ascii="Times New Roman" w:cs="Times New Roman" w:eastAsia="Times New Roman" w:hAnsi="Times New Roman"/>
          <w:sz w:val="20"/>
          <w:szCs w:val="20"/>
          <w:color w:val="auto"/>
        </w:rPr>
      </w:pPr>
    </w:p>
    <w:p>
      <w:pPr>
        <w:ind w:left="2260" w:hanging="406"/>
        <w:spacing w:after="0"/>
        <w:tabs>
          <w:tab w:leader="none" w:pos="2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costs expressly excluded from Operating Expenses elsewhere in this Lease;</w:t>
      </w:r>
    </w:p>
    <w:p>
      <w:pPr>
        <w:spacing w:after="0" w:line="215" w:lineRule="exact"/>
        <w:rPr>
          <w:rFonts w:ascii="Times New Roman" w:cs="Times New Roman" w:eastAsia="Times New Roman" w:hAnsi="Times New Roman"/>
          <w:sz w:val="20"/>
          <w:szCs w:val="20"/>
          <w:color w:val="auto"/>
        </w:rPr>
      </w:pPr>
    </w:p>
    <w:p>
      <w:pPr>
        <w:jc w:val="both"/>
        <w:ind w:left="360" w:firstLine="1494"/>
        <w:spacing w:after="0" w:line="274" w:lineRule="auto"/>
        <w:tabs>
          <w:tab w:leader="none" w:pos="2253"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equitable adjustment where appropriate for the size of the applicable project;</w:t>
      </w:r>
    </w:p>
    <w:p>
      <w:pPr>
        <w:spacing w:after="0" w:line="156" w:lineRule="exact"/>
        <w:rPr>
          <w:rFonts w:ascii="Times New Roman" w:cs="Times New Roman" w:eastAsia="Times New Roman" w:hAnsi="Times New Roman"/>
          <w:sz w:val="19"/>
          <w:szCs w:val="19"/>
          <w:color w:val="auto"/>
        </w:rPr>
      </w:pPr>
    </w:p>
    <w:p>
      <w:pPr>
        <w:ind w:left="360" w:right="40" w:firstLine="1494"/>
        <w:spacing w:after="0" w:line="269" w:lineRule="auto"/>
        <w:tabs>
          <w:tab w:leader="none" w:pos="225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arising from the negligence or willful misconduct of Landlord or its agents, employees, vendors, contractors, or providers of materials or services;</w:t>
      </w:r>
    </w:p>
    <w:p>
      <w:pPr>
        <w:spacing w:after="0" w:line="159" w:lineRule="exact"/>
        <w:rPr>
          <w:rFonts w:ascii="Times New Roman" w:cs="Times New Roman" w:eastAsia="Times New Roman" w:hAnsi="Times New Roman"/>
          <w:sz w:val="20"/>
          <w:szCs w:val="20"/>
          <w:color w:val="auto"/>
        </w:rPr>
      </w:pPr>
    </w:p>
    <w:p>
      <w:pPr>
        <w:jc w:val="both"/>
        <w:ind w:left="360" w:firstLine="1494"/>
        <w:spacing w:after="0" w:line="246" w:lineRule="auto"/>
        <w:tabs>
          <w:tab w:leader="none" w:pos="225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relating to the presence of hazardous material (as defined under applicable law) in the Building or on the Project, except to the extent caused by the release or emission thereof by Tenant or any of its agents, employees, affiliates, officers directors, partners, members, managers, contractors, subcontractors, consultants, licensees, sublessees or other representatives, in which event Tenant shall pay 100% of the costs of investigating, cleaning up remediating and/or monitoring of such hazardous materials;</w:t>
      </w:r>
    </w:p>
    <w:p>
      <w:pPr>
        <w:spacing w:after="0" w:line="184" w:lineRule="exact"/>
        <w:rPr>
          <w:rFonts w:ascii="Times New Roman" w:cs="Times New Roman" w:eastAsia="Times New Roman" w:hAnsi="Times New Roman"/>
          <w:sz w:val="20"/>
          <w:szCs w:val="20"/>
          <w:color w:val="auto"/>
        </w:rPr>
      </w:pPr>
    </w:p>
    <w:p>
      <w:pPr>
        <w:ind w:left="2260" w:hanging="406"/>
        <w:spacing w:after="0"/>
        <w:tabs>
          <w:tab w:leader="none" w:pos="2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arising from Landlord’s charitable or political contributions;</w:t>
      </w:r>
    </w:p>
    <w:p>
      <w:pPr>
        <w:spacing w:after="0" w:line="215" w:lineRule="exact"/>
        <w:rPr>
          <w:rFonts w:ascii="Times New Roman" w:cs="Times New Roman" w:eastAsia="Times New Roman" w:hAnsi="Times New Roman"/>
          <w:sz w:val="20"/>
          <w:szCs w:val="20"/>
          <w:color w:val="auto"/>
        </w:rPr>
      </w:pPr>
    </w:p>
    <w:p>
      <w:pPr>
        <w:ind w:left="360" w:right="20" w:firstLine="1494"/>
        <w:spacing w:after="0" w:line="269" w:lineRule="auto"/>
        <w:tabs>
          <w:tab w:leader="none" w:pos="225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gifts provided to any entity whatsoever, including, but not limited to, Tenant, other tenants, employees, vendors, contractors, prospective tenants and agents;</w:t>
      </w:r>
    </w:p>
    <w:p>
      <w:pPr>
        <w:spacing w:after="0" w:line="159" w:lineRule="exact"/>
        <w:rPr>
          <w:rFonts w:ascii="Times New Roman" w:cs="Times New Roman" w:eastAsia="Times New Roman" w:hAnsi="Times New Roman"/>
          <w:sz w:val="20"/>
          <w:szCs w:val="20"/>
          <w:color w:val="auto"/>
        </w:rPr>
      </w:pPr>
    </w:p>
    <w:p>
      <w:pPr>
        <w:ind w:left="2260" w:hanging="406"/>
        <w:spacing w:after="0"/>
        <w:tabs>
          <w:tab w:leader="none" w:pos="2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any magazine, newspaper, trade or other subscriptions;</w:t>
      </w:r>
    </w:p>
    <w:p>
      <w:pPr>
        <w:spacing w:after="0" w:line="215" w:lineRule="exact"/>
        <w:rPr>
          <w:rFonts w:ascii="Times New Roman" w:cs="Times New Roman" w:eastAsia="Times New Roman" w:hAnsi="Times New Roman"/>
          <w:sz w:val="20"/>
          <w:szCs w:val="20"/>
          <w:color w:val="auto"/>
        </w:rPr>
      </w:pPr>
    </w:p>
    <w:p>
      <w:pPr>
        <w:ind w:left="2600" w:right="20" w:hanging="746"/>
        <w:spacing w:after="0" w:line="269" w:lineRule="auto"/>
        <w:tabs>
          <w:tab w:leader="none" w:pos="224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 profit or compensation for management of the Project in excess of the 2.5% property management fee referenced above;</w:t>
      </w:r>
    </w:p>
    <w:p>
      <w:pPr>
        <w:spacing w:after="0" w:line="159" w:lineRule="exact"/>
        <w:rPr>
          <w:rFonts w:ascii="Times New Roman" w:cs="Times New Roman" w:eastAsia="Times New Roman" w:hAnsi="Times New Roman"/>
          <w:sz w:val="20"/>
          <w:szCs w:val="20"/>
          <w:color w:val="auto"/>
        </w:rPr>
      </w:pPr>
    </w:p>
    <w:p>
      <w:pPr>
        <w:ind w:left="2600" w:hanging="746"/>
        <w:spacing w:after="0" w:line="249" w:lineRule="auto"/>
        <w:tabs>
          <w:tab w:leader="none" w:pos="224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occasioned by casualties (excepting therefrom the deductible portion of insured loss under Landlord’s insurance, but in no event shall the Tenant’s Share of such deductibles included as an Operating Expense exceed One Hundred Fifty Thousand and 00/100 Dollars ($150,000.00) per casualty) or condemnation;</w:t>
      </w:r>
    </w:p>
    <w:p>
      <w:pPr>
        <w:spacing w:after="0" w:line="179" w:lineRule="exact"/>
        <w:rPr>
          <w:rFonts w:ascii="Times New Roman" w:cs="Times New Roman" w:eastAsia="Times New Roman" w:hAnsi="Times New Roman"/>
          <w:sz w:val="20"/>
          <w:szCs w:val="20"/>
          <w:color w:val="auto"/>
        </w:rPr>
      </w:pPr>
    </w:p>
    <w:p>
      <w:pPr>
        <w:ind w:left="2600" w:hanging="746"/>
        <w:spacing w:after="0" w:line="254" w:lineRule="auto"/>
        <w:tabs>
          <w:tab w:leader="none" w:pos="224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to correct any construction defect in the Project or to correct or cure any violation (existing as of the date Landlord delivers early occupancy of the Premises to Tenant) of any covenant, condition, restriction, underwriter's requirement or Applicable Law applicable to the Project;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781685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13" w:right="339" w:bottom="1440" w:gutter="0" w:footer="0" w:header="0"/>
        </w:sectPr>
      </w:pPr>
    </w:p>
    <w:bookmarkStart w:id="115" w:name="page116"/>
    <w:bookmarkEnd w:id="115"/>
    <w:p>
      <w:pPr>
        <w:ind w:left="2660" w:hanging="406"/>
        <w:spacing w:after="0"/>
        <w:tabs>
          <w:tab w:leader="none" w:pos="26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structural repairs or to construct new Common Areas or new amenities;</w:t>
      </w:r>
    </w:p>
    <w:p>
      <w:pPr>
        <w:spacing w:after="0" w:line="215" w:lineRule="exact"/>
        <w:rPr>
          <w:rFonts w:ascii="Times New Roman" w:cs="Times New Roman" w:eastAsia="Times New Roman" w:hAnsi="Times New Roman"/>
          <w:sz w:val="20"/>
          <w:szCs w:val="20"/>
          <w:color w:val="auto"/>
        </w:rPr>
      </w:pPr>
    </w:p>
    <w:p>
      <w:pPr>
        <w:ind w:left="3000" w:hanging="746"/>
        <w:spacing w:after="0" w:line="249" w:lineRule="auto"/>
        <w:tabs>
          <w:tab w:leader="none" w:pos="264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insurance costs for coverage not customarily maintained by landlords of Comparable Buildings (but costs of all risk property insurance, rental loss insurance, commercial general liability insurance, auto liability insurance and flood and earthquake insurance to the extent maintained by Landlord shall be included in Operating Expenses); and</w:t>
      </w:r>
    </w:p>
    <w:p>
      <w:pPr>
        <w:spacing w:after="0" w:line="179" w:lineRule="exact"/>
        <w:rPr>
          <w:rFonts w:ascii="Times New Roman" w:cs="Times New Roman" w:eastAsia="Times New Roman" w:hAnsi="Times New Roman"/>
          <w:sz w:val="20"/>
          <w:szCs w:val="20"/>
          <w:color w:val="auto"/>
        </w:rPr>
      </w:pPr>
    </w:p>
    <w:p>
      <w:pPr>
        <w:ind w:left="3000" w:right="20" w:hanging="746"/>
        <w:spacing w:after="0" w:line="269" w:lineRule="auto"/>
        <w:tabs>
          <w:tab w:leader="none" w:pos="264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costs that could be properly capitalized under generally accepted accounting principles, except as set forth in </w:t>
      </w:r>
      <w:r>
        <w:rPr>
          <w:rFonts w:ascii="Times New Roman" w:cs="Times New Roman" w:eastAsia="Times New Roman" w:hAnsi="Times New Roman"/>
          <w:sz w:val="20"/>
          <w:szCs w:val="20"/>
          <w:u w:val="single" w:color="auto"/>
          <w:color w:val="auto"/>
        </w:rPr>
        <w:t>Sections 4.2.4(xii)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(xiii)</w:t>
      </w:r>
      <w:r>
        <w:rPr>
          <w:rFonts w:ascii="Times New Roman" w:cs="Times New Roman" w:eastAsia="Times New Roman" w:hAnsi="Times New Roman"/>
          <w:sz w:val="20"/>
          <w:szCs w:val="20"/>
          <w:color w:val="auto"/>
        </w:rPr>
        <w:t>, above.</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at least ninety-five percent (95%) occupied during all or a portion of any Expense Year, Landlord shall make an appropriate adjustment to the components of Operating Expenses for such year to determine the amount of Operating Expenses that would have been incurred had the Project been ninety-five percent (95%) occupied; and the amount so determined shall be deemed to have been the amount of Operating Expenses for such year; provided, however, there shall be no gross up of costs as to which Tenant pays 100%.</w:t>
      </w:r>
    </w:p>
    <w:p>
      <w:pPr>
        <w:spacing w:after="0" w:line="185"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4.2.8</w:t>
      </w:r>
      <w:r>
        <w:rPr>
          <w:sz w:val="20"/>
          <w:szCs w:val="20"/>
          <w:color w:val="auto"/>
        </w:rPr>
        <w:tab/>
      </w: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b w:val="1"/>
          <w:bCs w:val="1"/>
          <w:color w:val="auto"/>
        </w:rPr>
        <w:t>.</w:t>
      </w:r>
    </w:p>
    <w:p>
      <w:pPr>
        <w:spacing w:after="0" w:line="216" w:lineRule="exact"/>
        <w:rPr>
          <w:sz w:val="20"/>
          <w:szCs w:val="20"/>
          <w:color w:val="auto"/>
        </w:rPr>
      </w:pPr>
    </w:p>
    <w:p>
      <w:pPr>
        <w:jc w:val="both"/>
        <w:ind w:firstLine="2246"/>
        <w:spacing w:after="0" w:line="243" w:lineRule="auto"/>
        <w:rPr>
          <w:sz w:val="20"/>
          <w:szCs w:val="20"/>
          <w:color w:val="auto"/>
        </w:rPr>
      </w:pPr>
      <w:r>
        <w:rPr>
          <w:rFonts w:ascii="Times New Roman" w:cs="Times New Roman" w:eastAsia="Times New Roman" w:hAnsi="Times New Roman"/>
          <w:sz w:val="20"/>
          <w:szCs w:val="20"/>
          <w:color w:val="auto"/>
        </w:rPr>
        <w:t>4.2.8.1 “</w:t>
      </w:r>
      <w:r>
        <w:rPr>
          <w:rFonts w:ascii="Times New Roman" w:cs="Times New Roman" w:eastAsia="Times New Roman" w:hAnsi="Times New Roman"/>
          <w:sz w:val="20"/>
          <w:szCs w:val="20"/>
          <w:b w:val="1"/>
          <w:bCs w:val="1"/>
          <w:color w:val="auto"/>
        </w:rPr>
        <w:t>Tax Expenses</w:t>
      </w:r>
      <w:r>
        <w:rPr>
          <w:rFonts w:ascii="Times New Roman" w:cs="Times New Roman" w:eastAsia="Times New Roman" w:hAnsi="Times New Roman"/>
          <w:sz w:val="20"/>
          <w:szCs w:val="20"/>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 For avoidance of doubt, Tax Expenses shall not include federal and state income taxes, and other taxes to the extent applicable to Landlord’s net income (as opposed to rents, receipts or income attributable to operations of the Project).</w:t>
      </w:r>
    </w:p>
    <w:p>
      <w:pPr>
        <w:spacing w:after="0" w:line="190" w:lineRule="exact"/>
        <w:rPr>
          <w:sz w:val="20"/>
          <w:szCs w:val="20"/>
          <w:color w:val="auto"/>
        </w:rPr>
      </w:pPr>
    </w:p>
    <w:p>
      <w:pPr>
        <w:jc w:val="both"/>
        <w:ind w:firstLine="2246"/>
        <w:spacing w:after="0" w:line="243" w:lineRule="auto"/>
        <w:rPr>
          <w:sz w:val="20"/>
          <w:szCs w:val="20"/>
          <w:color w:val="auto"/>
        </w:rPr>
      </w:pPr>
      <w:r>
        <w:rPr>
          <w:rFonts w:ascii="Times New Roman" w:cs="Times New Roman" w:eastAsia="Times New Roman" w:hAnsi="Times New Roman"/>
          <w:sz w:val="20"/>
          <w:szCs w:val="20"/>
          <w:color w:val="auto"/>
        </w:rPr>
        <w:t>4.2.8.2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Times New Roman" w:cs="Times New Roman" w:eastAsia="Times New Roman" w:hAnsi="Times New Roman"/>
          <w:sz w:val="20"/>
          <w:szCs w:val="20"/>
          <w:b w:val="1"/>
          <w:bCs w:val="1"/>
          <w:color w:val="auto"/>
        </w:rPr>
        <w:t>Proposition 13</w:t>
      </w:r>
      <w:r>
        <w:rPr>
          <w:rFonts w:ascii="Times New Roman" w:cs="Times New Roman" w:eastAsia="Times New Roman" w:hAnsi="Times New Roman"/>
          <w:sz w:val="20"/>
          <w:szCs w:val="20"/>
          <w:color w:val="auto"/>
        </w:rPr>
        <w:t>”)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Tax Expenses shall also include any governmental or private assessments or the Project’s contribution towards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jc w:val="both"/>
        <w:spacing w:after="0" w:line="243" w:lineRule="auto"/>
        <w:rPr>
          <w:sz w:val="20"/>
          <w:szCs w:val="20"/>
          <w:color w:val="auto"/>
        </w:rPr>
      </w:pPr>
      <w:r>
        <w:rPr>
          <w:rFonts w:ascii="Times New Roman" w:cs="Times New Roman" w:eastAsia="Times New Roman" w:hAnsi="Times New Roman"/>
          <w:sz w:val="20"/>
          <w:szCs w:val="20"/>
          <w:color w:val="auto"/>
        </w:rPr>
        <w:t>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(iv) Any assessment, tax, fee, levy or charge, upon this transaction or any document to which Tenant is a party, creating or transferring an interest or an estate in the Premises; (v) All of the real estate taxes and assessments imposed upon or with respect to the Building and all of the real estate taxes and assessments imposed on or with respect to the land and other improvements of the Project; and (v) All real estate taxes and assessments arising from a sale or change in ownership of the Building and/or Project and/or from new construction.</w:t>
      </w:r>
    </w:p>
    <w:p>
      <w:pPr>
        <w:spacing w:after="0" w:line="186" w:lineRule="exact"/>
        <w:rPr>
          <w:sz w:val="20"/>
          <w:szCs w:val="20"/>
          <w:color w:val="auto"/>
        </w:rPr>
      </w:pPr>
    </w:p>
    <w:p>
      <w:pPr>
        <w:jc w:val="both"/>
        <w:ind w:firstLine="2246"/>
        <w:spacing w:after="0" w:line="241" w:lineRule="auto"/>
        <w:rPr>
          <w:sz w:val="20"/>
          <w:szCs w:val="20"/>
          <w:color w:val="auto"/>
        </w:rPr>
      </w:pPr>
      <w:r>
        <w:rPr>
          <w:rFonts w:ascii="Times New Roman" w:cs="Times New Roman" w:eastAsia="Times New Roman" w:hAnsi="Times New Roman"/>
          <w:sz w:val="20"/>
          <w:szCs w:val="20"/>
          <w:color w:val="auto"/>
        </w:rPr>
        <w:t xml:space="preserve">4.2.8.3 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Article 4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included by Landlord as Building Tax Expenses pursuant to the terms of this Lease. Notwithstanding anything to the contrary contained in this </w:t>
      </w:r>
      <w:r>
        <w:rPr>
          <w:rFonts w:ascii="Times New Roman" w:cs="Times New Roman" w:eastAsia="Times New Roman" w:hAnsi="Times New Roman"/>
          <w:sz w:val="20"/>
          <w:szCs w:val="20"/>
          <w:u w:val="single" w:color="auto"/>
          <w:color w:val="auto"/>
        </w:rPr>
        <w:t>Section 4.2.8</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Section 4.2.8.1</w:t>
      </w:r>
      <w:r>
        <w:rPr>
          <w:rFonts w:ascii="Times New Roman" w:cs="Times New Roman" w:eastAsia="Times New Roman" w:hAnsi="Times New Roman"/>
          <w:sz w:val="20"/>
          <w:szCs w:val="20"/>
          <w:color w:val="auto"/>
        </w:rPr>
        <w:t xml:space="preserve">, above), there shall be excluded from Tax Expenses (i) all excess profits taxes, franchise taxes, transfer taxes, gift taxes, capital stock taxes, inheritance and succession taxes, estate taxes, federal and state income taxes, and other taxes to the extent applicable to Landlord’s net income (as opposed to rents, receipts or income attributable to operations at the Project), (ii) any items included as Operating Expenses, (iii) any items paid by Tenant under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of this Lease, (iv) taxes imposed on land and improvements other than the Project, and (v) assessments in excess of the amount that would be payable if such assessment were paid in installments over the longest permitted term.</w:t>
      </w:r>
    </w:p>
    <w:p>
      <w:pPr>
        <w:spacing w:after="0" w:line="192"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19"/>
          <w:szCs w:val="19"/>
          <w:color w:val="auto"/>
        </w:rPr>
        <w:t xml:space="preserve">4.2.9 “ </w:t>
      </w:r>
      <w:r>
        <w:rPr>
          <w:rFonts w:ascii="Times New Roman" w:cs="Times New Roman" w:eastAsia="Times New Roman" w:hAnsi="Times New Roman"/>
          <w:sz w:val="19"/>
          <w:szCs w:val="19"/>
          <w:b w:val="1"/>
          <w:bCs w:val="1"/>
          <w:color w:val="auto"/>
        </w:rPr>
        <w:t>Tenant’s Share</w:t>
      </w:r>
      <w:r>
        <w:rPr>
          <w:rFonts w:ascii="Times New Roman" w:cs="Times New Roman" w:eastAsia="Times New Roman" w:hAnsi="Times New Roman"/>
          <w:sz w:val="19"/>
          <w:szCs w:val="19"/>
          <w:color w:val="auto"/>
        </w:rPr>
        <w:t xml:space="preserve">” shall mean the percentage set forth in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of the Summary (with respect to Direct Expenses allocable to the Project generally) and the percentage set forth in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of the Summary (with respect to Direct Expenses allocable to the Building (and Premises)). In the event that rentable square footage is either added to or removed from the Premises and/or the Building, Tenant’s Share shall be appropriately adjusted, and, as to the Expense Year in which such change occurs, Tenant’s Share for such Expense Year shall be determined on the basis of the number of days during such Expense Year that each such Tenant’s Share was in effect.</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b w:val="1"/>
          <w:bCs w:val="1"/>
          <w:u w:val="single" w:color="auto"/>
          <w:color w:val="auto"/>
        </w:rPr>
        <w:t>Allocation of Direct Expenses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4.3.1 </w:t>
      </w:r>
      <w:r>
        <w:rPr>
          <w:rFonts w:ascii="Times New Roman" w:cs="Times New Roman" w:eastAsia="Times New Roman" w:hAnsi="Times New Roman"/>
          <w:sz w:val="20"/>
          <w:szCs w:val="20"/>
          <w:b w:val="1"/>
          <w:bCs w:val="1"/>
          <w:u w:val="single" w:color="auto"/>
          <w:color w:val="auto"/>
        </w:rPr>
        <w:t>Method of Allocation</w:t>
      </w:r>
      <w:r>
        <w:rPr>
          <w:rFonts w:ascii="Times New Roman" w:cs="Times New Roman" w:eastAsia="Times New Roman" w:hAnsi="Times New Roman"/>
          <w:sz w:val="20"/>
          <w:szCs w:val="20"/>
          <w:color w:val="auto"/>
        </w:rPr>
        <w:t xml:space="preserve">. The parties acknowledge that the Building is a part of a multi-building project and that the costs and expenses incurred in connection with the Project (i.e., the Direct Expenses) should be shared between the tenants of the Building and the tenants of the other buildings in the Project. Accordingly, as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above, Direct Expenses (which consists of Operating Expenses and Tax Expenses) are determined annually for the Project as a whole, and a portion of the Direct Expenses, which portion shall be determined by Landlord on an equitable basis, shall be allocated to the tenant(s) of the Building (as opposed to the tenants of any other buildings in the Project) and such portion shall be the Building Direct Expenses for purposes of this Lease. Such portion of Building Direct Expenses allocated to Tenant shall include all Direct Expenses attributable solely to the Building and an equitable portion of the Direct Expenses attributable to the Project as a whole but shall not include Direct Expenses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both"/>
        <w:spacing w:after="0" w:line="242" w:lineRule="auto"/>
        <w:rPr>
          <w:sz w:val="20"/>
          <w:szCs w:val="20"/>
          <w:color w:val="auto"/>
        </w:rPr>
      </w:pPr>
      <w:r>
        <w:rPr>
          <w:rFonts w:ascii="Times New Roman" w:cs="Times New Roman" w:eastAsia="Times New Roman" w:hAnsi="Times New Roman"/>
          <w:sz w:val="20"/>
          <w:szCs w:val="20"/>
          <w:color w:val="auto"/>
        </w:rPr>
        <w:t>attributable solely to other Buildings. Operating Expenses that relate solely to a specific Project Building and not to any other Project Building (including without limitation, separately metered electrical costs and repair and maintenance costs of any Project Building), shall be entirely allocated to such specific Project Building and not any other Project Buildings. If Landlord incurs Operating Expenses for Tenant’s Building together with one or more other Project Buildings or if Landlord incurs Operating Expenses for the Project as a whole and not to any specific Project Building, such share amounts shall be equitably prorated and apportioned between the Building and such other Project Building. If Landlord incurs Operating Expenses for Tenant’s Building together with one or more other Project Buildings or if Landlord incurs Operating Expenses for the Project as a whole and not to any specific Project Building, such share amounts shall be equitably prorated and apportioned between the Building and such other Project Building or among all Project Building, as applicable, in Landlord’s reasonable discretion. The preceding to the contrary notwithstanding, any increases in Taxes arising from any specialized improvements (as opposed to general utility office improvements) made in or to any Project Building shall be allocable solely to the Project Building in or to which such specialized improvements are undertaken.</w:t>
      </w:r>
    </w:p>
    <w:p>
      <w:pPr>
        <w:spacing w:after="0" w:line="18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 xml:space="preserve">4.3.2 </w:t>
      </w:r>
      <w:r>
        <w:rPr>
          <w:rFonts w:ascii="Times New Roman" w:cs="Times New Roman" w:eastAsia="Times New Roman" w:hAnsi="Times New Roman"/>
          <w:sz w:val="20"/>
          <w:szCs w:val="20"/>
          <w:b w:val="1"/>
          <w:bCs w:val="1"/>
          <w:u w:val="single" w:color="auto"/>
          <w:color w:val="auto"/>
        </w:rPr>
        <w:t>Cost Pools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4.3.1</w:t>
      </w:r>
      <w:r>
        <w:rPr>
          <w:rFonts w:ascii="Times New Roman" w:cs="Times New Roman" w:eastAsia="Times New Roman" w:hAnsi="Times New Roman"/>
          <w:sz w:val="20"/>
          <w:szCs w:val="20"/>
          <w:color w:val="auto"/>
        </w:rPr>
        <w:t xml:space="preserve"> above, Landlord shall have the right, from time to time, to equitably allocate some or all of the Direct Expenses for the Project among different portions or occupants of the Project (the “</w:t>
      </w:r>
      <w:r>
        <w:rPr>
          <w:rFonts w:ascii="Times New Roman" w:cs="Times New Roman" w:eastAsia="Times New Roman" w:hAnsi="Times New Roman"/>
          <w:sz w:val="20"/>
          <w:szCs w:val="20"/>
          <w:b w:val="1"/>
          <w:bCs w:val="1"/>
          <w:color w:val="auto"/>
        </w:rPr>
        <w:t>Cost Pools</w:t>
      </w:r>
      <w:r>
        <w:rPr>
          <w:rFonts w:ascii="Times New Roman" w:cs="Times New Roman" w:eastAsia="Times New Roman" w:hAnsi="Times New Roman"/>
          <w:sz w:val="20"/>
          <w:szCs w:val="20"/>
          <w:color w:val="auto"/>
        </w:rPr>
        <w:t>”), in Landlord’s reasonable discretion. Such Cost Pools may include, but shall not be limited to, the office space tenants of a building of the Project or of the Project, and the retail space tenants of a building of the Project or of the Project. The Direct Expenses within each such Cost Pool shall be allocated and charged to the tenants within such Cost Pool in an equitable manner.</w:t>
      </w:r>
    </w:p>
    <w:p>
      <w:pPr>
        <w:spacing w:after="0" w:line="180" w:lineRule="exact"/>
        <w:rPr>
          <w:sz w:val="20"/>
          <w:szCs w:val="20"/>
          <w:color w:val="auto"/>
        </w:rPr>
      </w:pPr>
    </w:p>
    <w:p>
      <w:pPr>
        <w:ind w:left="100" w:right="20" w:firstLine="749"/>
        <w:spacing w:after="0" w:line="273"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b w:val="1"/>
          <w:bCs w:val="1"/>
          <w:u w:val="single" w:color="auto"/>
          <w:color w:val="auto"/>
        </w:rPr>
        <w:t>Calculation and Payment of Additional Rent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shall pay to Landlord, in the manner set forth in </w:t>
      </w:r>
      <w:r>
        <w:rPr>
          <w:rFonts w:ascii="Times New Roman" w:cs="Times New Roman" w:eastAsia="Times New Roman" w:hAnsi="Times New Roman"/>
          <w:sz w:val="20"/>
          <w:szCs w:val="20"/>
          <w:u w:val="single" w:color="auto"/>
          <w:color w:val="auto"/>
        </w:rPr>
        <w:t>Section 4.4.1</w:t>
      </w:r>
      <w:r>
        <w:rPr>
          <w:rFonts w:ascii="Times New Roman" w:cs="Times New Roman" w:eastAsia="Times New Roman" w:hAnsi="Times New Roman"/>
          <w:sz w:val="20"/>
          <w:szCs w:val="20"/>
          <w:color w:val="auto"/>
        </w:rPr>
        <w:t xml:space="preserve"> below, and as Additional Rent, an amount equal to Tenant’s Share of Building Direct Expenses for each Expense Year.</w:t>
      </w:r>
    </w:p>
    <w:p>
      <w:pPr>
        <w:spacing w:after="0" w:line="15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4.4.1 </w:t>
      </w:r>
      <w:r>
        <w:rPr>
          <w:rFonts w:ascii="Times New Roman" w:cs="Times New Roman" w:eastAsia="Times New Roman" w:hAnsi="Times New Roman"/>
          <w:sz w:val="20"/>
          <w:szCs w:val="20"/>
          <w:b w:val="1"/>
          <w:bCs w:val="1"/>
          <w:u w:val="single" w:color="auto"/>
          <w:color w:val="auto"/>
        </w:rPr>
        <w:t>Statement of Actual Building Direct Expenses and Payment by Tenant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shall give to Tenant within one hundred twenty (120) days following the end of each Expense Year, a statement (the “</w:t>
      </w:r>
      <w:r>
        <w:rPr>
          <w:rFonts w:ascii="Times New Roman" w:cs="Times New Roman" w:eastAsia="Times New Roman" w:hAnsi="Times New Roman"/>
          <w:sz w:val="20"/>
          <w:szCs w:val="20"/>
          <w:b w:val="1"/>
          <w:bCs w:val="1"/>
          <w:color w:val="auto"/>
        </w:rPr>
        <w:t>Statement</w:t>
      </w:r>
      <w:r>
        <w:rPr>
          <w:rFonts w:ascii="Times New Roman" w:cs="Times New Roman" w:eastAsia="Times New Roman" w:hAnsi="Times New Roman"/>
          <w:sz w:val="20"/>
          <w:szCs w:val="20"/>
          <w:color w:val="auto"/>
        </w:rPr>
        <w:t xml:space="preserve">”) which shall state the Building Direct Expenses incurred or accrued for such preceding Expense Year, and which shall indicate the amount of Tenant’s Share of Building Direct Expenses. Upon receipt of the Statement for each Expense Year commencing or ending during the Lease Term, Tenant shall pay, with its next installment of Base Rent due at least thirty (30) days later, the full amount of Tenant’s Share of Building Direct Expenses for such Expense Year, less the amounts, if any, paid during such Expense Year as “Estimated Building Direct Expenses,” as that term is defined in </w:t>
      </w:r>
      <w:r>
        <w:rPr>
          <w:rFonts w:ascii="Times New Roman" w:cs="Times New Roman" w:eastAsia="Times New Roman" w:hAnsi="Times New Roman"/>
          <w:sz w:val="20"/>
          <w:szCs w:val="20"/>
          <w:u w:val="single" w:color="auto"/>
          <w:color w:val="auto"/>
        </w:rPr>
        <w:t>Section 4.4.2</w:t>
      </w:r>
      <w:r>
        <w:rPr>
          <w:rFonts w:ascii="Times New Roman" w:cs="Times New Roman" w:eastAsia="Times New Roman" w:hAnsi="Times New Roman"/>
          <w:sz w:val="20"/>
          <w:szCs w:val="20"/>
          <w:color w:val="auto"/>
        </w:rPr>
        <w:t xml:space="preserve"> below, and if Tenant paid more as Estimated Building Direct Expenses than the actual Tenant’s Share of Building Direct Expenses (an “</w:t>
      </w:r>
      <w:r>
        <w:rPr>
          <w:rFonts w:ascii="Times New Roman" w:cs="Times New Roman" w:eastAsia="Times New Roman" w:hAnsi="Times New Roman"/>
          <w:sz w:val="20"/>
          <w:szCs w:val="20"/>
          <w:b w:val="1"/>
          <w:bCs w:val="1"/>
          <w:color w:val="auto"/>
        </w:rPr>
        <w:t>Excess</w:t>
      </w:r>
      <w:r>
        <w:rPr>
          <w:rFonts w:ascii="Times New Roman" w:cs="Times New Roman" w:eastAsia="Times New Roman" w:hAnsi="Times New Roman"/>
          <w:sz w:val="20"/>
          <w:szCs w:val="20"/>
          <w:color w:val="auto"/>
        </w:rPr>
        <w:t xml:space="preserve">”), Tenant shall receive a credit in the amount of such Excess against Rent next due under this Lease. Subject to the terms of </w:t>
      </w:r>
      <w:r>
        <w:rPr>
          <w:rFonts w:ascii="Times New Roman" w:cs="Times New Roman" w:eastAsia="Times New Roman" w:hAnsi="Times New Roman"/>
          <w:sz w:val="20"/>
          <w:szCs w:val="20"/>
          <w:u w:val="single" w:color="auto"/>
          <w:color w:val="auto"/>
        </w:rPr>
        <w:t>Section 4.4.3</w:t>
      </w:r>
      <w:r>
        <w:rPr>
          <w:rFonts w:ascii="Times New Roman" w:cs="Times New Roman" w:eastAsia="Times New Roman" w:hAnsi="Times New Roman"/>
          <w:sz w:val="20"/>
          <w:szCs w:val="20"/>
          <w:color w:val="auto"/>
        </w:rPr>
        <w:t xml:space="preserve"> below, the failure of Landlord to timely furnish the Statement for any Expense Year shall not prejudice Landlord or Tenant from enforcing its rights under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Even though the Lease Term has expired and Tenant has vacated the Premises, when the final determination is made of Tenant’s Share of Building Direct Expenses for the Expense Year in which this Lease terminates, if Tenant’s Share of Building Direct Expenses is greater than the amount of Estimated Building Direct Expenses previously paid by Tenant to landlord, then Tenant shall, within thirty (30) days after receipt of the Statement, pay to Landlord such amount, and if Tenant paid more as Estimated Building Direct Expenses than the actual Building Direct Expenses (again, an Excess), Landlord shall, within thirty (30) days, deliver a check payable to Tenant in the amount of such Excess. The provisions of this </w:t>
      </w:r>
      <w:r>
        <w:rPr>
          <w:rFonts w:ascii="Times New Roman" w:cs="Times New Roman" w:eastAsia="Times New Roman" w:hAnsi="Times New Roman"/>
          <w:sz w:val="20"/>
          <w:szCs w:val="20"/>
          <w:u w:val="single" w:color="auto"/>
          <w:color w:val="auto"/>
        </w:rPr>
        <w:t>Section 4.4.1</w:t>
      </w:r>
      <w:r>
        <w:rPr>
          <w:rFonts w:ascii="Times New Roman" w:cs="Times New Roman" w:eastAsia="Times New Roman" w:hAnsi="Times New Roman"/>
          <w:sz w:val="20"/>
          <w:szCs w:val="20"/>
          <w:color w:val="auto"/>
        </w:rPr>
        <w:t xml:space="preserve"> shall survive the expiration or earlier termination of the Lease Term.</w:t>
      </w:r>
    </w:p>
    <w:p>
      <w:pPr>
        <w:spacing w:after="0" w:line="193" w:lineRule="exact"/>
        <w:rPr>
          <w:sz w:val="20"/>
          <w:szCs w:val="20"/>
          <w:color w:val="auto"/>
        </w:rPr>
      </w:pPr>
    </w:p>
    <w:p>
      <w:pPr>
        <w:jc w:val="both"/>
        <w:ind w:firstLine="1497"/>
        <w:spacing w:after="0" w:line="276" w:lineRule="auto"/>
        <w:rPr>
          <w:sz w:val="20"/>
          <w:szCs w:val="20"/>
          <w:color w:val="auto"/>
        </w:rPr>
      </w:pPr>
      <w:r>
        <w:rPr>
          <w:rFonts w:ascii="Times New Roman" w:cs="Times New Roman" w:eastAsia="Times New Roman" w:hAnsi="Times New Roman"/>
          <w:sz w:val="19"/>
          <w:szCs w:val="19"/>
          <w:color w:val="auto"/>
        </w:rPr>
        <w:t xml:space="preserve">4.4.2 </w:t>
      </w:r>
      <w:r>
        <w:rPr>
          <w:rFonts w:ascii="Times New Roman" w:cs="Times New Roman" w:eastAsia="Times New Roman" w:hAnsi="Times New Roman"/>
          <w:sz w:val="19"/>
          <w:szCs w:val="19"/>
          <w:b w:val="1"/>
          <w:bCs w:val="1"/>
          <w:u w:val="single" w:color="auto"/>
          <w:color w:val="auto"/>
        </w:rPr>
        <w:t>Statement of Estimated Building Direct Expenses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In addition, Landlord shall give Tenant at least thirty (30) days before each calendar year a yearly expense estimate statement (the “</w:t>
      </w:r>
      <w:r>
        <w:rPr>
          <w:rFonts w:ascii="Times New Roman" w:cs="Times New Roman" w:eastAsia="Times New Roman" w:hAnsi="Times New Roman"/>
          <w:sz w:val="19"/>
          <w:szCs w:val="19"/>
          <w:b w:val="1"/>
          <w:bCs w:val="1"/>
          <w:color w:val="auto"/>
        </w:rPr>
        <w:t>Estimate Statement</w:t>
      </w:r>
      <w:r>
        <w:rPr>
          <w:rFonts w:ascii="Times New Roman" w:cs="Times New Roman" w:eastAsia="Times New Roman" w:hAnsi="Times New Roman"/>
          <w:sz w:val="19"/>
          <w:szCs w:val="19"/>
          <w:color w:val="auto"/>
        </w:rPr>
        <w:t>”) which shall set forth Landlord’s reasonable estimate (the “</w:t>
      </w:r>
      <w:r>
        <w:rPr>
          <w:rFonts w:ascii="Times New Roman" w:cs="Times New Roman" w:eastAsia="Times New Roman" w:hAnsi="Times New Roman"/>
          <w:sz w:val="19"/>
          <w:szCs w:val="19"/>
          <w:b w:val="1"/>
          <w:bCs w:val="1"/>
          <w:color w:val="auto"/>
        </w:rPr>
        <w:t>Estimate</w:t>
      </w:r>
      <w:r>
        <w:rPr>
          <w:rFonts w:ascii="Times New Roman" w:cs="Times New Roman" w:eastAsia="Times New Roman" w:hAnsi="Times New Roman"/>
          <w:sz w:val="19"/>
          <w:szCs w:val="19"/>
          <w:color w:val="auto"/>
        </w:rPr>
        <w:t>”) of what the total amount of Building Direct Expenses for the then-current Expense Year shall be and the estimated</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both"/>
        <w:spacing w:after="0" w:line="259" w:lineRule="auto"/>
        <w:rPr>
          <w:sz w:val="20"/>
          <w:szCs w:val="20"/>
          <w:color w:val="auto"/>
        </w:rPr>
      </w:pPr>
      <w:r>
        <w:rPr>
          <w:rFonts w:ascii="Times New Roman" w:cs="Times New Roman" w:eastAsia="Times New Roman" w:hAnsi="Times New Roman"/>
          <w:sz w:val="19"/>
          <w:szCs w:val="19"/>
          <w:color w:val="auto"/>
        </w:rPr>
        <w:t>amount of Tenant’s Share of Building Direct Expenses (the “</w:t>
      </w:r>
      <w:r>
        <w:rPr>
          <w:rFonts w:ascii="Times New Roman" w:cs="Times New Roman" w:eastAsia="Times New Roman" w:hAnsi="Times New Roman"/>
          <w:sz w:val="19"/>
          <w:szCs w:val="19"/>
          <w:b w:val="1"/>
          <w:bCs w:val="1"/>
          <w:color w:val="auto"/>
        </w:rPr>
        <w:t>Estimated Building Direct Expenses</w:t>
      </w:r>
      <w:r>
        <w:rPr>
          <w:rFonts w:ascii="Times New Roman" w:cs="Times New Roman" w:eastAsia="Times New Roman" w:hAnsi="Times New Roman"/>
          <w:sz w:val="19"/>
          <w:szCs w:val="19"/>
          <w:color w:val="auto"/>
        </w:rPr>
        <w:t xml:space="preserve">”). The failure of Landlord to timely furnish the Estimate Statement for any Expense Year shall not preclude Landlord from enforcing its rights to collect any Estimated Building Direct Expenses under this </w:t>
      </w:r>
      <w:r>
        <w:rPr>
          <w:rFonts w:ascii="Times New Roman" w:cs="Times New Roman" w:eastAsia="Times New Roman" w:hAnsi="Times New Roman"/>
          <w:sz w:val="19"/>
          <w:szCs w:val="19"/>
          <w:u w:val="single" w:color="auto"/>
          <w:color w:val="auto"/>
        </w:rPr>
        <w:t>Article 4</w:t>
      </w:r>
      <w:r>
        <w:rPr>
          <w:rFonts w:ascii="Times New Roman" w:cs="Times New Roman" w:eastAsia="Times New Roman" w:hAnsi="Times New Roman"/>
          <w:sz w:val="19"/>
          <w:szCs w:val="19"/>
          <w:color w:val="auto"/>
        </w:rPr>
        <w:t>, nor shall Landlord be prohibited from revising any Estimate Statement or Estimated Building Direct Expenses theretofore delivered to the extent necessary. Thereafter, Tenant shall pay, with its next installment of Base Rent due at least thirty</w:t>
      </w:r>
    </w:p>
    <w:p>
      <w:pPr>
        <w:spacing w:after="0" w:line="1" w:lineRule="exact"/>
        <w:rPr>
          <w:sz w:val="20"/>
          <w:szCs w:val="20"/>
          <w:color w:val="auto"/>
        </w:rPr>
      </w:pPr>
    </w:p>
    <w:p>
      <w:pPr>
        <w:jc w:val="both"/>
        <w:ind w:firstLine="8"/>
        <w:spacing w:after="0"/>
        <w:tabs>
          <w:tab w:leader="none" w:pos="41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later, a fraction of the Estimated Building Direct Expenses for the then-current Expense Year (reduced by any amounts paid pursuant to the penultimate sentence of this </w:t>
      </w:r>
      <w:r>
        <w:rPr>
          <w:rFonts w:ascii="Times New Roman" w:cs="Times New Roman" w:eastAsia="Times New Roman" w:hAnsi="Times New Roman"/>
          <w:sz w:val="20"/>
          <w:szCs w:val="20"/>
          <w:u w:val="single" w:color="auto"/>
          <w:color w:val="auto"/>
        </w:rPr>
        <w:t>Section 4.4.2</w:t>
      </w:r>
      <w:r>
        <w:rPr>
          <w:rFonts w:ascii="Times New Roman" w:cs="Times New Roman" w:eastAsia="Times New Roman" w:hAnsi="Times New Roman"/>
          <w:sz w:val="20"/>
          <w:szCs w:val="20"/>
          <w:color w:val="auto"/>
        </w:rPr>
        <w:t xml:space="preserve">).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Building Direct Expenses set forth in the previous Estimate Statement delivered by Landlord to Tenant. Notwithstanding the foregoing in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Tenant shall not be required to pay any Direct Expenses otherwise due hereunder (excepting therefrom Tax Expenses arising from a change in ownership or new construction) if Landlord first notifies Tenant of such Direct Expenses in a statement received by Tenant more than eighteen (18) months after such expenses or taxes are incurred.</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b w:val="1"/>
          <w:bCs w:val="1"/>
          <w:u w:val="single" w:color="auto"/>
          <w:color w:val="auto"/>
        </w:rPr>
        <w:t>Taxes and Other Charges for Which Tenant Is Directly Responsible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4.5.1 Tenant shall be liable for and shall pay five (5)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18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4.5.2 If any specialized tenant improvements (as opposed to general utility office improvements) in the Premises, whether installed and/or paid for by Landlord or Tenant and whether or not affixed to the real property so as to become a part thereof, are assessed for real property tax purposes at a valuation higher than the valuation at which general utility office improvements in other Project Buildings are assessed, then the Tax Expenses levied against Landlord or the property by reason of such excess assessed valuation shall be deemed to be taxes levied against personal property of Tenant and shall be governed by the provisions of </w:t>
      </w:r>
      <w:r>
        <w:rPr>
          <w:rFonts w:ascii="Times New Roman" w:cs="Times New Roman" w:eastAsia="Times New Roman" w:hAnsi="Times New Roman"/>
          <w:sz w:val="20"/>
          <w:szCs w:val="20"/>
          <w:u w:val="single" w:color="auto"/>
          <w:color w:val="auto"/>
        </w:rPr>
        <w:t>Section 4.5.1</w:t>
      </w:r>
      <w:r>
        <w:rPr>
          <w:rFonts w:ascii="Times New Roman" w:cs="Times New Roman" w:eastAsia="Times New Roman" w:hAnsi="Times New Roman"/>
          <w:sz w:val="20"/>
          <w:szCs w:val="20"/>
          <w:color w:val="auto"/>
        </w:rPr>
        <w:t>, above.</w:t>
      </w:r>
    </w:p>
    <w:p>
      <w:pPr>
        <w:spacing w:after="0" w:line="185" w:lineRule="exact"/>
        <w:rPr>
          <w:sz w:val="20"/>
          <w:szCs w:val="20"/>
          <w:color w:val="auto"/>
        </w:rPr>
      </w:pPr>
    </w:p>
    <w:p>
      <w:pPr>
        <w:jc w:val="both"/>
        <w:ind w:right="20" w:firstLine="1497"/>
        <w:spacing w:after="0" w:line="250" w:lineRule="auto"/>
        <w:rPr>
          <w:sz w:val="20"/>
          <w:szCs w:val="20"/>
          <w:color w:val="auto"/>
        </w:rPr>
      </w:pPr>
      <w:r>
        <w:rPr>
          <w:rFonts w:ascii="Times New Roman" w:cs="Times New Roman" w:eastAsia="Times New Roman" w:hAnsi="Times New Roman"/>
          <w:sz w:val="20"/>
          <w:szCs w:val="20"/>
          <w:color w:val="auto"/>
        </w:rPr>
        <w:t>4.5.3 Notwithstanding any contrary provision herein, Tenant shall pay prior to delinquency any (i) rent tax or sales tax, service tax, transfer tax or value added tax, or any other applicable tax on the rent or services herein or otherwise respecting this Lease,</w:t>
      </w:r>
    </w:p>
    <w:p>
      <w:pPr>
        <w:spacing w:after="0" w:line="2" w:lineRule="exact"/>
        <w:rPr>
          <w:sz w:val="20"/>
          <w:szCs w:val="20"/>
          <w:color w:val="auto"/>
        </w:rPr>
      </w:pPr>
    </w:p>
    <w:p>
      <w:pPr>
        <w:jc w:val="both"/>
        <w:ind w:firstLine="8"/>
        <w:spacing w:after="0" w:line="241" w:lineRule="auto"/>
        <w:tabs>
          <w:tab w:leader="none" w:pos="29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assessed upon or with respect to the possession, leasing, operation, management, maintenance, alteration, repair, use or occupancy by Tenant of the Premises or any portion of the Project, including the Project parking facility; or (iii) taxes assessed upon this transaction or any document to which Tenant is a party creating or transferring an interest or an estate in the Premises, to the extent such amounts are not already payable as Building Direct Expenses.</w:t>
      </w:r>
    </w:p>
    <w:p>
      <w:pPr>
        <w:spacing w:after="0" w:line="184" w:lineRule="exact"/>
        <w:rPr>
          <w:sz w:val="20"/>
          <w:szCs w:val="20"/>
          <w:color w:val="auto"/>
        </w:rPr>
      </w:pPr>
    </w:p>
    <w:p>
      <w:pPr>
        <w:jc w:val="both"/>
        <w:ind w:left="100" w:firstLine="749"/>
        <w:spacing w:after="0" w:line="250"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b w:val="1"/>
          <w:bCs w:val="1"/>
          <w:u w:val="single" w:color="auto"/>
          <w:color w:val="auto"/>
        </w:rPr>
        <w:t>Audit Right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Within one hundred eighty (180) days after receiving any Statement (the “</w:t>
      </w:r>
      <w:r>
        <w:rPr>
          <w:rFonts w:ascii="Times New Roman" w:cs="Times New Roman" w:eastAsia="Times New Roman" w:hAnsi="Times New Roman"/>
          <w:sz w:val="20"/>
          <w:szCs w:val="20"/>
          <w:b w:val="1"/>
          <w:bCs w:val="1"/>
          <w:color w:val="auto"/>
        </w:rPr>
        <w:t>Review Notice Period</w:t>
      </w:r>
      <w:r>
        <w:rPr>
          <w:rFonts w:ascii="Times New Roman" w:cs="Times New Roman" w:eastAsia="Times New Roman" w:hAnsi="Times New Roman"/>
          <w:sz w:val="20"/>
          <w:szCs w:val="20"/>
          <w:color w:val="auto"/>
        </w:rPr>
        <w:t>”), Tenant may give Landlord written notice (“</w:t>
      </w:r>
      <w:r>
        <w:rPr>
          <w:rFonts w:ascii="Times New Roman" w:cs="Times New Roman" w:eastAsia="Times New Roman" w:hAnsi="Times New Roman"/>
          <w:sz w:val="20"/>
          <w:szCs w:val="20"/>
          <w:b w:val="1"/>
          <w:bCs w:val="1"/>
          <w:color w:val="auto"/>
        </w:rPr>
        <w:t>Review Notice</w:t>
      </w:r>
      <w:r>
        <w:rPr>
          <w:rFonts w:ascii="Times New Roman" w:cs="Times New Roman" w:eastAsia="Times New Roman" w:hAnsi="Times New Roman"/>
          <w:sz w:val="20"/>
          <w:szCs w:val="20"/>
          <w:color w:val="auto"/>
        </w:rPr>
        <w:t>”) stating that Tenant elects to review Landlord’s calculation of the Building Direct Expenses for the Expense Year to which such Statement applies and identifying, with reasonable specificity, the components (“</w:t>
      </w:r>
      <w:r>
        <w:rPr>
          <w:rFonts w:ascii="Times New Roman" w:cs="Times New Roman" w:eastAsia="Times New Roman" w:hAnsi="Times New Roman"/>
          <w:sz w:val="20"/>
          <w:szCs w:val="20"/>
          <w:b w:val="1"/>
          <w:bCs w:val="1"/>
          <w:color w:val="auto"/>
        </w:rPr>
        <w:t>Components</w:t>
      </w:r>
      <w:r>
        <w:rPr>
          <w:rFonts w:ascii="Times New Roman" w:cs="Times New Roman" w:eastAsia="Times New Roman" w:hAnsi="Times New Roman"/>
          <w:sz w:val="20"/>
          <w:szCs w:val="20"/>
          <w:color w:val="auto"/>
        </w:rPr>
        <w:t>”) of the Building Direct Expenses which Tenant wishes to review, the reasonable grounds Tenant has for</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9" w:name="page120"/>
    <w:bookmarkEnd w:id="119"/>
    <w:p>
      <w:pPr>
        <w:jc w:val="both"/>
        <w:spacing w:after="0"/>
        <w:rPr>
          <w:sz w:val="20"/>
          <w:szCs w:val="20"/>
          <w:color w:val="auto"/>
        </w:rPr>
      </w:pPr>
      <w:r>
        <w:rPr>
          <w:rFonts w:ascii="Times New Roman" w:cs="Times New Roman" w:eastAsia="Times New Roman" w:hAnsi="Times New Roman"/>
          <w:sz w:val="20"/>
          <w:szCs w:val="20"/>
          <w:color w:val="auto"/>
        </w:rPr>
        <w:t>believing that the Components are overstated or computed incorrectly, and the records of Landlord reasonably relating to the Components that Tenant desires to review. Within a reasonable time after receiving a timely Review Notice (and a confidentiality agreement as described below), Landlord shall deliver to Tenant, or make available for inspection at a location reasonably designated by Landlord, copies of such records. Landlord shall make all pertinent records available for inspection that are reasonably necessary for Tenant to conduct its review. Such books and records may not be removed from Landlord’s offices, but Tenant shall have the right to copy the same. Within sixty (60) days after such records are made available to Tenant (the “</w:t>
      </w:r>
      <w:r>
        <w:rPr>
          <w:rFonts w:ascii="Times New Roman" w:cs="Times New Roman" w:eastAsia="Times New Roman" w:hAnsi="Times New Roman"/>
          <w:sz w:val="20"/>
          <w:szCs w:val="20"/>
          <w:b w:val="1"/>
          <w:bCs w:val="1"/>
          <w:color w:val="auto"/>
        </w:rPr>
        <w:t>Objection Period</w:t>
      </w:r>
      <w:r>
        <w:rPr>
          <w:rFonts w:ascii="Times New Roman" w:cs="Times New Roman" w:eastAsia="Times New Roman" w:hAnsi="Times New Roman"/>
          <w:sz w:val="20"/>
          <w:szCs w:val="20"/>
          <w:color w:val="auto"/>
        </w:rPr>
        <w:t>”), Tenant may deliver to Landlord written notice (an “</w:t>
      </w:r>
      <w:r>
        <w:rPr>
          <w:rFonts w:ascii="Times New Roman" w:cs="Times New Roman" w:eastAsia="Times New Roman" w:hAnsi="Times New Roman"/>
          <w:sz w:val="20"/>
          <w:szCs w:val="20"/>
          <w:b w:val="1"/>
          <w:bCs w:val="1"/>
          <w:color w:val="auto"/>
        </w:rPr>
        <w:t>Objection Notice</w:t>
      </w:r>
      <w:r>
        <w:rPr>
          <w:rFonts w:ascii="Times New Roman" w:cs="Times New Roman" w:eastAsia="Times New Roman" w:hAnsi="Times New Roman"/>
          <w:sz w:val="20"/>
          <w:szCs w:val="20"/>
          <w:color w:val="auto"/>
        </w:rPr>
        <w:t>”) stating with reasonable specificity any objections to the amount of or inclusion of the Components in the Statement, in which event Landlord and Tenant shall work together in good faith to resolve Tenant’s objections. Tenant may not deliver more than one Review Notice or more than one Objection Notice with respect to any Expense Year used by Landlord for computing Building Direct Expenses. If Tenant fails to give Landlord a Review Notice before the expiration of the Review Notice Period or fails to give Landlord an Objection Notice before the expiration of the Objection Period, Tenant shall be deemed to have approved the Statement. If Tenant retains an agent to review Landlord’s records, such agent must be a reputable nationally or regionally recognized agent and its fees shall not be contingent, in whole or in part, upon the outcome of the review. Tenant shall be responsible for all costs of such review, except as expressly set forth below. The records and any related information obtained from Landlord shall be treated as confidential, and as applicable only to the Premises, by Tenant, its auditors, consultants, and any other parties reviewing the same on behalf of Tenant (collectively, “</w:t>
      </w:r>
      <w:r>
        <w:rPr>
          <w:rFonts w:ascii="Times New Roman" w:cs="Times New Roman" w:eastAsia="Times New Roman" w:hAnsi="Times New Roman"/>
          <w:sz w:val="20"/>
          <w:szCs w:val="20"/>
          <w:b w:val="1"/>
          <w:bCs w:val="1"/>
          <w:color w:val="auto"/>
        </w:rPr>
        <w:t>Tenant’s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Auditors</w:t>
      </w:r>
      <w:r>
        <w:rPr>
          <w:rFonts w:ascii="Times New Roman" w:cs="Times New Roman" w:eastAsia="Times New Roman" w:hAnsi="Times New Roman"/>
          <w:sz w:val="20"/>
          <w:szCs w:val="20"/>
          <w:color w:val="auto"/>
        </w:rPr>
        <w:t>”). Before making any records available for review, Landlord may require Tenant and Tenant’s Auditors to execute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commercially reasonable confidentiality agreement. Notwithstanding any contrary provision hereof, Tenant may not give any notice hereunder, examine Landlord’s records or dispute any Statement Tenant if Tenant is in Default under this Lease beyond the expiration of any applicable notice and cure periods. If, for any Expense Year used by Landlord for computing Building Direct Expenses, Landlord and Tenant determine that the sum of Tenant’s Share of the Components is less or more than the amount reported, Tenant shall receive a credit in the amount of its overpayment against Rent then or next due hereunder, or shall pay Landlord the amount of its underpayment with the Rent next due hereunder; provided, however, that if this Lease has expired or terminated and Tenant has vacated the Premises, Landlord shall pay Tenant the amount of Tenant’s overpayment (less any Rent due), or Tenant shall pay Landlord the amount of Tenant’s underpayment, within thirty (30) days after such determination. Further, in the event that such examination reveals that Tenant was over-charged by more than five percent (5%) of the actual amount of Tenant’s Share of Building Direct Expenses, then Landlord shall also promptly reimburse Tenant for the actual cost of performing the audit (but not to exceed $5,000.00). Tenant agrees that Tenant’s sole right to inspect Landlord’s books and records and to contest the amount of Building Direct Expenses payable by Tenant shall be as set forth in this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and Tenant waives any and all other rights to inspect such books and records and/or to contest the amount of Building Direct Expenses payable by Tenant. Notwithstanding anything to the contrary set forth above, Tenant’s audit rights under this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shall be conditioned upon Tenant having paid the total amounts billed by Landlord for Building Direct Expenses within the time stipulated in above for payment (including, without limitation, the contested amounts).</w:t>
      </w:r>
    </w:p>
    <w:p>
      <w:pPr>
        <w:spacing w:after="0" w:line="1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ARTICLE 5</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USE OF PREMISES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u w:val="single" w:color="auto"/>
          <w:color w:val="auto"/>
        </w:rPr>
        <w:t>Permitted Use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shall use the Premises solely for the Permitted Use set forth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the Summary and Tenant shall not use or permit the Premises to be used for any other purpose or purposes whatsoever without the prior written consent of Landlord, which may be withheld in Landlord’s reasonable discretion. Subject to the terms of this Lease and Rules and Regulations set forth in </w:t>
      </w:r>
      <w:r>
        <w:rPr>
          <w:rFonts w:ascii="Times New Roman" w:cs="Times New Roman" w:eastAsia="Times New Roman" w:hAnsi="Times New Roman"/>
          <w:sz w:val="20"/>
          <w:szCs w:val="20"/>
          <w:b w:val="1"/>
          <w:bCs w:val="1"/>
          <w:u w:val="single" w:color="auto"/>
          <w:color w:val="auto"/>
        </w:rPr>
        <w:t>Exhibit 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such security measures that Landlord may reasonably deem necessary or desirable for the</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13" w:right="339" w:bottom="1440" w:gutter="0" w:footer="0" w:header="0"/>
        </w:sectPr>
      </w:pPr>
    </w:p>
    <w:bookmarkStart w:id="120" w:name="page121"/>
    <w:bookmarkEnd w:id="120"/>
    <w:p>
      <w:pPr>
        <w:jc w:val="both"/>
        <w:spacing w:after="0" w:line="245" w:lineRule="auto"/>
        <w:rPr>
          <w:sz w:val="20"/>
          <w:szCs w:val="20"/>
          <w:color w:val="auto"/>
        </w:rPr>
      </w:pPr>
      <w:r>
        <w:rPr>
          <w:rFonts w:ascii="Times New Roman" w:cs="Times New Roman" w:eastAsia="Times New Roman" w:hAnsi="Times New Roman"/>
          <w:sz w:val="20"/>
          <w:szCs w:val="20"/>
          <w:color w:val="auto"/>
        </w:rPr>
        <w:t>safety and security of the Project, the Building or the Premises, and except to the extent the same may be impaired, limited or precluded by governmental or quasi-governmental orders, rules, regulations or restrictions, emergencies or damage or destruction or condemnation, Tenant shall have access to the Building and the Premises twenty-four (24) hours per day, seven (7) days per week, subject to full or partial closures which may be required from time to time for or due to actual or threatened emergency, governmental or quasi-governmental orders, rules, regulations or restrictions, damage or destruction or condemnation, or other events or circumstances which make it reasonably necessary to temporarily restrict or limit access.</w:t>
      </w:r>
    </w:p>
    <w:p>
      <w:pPr>
        <w:spacing w:after="0" w:line="180"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b w:val="1"/>
          <w:bCs w:val="1"/>
          <w:u w:val="single" w:color="auto"/>
          <w:color w:val="auto"/>
        </w:rPr>
        <w:t>Prohibited Uses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further covenants and agrees that Tenant shall not use, or suffer or permit any person or persons to use, the Premises or any part thereof for any use or purpose contrary to the provisions of the Rules and Regulations set forth in </w:t>
      </w:r>
      <w:r>
        <w:rPr>
          <w:rFonts w:ascii="Times New Roman" w:cs="Times New Roman" w:eastAsia="Times New Roman" w:hAnsi="Times New Roman"/>
          <w:sz w:val="20"/>
          <w:szCs w:val="20"/>
          <w:b w:val="1"/>
          <w:bCs w:val="1"/>
          <w:u w:val="single" w:color="auto"/>
          <w:color w:val="auto"/>
        </w:rPr>
        <w:t>Exhibit D</w:t>
      </w:r>
      <w:r>
        <w:rPr>
          <w:rFonts w:ascii="Times New Roman" w:cs="Times New Roman" w:eastAsia="Times New Roman" w:hAnsi="Times New Roman"/>
          <w:sz w:val="20"/>
          <w:szCs w:val="20"/>
          <w:color w:val="auto"/>
        </w:rPr>
        <w:t xml:space="preserve">, attached hereto, or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Other than customary quantities of normal office and janitorial supplies, and other materials reasonably required for the Permitted Use (including those described in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Tenant shall not use or store, or permit to be used or stored, in, on or about the Premises any hazardous materials or substances without the prior written consent of Landlord (which consent may be given or withheld in Landlord’s reasonable discretion). Any use of hazardous materials or substances by Tenant in, on or about the Premises permitted by Landlord shall be in compliance with all applicable laws, ordinances, governmental codes, rules and regulations. Landlord agrees that Tenant shall not be responsible or liable for any past, present or future hazardous materials or substances released or discharged in, on, under or about the Premises, Building or Project by any third parties (i.e. persons or entities other than Tenant or any of its agents, employees, affiliates, officers, directors, members, managers, partners, contractors, consultants, assignees, sublessees, licensees, invitees or other representatives). In no event shall occupancy density of the Premises or any portion thereof exceed that allowed by Applicable Laws. Tenant shall not do or permit anything to be done in or about the Premises which will in any way obstruct or interfere with the rights of other tenants, if any, or occupants of the Building, or injure them or use or allow the Premises to be used for any, unlawful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in existence affecting the Project or, to the extent they do not cause an Adverse Event, hereafter affecting the Project. To the actual knowledge of Landlord, without any duty of inquiry or investigation, except as disclosed in that certain Phase I Environmental Site Assessment report for The Quad, 2962-3062 Bunker Hill Lane and 3001-3005 Tasman Drive, Santa Clara, California 95054, dated August 24, 2024, prepared by Surrey Associates, a copy of which has been provided by Landlord to Tenant prior to Tenant’s execution of this Lease, or hazardous materials used by other Project occupants in accordance with applicable environmental laws, no hazardous material is present on the Project or the soil, surface water or groundwater thereof.</w:t>
      </w: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ARTICLE 6</w:t>
      </w:r>
    </w:p>
    <w:p>
      <w:pPr>
        <w:spacing w:after="0" w:line="2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u w:val="single" w:color="auto"/>
          <w:color w:val="auto"/>
        </w:rPr>
        <w:t>SERVICES AND UTILITIES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u w:val="single" w:color="auto"/>
          <w:color w:val="auto"/>
        </w:rPr>
        <w:t>Utility Services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shall pay during the Lease Term and prior to delinquency all charges for water, gas, light, heat, power, electricity, telephone or other communication service, janitorial service, trash pick-up, sewer and all other services supplied to Tenant or consumed by Tenant on the Premises and all taxes, levies, fees or surcharges therefore. Tenant shall arrange for janitorial service to be supplied to the Premises and shall contract for such janitorial service for the Premises in Tenant’s name</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13" w:right="339" w:bottom="1440" w:gutter="0" w:footer="0" w:header="0"/>
        </w:sectPr>
      </w:pPr>
    </w:p>
    <w:bookmarkStart w:id="121" w:name="page122"/>
    <w:bookmarkEnd w:id="121"/>
    <w:p>
      <w:pPr>
        <w:jc w:val="both"/>
        <w:ind w:left="100"/>
        <w:spacing w:after="0" w:line="243" w:lineRule="auto"/>
        <w:rPr>
          <w:sz w:val="20"/>
          <w:szCs w:val="20"/>
          <w:color w:val="auto"/>
        </w:rPr>
      </w:pPr>
      <w:r>
        <w:rPr>
          <w:rFonts w:ascii="Times New Roman" w:cs="Times New Roman" w:eastAsia="Times New Roman" w:hAnsi="Times New Roman"/>
          <w:sz w:val="20"/>
          <w:szCs w:val="20"/>
          <w:color w:val="auto"/>
        </w:rPr>
        <w:t xml:space="preserve">prior to the Lease Commencement Date. In the event that any of the utility services cannot be separately billed or metered to the Premises, or if any of the utility services are not separately metered or submetered to the Premises as of the Lease Commencement Date, the cost of such utility services so commonly metered shall be an Operating Expense and Tenant shall pay, as Additional Rent, Tenant’s Share of the Building of such cost to Landlord as provided in Article 4 above; provided, however, Landlord represents that all utilities to the Premises are separately metered. The lack or shortage of any services due to any cause whatsoever (except for a lack or shortage of utility services proximately caused by the negligence or willful misconduct Landlord or that of its agents or employees or Landlord's breach of this Lease and failure to cure such breach within the applicable cure period hereunder or as provided in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below) shall not affect any obligation of Tenant hereunder, and Tenant shall faithfully keep and observe all the terms, conditions and covenants of this Lease and pay all Rentals due hereunder, all without diminution, credit or deduction.</w:t>
      </w:r>
    </w:p>
    <w:p>
      <w:pPr>
        <w:spacing w:after="0" w:line="186"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6.1.1 During the Lease Term, as the same may be extended, Tenant shall have full control (but subject to the terms of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below) over the heating, ventilation and air conditioning system servicing the Premises. During the Lease Term, as the same may be extended, Tenant shall pay for all electrical charges and billings related to the operation of such heating, ventilation and air conditioning system servicing the Premises and shall not be required to pay any supplemental charge for after-hours HVAC.</w:t>
      </w:r>
    </w:p>
    <w:p>
      <w:pPr>
        <w:spacing w:after="0" w:line="18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6.1.2 Tenant shall cooperate fully with Landlord at all times and abide by all regulations and requirements that Landlord may reasonably prescribe for the proper functioning and protection of the heating, ventilation and air conditioning, electrical, mechanical and plumbing systems. Tenant acknowledges that, pursuant to any law or regulation regarding disclosure of energy efficiency data with respect to the Project, (“</w:t>
      </w:r>
      <w:r>
        <w:rPr>
          <w:rFonts w:ascii="Times New Roman" w:cs="Times New Roman" w:eastAsia="Times New Roman" w:hAnsi="Times New Roman"/>
          <w:sz w:val="19"/>
          <w:szCs w:val="19"/>
          <w:b w:val="1"/>
          <w:bCs w:val="1"/>
          <w:color w:val="auto"/>
        </w:rPr>
        <w:t>Energy Disclosure Requirements</w:t>
      </w:r>
      <w:r>
        <w:rPr>
          <w:rFonts w:ascii="Times New Roman" w:cs="Times New Roman" w:eastAsia="Times New Roman" w:hAnsi="Times New Roman"/>
          <w:sz w:val="19"/>
          <w:szCs w:val="19"/>
          <w:color w:val="auto"/>
        </w:rPr>
        <w:t>”), Landlord may be required in the future to disclose information concerning Tenant’s energy usage to certain third parties, including, without limitation, prospective purchasers, lenders and tenants of the Building (“</w:t>
      </w:r>
      <w:r>
        <w:rPr>
          <w:rFonts w:ascii="Times New Roman" w:cs="Times New Roman" w:eastAsia="Times New Roman" w:hAnsi="Times New Roman"/>
          <w:sz w:val="19"/>
          <w:szCs w:val="19"/>
          <w:b w:val="1"/>
          <w:bCs w:val="1"/>
          <w:color w:val="auto"/>
        </w:rPr>
        <w:t>Tenant Energy Use Disclosure</w:t>
      </w:r>
      <w:r>
        <w:rPr>
          <w:rFonts w:ascii="Times New Roman" w:cs="Times New Roman" w:eastAsia="Times New Roman" w:hAnsi="Times New Roman"/>
          <w:sz w:val="19"/>
          <w:szCs w:val="19"/>
          <w:color w:val="auto"/>
        </w:rPr>
        <w:t xml:space="preserve">”). Tenant shall cooperate with Landlord with respect to any Tenant Energy Use Disclosure. Without limiting the generality of the foregoing, Tenant shall, within ten (10) business days following request from Landlord, disclose to Landlord all non-confidential information reasonably requested by Landlord in connection with such Tenant Energy Use Disclosure, including, but not limited to, the amount of power or other utilities consumed within the Premises for which the meters for such utilities are in Tenant’s name, the number of employees working within the Premises, the operating hours for Tenant’s business in the Premises, and the type and number of equipment operated by Tenant in the Premises. Tenant acknowledges that this information shall be provided on a non-confidential basis and may be provided by Landlord exclusively to the applicable utility providers, the California Energy Commission (and other governmental entities having jurisdiction with respect to the Energy Disclosure Requirements), and any third parties to whom Landlord is required to make any Tenant Energy Use Disclosure. Tenant hereby (A) consents to all such Tenant Energy Use Disclosures, and (B) acknowledges that Landlord shall not be required to notify Tenant of any Tenant Energy Use Disclosure. Tenant agrees that none of the “Landlord Parties,” as that term is defined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below, shall be liable for, and Tenant hereby releases the Landlord Parties from, any and all loss, cost, damage, expense and liability relating to, arising out of and/or resulting from any Tenant Energy Use Disclosure. In addition, Tenant represents to Landlord that any and all information provided by Tenant to Landlord pursuant to this paragraph shall be, to the best of Tenant’s knowledge, true and correct in all material respects, Tenant acknowledges that Landlord shall be permitted to rely on such information, and Tenant shall indemnify, defend and hold harmless the Landlord Parties from and against all claims, demands, liabilities, damages, losses, costs and expenses, including, without limitation, reasonable attorneys’ fees, incurred in connection with or arising from any breach of the foregoing representation and/or Tenant’s failure to timely provide any information requested by Landlord pursuant to this paragraph. The terms of this paragraph shall survive the expiration or earlier termination of this Lease.</w:t>
      </w: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u w:val="single" w:color="auto"/>
          <w:color w:val="auto"/>
        </w:rPr>
        <w:t>Exceeding Electrical Capacity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Tenant’s use of electricity shall never exceed the capacity of the feeders to the Project or the risers or wiring installation.</w:t>
      </w:r>
    </w:p>
    <w:p>
      <w:pPr>
        <w:spacing w:after="0" w:line="15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b w:val="1"/>
          <w:bCs w:val="1"/>
          <w:u w:val="single" w:color="auto"/>
          <w:color w:val="auto"/>
        </w:rPr>
        <w:t>Interruption of Use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or replacements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Force Majeure; and such failures or delays or diminution shall never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shall not be deemed to modify Landlord’s obligations in the event of a casualty pursuant to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 xml:space="preserve">6.4 </w:t>
      </w:r>
      <w:r>
        <w:rPr>
          <w:rFonts w:ascii="Times New Roman" w:cs="Times New Roman" w:eastAsia="Times New Roman" w:hAnsi="Times New Roman"/>
          <w:sz w:val="19"/>
          <w:szCs w:val="19"/>
          <w:b w:val="1"/>
          <w:bCs w:val="1"/>
          <w:u w:val="single" w:color="auto"/>
          <w:color w:val="auto"/>
        </w:rPr>
        <w:t>Rent Abatement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The provisions of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above to the contrary notwithstanding, if Landlord (i) fails to perform the obligations required of Landlord under the terms of this Lease or (ii) interrupts utility service to the Premises, and either of the forgoing causes all or a portion of the Premises to be untenantable and unusable by Tenant (and Tenant stops using such portion of the Premises that is so rendered untenantable or unusable), and such event is not the result of or caused in whole or in part by the acts and/or omissions of Tenant and/or any of Tenant’s employees, agents, affiliates, officers, directors, partners, members, managers, contractors, consultants, licensees, sublessees or other representatives, Tenant shall give Landlord notice (the “</w:t>
      </w:r>
      <w:r>
        <w:rPr>
          <w:rFonts w:ascii="Times New Roman" w:cs="Times New Roman" w:eastAsia="Times New Roman" w:hAnsi="Times New Roman"/>
          <w:sz w:val="19"/>
          <w:szCs w:val="19"/>
          <w:b w:val="1"/>
          <w:bCs w:val="1"/>
          <w:color w:val="auto"/>
        </w:rPr>
        <w:t>Initial Notice</w:t>
      </w:r>
      <w:r>
        <w:rPr>
          <w:rFonts w:ascii="Times New Roman" w:cs="Times New Roman" w:eastAsia="Times New Roman" w:hAnsi="Times New Roman"/>
          <w:sz w:val="19"/>
          <w:szCs w:val="19"/>
          <w:color w:val="auto"/>
        </w:rPr>
        <w:t>”), specifying such event (the “</w:t>
      </w:r>
      <w:r>
        <w:rPr>
          <w:rFonts w:ascii="Times New Roman" w:cs="Times New Roman" w:eastAsia="Times New Roman" w:hAnsi="Times New Roman"/>
          <w:sz w:val="19"/>
          <w:szCs w:val="19"/>
          <w:b w:val="1"/>
          <w:bCs w:val="1"/>
          <w:color w:val="auto"/>
        </w:rPr>
        <w:t>Abatement Event</w:t>
      </w:r>
      <w:r>
        <w:rPr>
          <w:rFonts w:ascii="Times New Roman" w:cs="Times New Roman" w:eastAsia="Times New Roman" w:hAnsi="Times New Roman"/>
          <w:sz w:val="19"/>
          <w:szCs w:val="19"/>
          <w:color w:val="auto"/>
        </w:rPr>
        <w:t>”). If Landlord has not remedied such Abatement Event within five (5) business days after the receipt of the Initial Notice (the “</w:t>
      </w:r>
      <w:r>
        <w:rPr>
          <w:rFonts w:ascii="Times New Roman" w:cs="Times New Roman" w:eastAsia="Times New Roman" w:hAnsi="Times New Roman"/>
          <w:sz w:val="19"/>
          <w:szCs w:val="19"/>
          <w:b w:val="1"/>
          <w:bCs w:val="1"/>
          <w:color w:val="auto"/>
        </w:rPr>
        <w:t>Eligibility Period</w:t>
      </w:r>
      <w:r>
        <w:rPr>
          <w:rFonts w:ascii="Times New Roman" w:cs="Times New Roman" w:eastAsia="Times New Roman" w:hAnsi="Times New Roman"/>
          <w:sz w:val="19"/>
          <w:szCs w:val="19"/>
          <w:color w:val="auto"/>
        </w:rPr>
        <w:t>”), Tenant may deliver an additional notice to Landlord (the “</w:t>
      </w:r>
      <w:r>
        <w:rPr>
          <w:rFonts w:ascii="Times New Roman" w:cs="Times New Roman" w:eastAsia="Times New Roman" w:hAnsi="Times New Roman"/>
          <w:sz w:val="19"/>
          <w:szCs w:val="19"/>
          <w:b w:val="1"/>
          <w:bCs w:val="1"/>
          <w:color w:val="auto"/>
        </w:rPr>
        <w:t>Additional Notice</w:t>
      </w:r>
      <w:r>
        <w:rPr>
          <w:rFonts w:ascii="Times New Roman" w:cs="Times New Roman" w:eastAsia="Times New Roman" w:hAnsi="Times New Roman"/>
          <w:sz w:val="19"/>
          <w:szCs w:val="19"/>
          <w:color w:val="auto"/>
        </w:rPr>
        <w:t xml:space="preserve">”), specifying such Abatement Event and Tenant’s intention to abate the payment of Rent under this Lease. If Landlord does not remedy such Abatement Event within five (5) business days of receipt of the Additional Notice, Tenant may, upon written notice to Landlord, immediately proportionately abate Rent payable under this Lease for that portion of the Premises rendered untenantable and not used by Tenant, for the period beginning on the date five (5) business days after the Initial Notice to the earlier of the date Landlord remedies such Abatement Event or the date Tenant recommences the use of such portion of the Premises. In addition, if the Abatement Event continues for six (6) consecutive months or more after the Additional Notice, then Tenant shall have the right to terminate this Lease by written notice to Landlord given at any time after the expiration of the aforesaid six (6) month period (but prior to the cure of such Abatement Event), which termination notice shall specify a termination date that shall not be before the date of such notice or more than thirty (30) days after the date of such notice. Such right to proportionately abate Rent and/or terminate this Lease as expressly provided in this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xml:space="preserve"> shall not be deemed a waiver of any of Tenant’s rights or remedies with respect to any other breach of Landlord’s obligations pursuant to this Lease. Except as provided in this </w:t>
      </w:r>
      <w:r>
        <w:rPr>
          <w:rFonts w:ascii="Times New Roman" w:cs="Times New Roman" w:eastAsia="Times New Roman" w:hAnsi="Times New Roman"/>
          <w:sz w:val="19"/>
          <w:szCs w:val="19"/>
          <w:u w:val="single" w:color="auto"/>
          <w:color w:val="auto"/>
        </w:rPr>
        <w:t>Section 6.4</w:t>
      </w:r>
      <w:r>
        <w:rPr>
          <w:rFonts w:ascii="Times New Roman" w:cs="Times New Roman" w:eastAsia="Times New Roman" w:hAnsi="Times New Roman"/>
          <w:sz w:val="19"/>
          <w:szCs w:val="19"/>
          <w:color w:val="auto"/>
        </w:rPr>
        <w:t>, nothing contained herein shall be interpreted to mean that Tenant is excused from paying Rent due hereunder.</w:t>
      </w:r>
    </w:p>
    <w:p>
      <w:pPr>
        <w:spacing w:after="0" w:line="18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b w:val="1"/>
          <w:bCs w:val="1"/>
          <w:u w:val="single" w:color="auto"/>
          <w:color w:val="auto"/>
        </w:rPr>
        <w:t>Security Services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When and if so elected by Landlord, in its sole discretion from time to time or at any time, Landlord may also provide security services for the Project (but not individually for Tenant or the Premises) of such scope and type as Landlord may determine in its sole discretion. Landlord shall not be liable in any manner to Tenant or any other Tenant Parties for any acts (including criminal acts) of others, or for any direct, indirect, or consequential damages, or any injury or damage to, or interference with, Tenant's business, including, but not limited to, loss of profits, loss of rents or other revenues, loss of business opportunity, loss of goodwill or loss of use, or other loss or damage, bodily injury or death, related to any malfunction, circumvention or other failure of any security services which</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9" w:right="339" w:bottom="1440" w:gutter="0" w:footer="0" w:header="0"/>
        </w:sectPr>
      </w:pPr>
    </w:p>
    <w:bookmarkStart w:id="123" w:name="page124"/>
    <w:bookmarkEnd w:id="123"/>
    <w:p>
      <w:pPr>
        <w:jc w:val="both"/>
        <w:spacing w:after="0" w:line="254" w:lineRule="auto"/>
        <w:rPr>
          <w:sz w:val="20"/>
          <w:szCs w:val="20"/>
          <w:color w:val="auto"/>
        </w:rPr>
      </w:pPr>
      <w:r>
        <w:rPr>
          <w:rFonts w:ascii="Times New Roman" w:cs="Times New Roman" w:eastAsia="Times New Roman" w:hAnsi="Times New Roman"/>
          <w:sz w:val="20"/>
          <w:szCs w:val="20"/>
          <w:color w:val="auto"/>
        </w:rPr>
        <w:t>Landlord elects to provide, or on account of Landlord's election not to provide any security service or services, or for the failure of any security services to prevent bodily injury, death, or property damage, or loss, or to apprehend any person suspected of causing such injury, death, damage or loss.</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b w:val="1"/>
          <w:bCs w:val="1"/>
          <w:u w:val="single" w:color="auto"/>
          <w:color w:val="auto"/>
        </w:rPr>
        <w:t>Existing Generator</w:t>
      </w:r>
      <w:r>
        <w:rPr>
          <w:rFonts w:ascii="Times New Roman" w:cs="Times New Roman" w:eastAsia="Times New Roman" w:hAnsi="Times New Roman"/>
          <w:sz w:val="20"/>
          <w:szCs w:val="20"/>
          <w:color w:val="auto"/>
        </w:rPr>
        <w:t>. The parties hereto acknowledge that there is an existing generator located near the Building that serves the Building (the “Existing Generator”). During the Term of this Lease, as the same may be extended, Tenant shall have the exclusive right, at Tenant’s sole cost, to use such Existing Generator. Any and all costs incurred by Landlord in maintaining or repairing the Existing Generator shall be a Building Operating Expense, subject to the terms of Section 4.2.7 above.</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ARTICLE 7</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REPAIRS</w:t>
      </w:r>
    </w:p>
    <w:p>
      <w:pPr>
        <w:spacing w:after="0" w:line="21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u w:val="single" w:color="auto"/>
          <w:color w:val="auto"/>
        </w:rPr>
        <w:t>Tenant Repairs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Subject to Landlord’s obligations as set forth in this Lease, including in </w:t>
      </w:r>
      <w:r>
        <w:rPr>
          <w:rFonts w:ascii="Times New Roman" w:cs="Times New Roman" w:eastAsia="Times New Roman" w:hAnsi="Times New Roman"/>
          <w:sz w:val="20"/>
          <w:szCs w:val="20"/>
          <w:u w:val="single" w:color="auto"/>
          <w:color w:val="auto"/>
        </w:rPr>
        <w:t>Sections 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7.2</w:t>
      </w:r>
      <w:r>
        <w:rPr>
          <w:rFonts w:ascii="Times New Roman" w:cs="Times New Roman" w:eastAsia="Times New Roman" w:hAnsi="Times New Roman"/>
          <w:sz w:val="20"/>
          <w:szCs w:val="20"/>
          <w:color w:val="auto"/>
        </w:rPr>
        <w:t>, Tenant shall, at Tenant’s own expense, during the Lease Term, keep the entire Premises, and every part thereof, including all improvements, fixtures and furnishings therein (including without limitation, the electrical, plumbing and lighting systems within the Premises, doors, interior walls and partitions) and the floor or floors of the Building, in good order, repair and condition at all times during the Lease Term. Tenant also shall maintain continuously throughout the Lease Term, as the same may be extended, a service contract for the maintenance and repair of all heating, ventilation and air conditioning (“</w:t>
      </w:r>
      <w:r>
        <w:rPr>
          <w:rFonts w:ascii="Times New Roman" w:cs="Times New Roman" w:eastAsia="Times New Roman" w:hAnsi="Times New Roman"/>
          <w:sz w:val="20"/>
          <w:szCs w:val="20"/>
          <w:b w:val="1"/>
          <w:bCs w:val="1"/>
          <w:color w:val="auto"/>
        </w:rPr>
        <w:t>HVAC</w:t>
      </w:r>
      <w:r>
        <w:rPr>
          <w:rFonts w:ascii="Times New Roman" w:cs="Times New Roman" w:eastAsia="Times New Roman" w:hAnsi="Times New Roman"/>
          <w:sz w:val="20"/>
          <w:szCs w:val="20"/>
          <w:color w:val="auto"/>
        </w:rPr>
        <w:t xml:space="preserve">”) units and equipment, including the boiler on the roof of the Building, servicing the Premises with a licensed HVAC repair and maintenance contractor approved by Landlord, which contract provides for the periodic inspection, servicing and repair of the HVAC units and equipment at least once every ninety (90) days during the Lease Term, and Tenant shall provide Landlord with inspection reports no less than quarterly. Tenant shall furnish Landlord with copies of the HVAC service contract(s), which shall provide that they may not be canceled or changed without at least thirty (30) days’ prior written notice to Landlord. In the event that any HVAC unit(s) serving the Premises is required to be replaced during the Lease Term, as the same may be extended, then, provided Tenant has complied with the terms above concerning the inspection, servicing and repair of the HVAC units serving the Premises, Landlord shall replace such HVAC unit(s) required to be replaced at Landlord’s sole cost (and without any bill back or charge to Tenant, including as an Operating Expense). In the event that the boiler servicing the Premises is required to be replaced during the Lease Term, as the same may be extended, then, provided Tenant has complied with the terms above concerning the inspection, servicing and repair of the boiler servicing the Premises, Landlord shall replace the boiler required to be replaced at Landlord’s sole cost (and without any bill back or charge to Tenant, including as an Operating Expense). Tenant also shall be responsible for maintenance, repair and replacement of any supplemental heating, ventilation and air conditioning system or units installed, or caused to be installed, by Tenant to serve the Premises, or applicable part thereof. In addition, during the Lease Term, Tenant shall, at Tenant’s own expense, but under the supervision and subject to the prior approval of Landlord, and within any reasonable period of time specified by Landlord, promptly and adequately replace or repair all damaged, broken, or worn fixtures (including, without limitation, lamps, starters and ballasts for lighting fixtures within the Premises) and appurtenances, except for damage caused by ordinary wear and tear or beyond the reasonable control of Tenant and subject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provided however, that, at Landlord’s option, or if Tenant fails to make such repairs, Landlord may, but need not, make such repairs and replacements, and Tenant shall pay Landlord the cost thereof plus an administrative fee equal to five percent (5%) of the cost thereof to reimburse Landlord for all overhead, general conditions, fees and other costs or expenses arising from Landlord’s involvement with such repairs and replacements forthwith upon being billed for same.</w:t>
      </w:r>
    </w:p>
    <w:p>
      <w:pPr>
        <w:spacing w:after="0" w:line="20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u w:val="single" w:color="auto"/>
          <w:color w:val="auto"/>
        </w:rPr>
        <w:t>Landlord Repairs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shall be responsible for maintenance and repairs to the structural roof (and the roof membrane), structural and exterior walls (including painting thereof), exterior</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13" w:right="339" w:bottom="1440" w:gutter="0" w:footer="0" w:header="0"/>
        </w:sectPr>
      </w:pPr>
    </w:p>
    <w:bookmarkStart w:id="124" w:name="page125"/>
    <w:bookmarkEnd w:id="124"/>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windows, foundations of the Building, the public restrooms on the floor(s) on which the Premises is located to the extent Tenant is leasing less than the applicable floor, the elevators, and fire/life-safety system serving the Building and/or Premises and all underground or shared utilities and systems; and all Common Areas, the cost of which may be included as Operating Expenses pursuant to </w:t>
      </w:r>
      <w:r>
        <w:rPr>
          <w:rFonts w:ascii="Times New Roman" w:cs="Times New Roman" w:eastAsia="Times New Roman" w:hAnsi="Times New Roman"/>
          <w:sz w:val="20"/>
          <w:szCs w:val="20"/>
          <w:u w:val="single" w:color="auto"/>
          <w:color w:val="auto"/>
        </w:rPr>
        <w:t>Section 4.2.7</w:t>
      </w:r>
      <w:r>
        <w:rPr>
          <w:rFonts w:ascii="Times New Roman" w:cs="Times New Roman" w:eastAsia="Times New Roman" w:hAnsi="Times New Roman"/>
          <w:sz w:val="20"/>
          <w:szCs w:val="20"/>
          <w:color w:val="auto"/>
        </w:rPr>
        <w:t xml:space="preserve"> above, except to the extent that such repairs are required due to the negligence or willful misconduct of Tenant; provided, however, that if such repairs are due to the negligence or willful misconduct of Tenant, Landlord shall nevertheless make such repairs at Tenant’s expense, subject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or, if covered by Landlord’s insurance, Tenant shall only be obligated to pay the deductible in connection therewith (but in no event shall Tenant’s Share of such deductible exceed One Hundred Fifty Thousand and 00/100 Dollars ($150,000.00) per casualty). In addition, Landlord shall perform and construct, and Tenant shall have no responsibility to perform or construct, any repair, maintenance or improvements (a) necessitated by the acts or omissions of Landlord, or its agents, employees or contractors, or (b) for which Landlord has a right of reimbursement from others and receives such reimbursement (provided it shall use reasonable efforts to obtain such reimbursement). Subject to </w:t>
      </w:r>
      <w:r>
        <w:rPr>
          <w:rFonts w:ascii="Times New Roman" w:cs="Times New Roman" w:eastAsia="Times New Roman" w:hAnsi="Times New Roman"/>
          <w:sz w:val="20"/>
          <w:szCs w:val="20"/>
          <w:u w:val="single" w:color="auto"/>
          <w:color w:val="auto"/>
        </w:rPr>
        <w:t>Article 27</w:t>
      </w:r>
      <w:r>
        <w:rPr>
          <w:rFonts w:ascii="Times New Roman" w:cs="Times New Roman" w:eastAsia="Times New Roman" w:hAnsi="Times New Roman"/>
          <w:sz w:val="20"/>
          <w:szCs w:val="20"/>
          <w:color w:val="auto"/>
        </w:rPr>
        <w:t xml:space="preserve"> below, Landlord may, but shall not be required to, enter the Premises at all reasonable times upon notice to Tenant (with the opportunity for Tenant to be present) to make such repairs, alterations, improvements or additions to the Premises or to the Project or to any equipment located in the Project as Landlord shall desire or deem necessary or as Landlord may be required to do by governmental or quasi-governmental authority or court order or decree. Tenant hereby waives any and all rights under and benefits of subsection 1 of Section 1932 and Sections 1941 and 1942 of the California Civil Code or under any similar law, statute, or ordinance now or hereafter in effect.</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ARTICLE 8</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ADDITIONS AND ALTERATIONS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b w:val="1"/>
          <w:bCs w:val="1"/>
          <w:u w:val="single" w:color="auto"/>
          <w:color w:val="auto"/>
        </w:rPr>
        <w:t>Landlord’s Consent to Alterations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may not make any improvements, alterations, additions or changes to the Premises or any mechanical, plumbing or HVAC facilities or systems pertaining to the Premises (collectively, the “</w:t>
      </w:r>
      <w:r>
        <w:rPr>
          <w:rFonts w:ascii="Times New Roman" w:cs="Times New Roman" w:eastAsia="Times New Roman" w:hAnsi="Times New Roman"/>
          <w:sz w:val="20"/>
          <w:szCs w:val="20"/>
          <w:b w:val="1"/>
          <w:bCs w:val="1"/>
          <w:color w:val="auto"/>
        </w:rPr>
        <w:t>Alterations</w:t>
      </w:r>
      <w:r>
        <w:rPr>
          <w:rFonts w:ascii="Times New Roman" w:cs="Times New Roman" w:eastAsia="Times New Roman" w:hAnsi="Times New Roman"/>
          <w:sz w:val="20"/>
          <w:szCs w:val="20"/>
          <w:color w:val="auto"/>
        </w:rPr>
        <w:t xml:space="preserve">”) without first procuring the prior written consent of Landlord to such Alterations, which consent shall be requested by Tenant not less than five (5) business days prior to the commencement thereof, and which consent shall not be unreasonably withheld, conditioned or delayed by Landlord, provided it shall be deemed reasonable for Landlord to withhold its consent to any Alteration which materially adversely affects the structural portions or the systems or equipment of the Building or is visible from the exterior of the Building. Notwithstanding the foregoing, Tenant shall be permitted to make Alterations without Landlord’s prior consent (but not earlier than the giving of at least five (5) business days’ prior written notice to Landlord of intention to commence such Alterations), to the extent that such Alterations (i) are not visible from the exterior of the Premises or Building; (ii) will not affect the structural integrity of the Building or adversely affect any of the electrical, mechanical, plumbing, sewer, fire life safety or heating, ventilation or air conditioning systems; and (iii) does not cost more than One Hundred Thousand and 00/100 Dollars (per work of improvement) or is decorative only (e.g., painting or carpeting) (“Permitted Alterations”). Permitted Alterations shall be subject to all the other provisions of this Article 8. The construction of the Tenant Improvements to the Premises shall be governed by the terms of the Tenant Work Letter and not the terms of this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b w:val="1"/>
          <w:bCs w:val="1"/>
          <w:u w:val="single" w:color="auto"/>
          <w:color w:val="auto"/>
        </w:rPr>
        <w:t>Manner of Construction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may impose, as a condition of its consent to any and all Alterations (including, without limitation, Permitted Alterations if Tenant seeks Landlord’s consent to same) or repairs of the Premises or about the Premises, such requirements as Landlord in its reasonable discretion may deem desirable, including, but not limited to, the requirement that Tenant utilize for such purposes only contractors, subcontractors, materials, mechanics and materialmen reasonably approved by Landlord or selected by Tenant from a list provided and approved by Landlord (provided such contractors charge marketably comparable rates), the requirement that upon Landlord’s request as provided in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Tenant shall, at Tenant’s expense, remove such Alterations upon the expiration or any early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13" w:right="339" w:bottom="1440" w:gutter="0" w:footer="0" w:header="0"/>
        </w:sectPr>
      </w:pPr>
    </w:p>
    <w:bookmarkStart w:id="125" w:name="page126"/>
    <w:bookmarkEnd w:id="125"/>
    <w:p>
      <w:pPr>
        <w:jc w:val="both"/>
        <w:spacing w:after="0"/>
        <w:rPr>
          <w:sz w:val="20"/>
          <w:szCs w:val="20"/>
          <w:color w:val="auto"/>
        </w:rPr>
      </w:pPr>
      <w:r>
        <w:rPr>
          <w:rFonts w:ascii="Times New Roman" w:cs="Times New Roman" w:eastAsia="Times New Roman" w:hAnsi="Times New Roman"/>
          <w:sz w:val="20"/>
          <w:szCs w:val="20"/>
          <w:color w:val="auto"/>
        </w:rPr>
        <w:t xml:space="preserve">termination of the Lease Term; provided, however, subject to Landlord’s review and approval of plans and specifications for Alterations desired to be undertaken by or on behalf of Tenant, Tenant shall not be obligated to remove from the Premises any such Alterations approved by Landlord that are standard office improvements in nature. With respect to any Permitted Alterations for which Tenant does not obtain Landlord’s consent, Landlord also shall have the right to require Tenant, at Tenant’s sole cost, to remove such Permitted Alterations designated by Landlord for removal upon the expiration or earlier termination of this Lease Term (other than standard office improvements). Tenant shall construct such Alterations and perform such repairs in a good and workmanlike manner, in conformance with any and all applicable federal, state, county or municipal laws, rules and regulations and pursuant to a valid building permit, issued by the City of Sana Clara, all in conformance with Landlord’s reasonable and non-discriminatory construction rules and regulations; provided, however, that prior to commencing to construct any Alteration, Tenant shall meet with Landlord to discuss Landlord’s design parameters and code compliance issues. In the event Tenant performs any Alterations in the Premises consented to by Landlord which require or give rise to governmentally required changes to the Base Building (as defined below), then Landlord shall, at Tenant’s expense, make such changes to the Base Building. For purposes of this Lease, the term “Base Building” shall mean and include (i) the façade and structural portions of the Building; (ii) the public restrooms on the floor or floors on which the Premises is located if Tenant is not leasing such entire floor, (iii) the elevators and exit stairwells, (iv) all Building systems and equipment, including, without limitation, any mechanical (including HVAC but excluding any supplemental HVAC installed, or caused to be installed, by Tenant), electrical, plumbing or fire/life-safety system serving the Building and Premises (whether located inside or outside of the Premises). In performing the work of any such Alterations, Tenant shall have the work performed in such manner so as not to obstruct access to the Project or any portion thereof, by any other tenant of the Project, and so as not to obstruct the business of Landlord or other tenants in the Project. In addition to Tenant’s obligations under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this Lease, upon completion of any Alterations, Tenant agrees to cause a Notice of Completion to be recorded in the office of the Recorder of the County of Santa Clara in accordance with Section 8182 of the California Civil Code or any successor statute and furnish a copy thereof to Landlord upon recordation, and Tenant shall deliver to the Project construction manager (A) a reproducible print copy, and (B) an electronic CAD file, of the “as built” drawings of the Alterations as well as all permits, approvals and other documents issued by any governmental agency in connection with the Alterations.</w:t>
      </w:r>
    </w:p>
    <w:p>
      <w:pPr>
        <w:spacing w:after="0" w:line="20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b w:val="1"/>
          <w:bCs w:val="1"/>
          <w:u w:val="single" w:color="auto"/>
          <w:color w:val="auto"/>
        </w:rPr>
        <w:t>Payment for Improvements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payment is made directly to contractors, Tenant shall (i) comply with Landlord’s requirements for final lien releases and waivers in connection with Tenant’s payment for work to contractors, and (ii) sign Landlord’s commercially reasonable standard contractor’s rules and regulations, if any.</w:t>
      </w:r>
    </w:p>
    <w:p>
      <w:pPr>
        <w:spacing w:after="0" w:line="16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b w:val="1"/>
          <w:bCs w:val="1"/>
          <w:u w:val="single" w:color="auto"/>
          <w:color w:val="auto"/>
        </w:rPr>
        <w:t>Construction Insurance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addition to the requirements of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of this Lease, in the event that Tenant makes, or causes to be made, any Alterations, prior to the commencement of such Alterations, Tenant shall provide Landlord with evidence that Tenant carries “Builder’s All Risk” insurance in the amount of the full replacement value of the Alterations or a lower amount reasonably approved by Landlord (which shall in no event be less than the amount actually carried by Tenant) covering the construction of such Alterations, and such other insurance as Landlord may reasonably require, it being understood and agreed that all of such Alterations shall be insured by Tenant pursuant to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of this Lease immediately upon completion thereof. In addition, Tenant shall obtain and deliver to Landlord certificates of insurance and applicable endorsements from all Third Party Contractors (defined below) at least five (5) business days prior to the commencement of work in or about the Premises by any vendor or any other third-party contractor (each, a “</w:t>
      </w:r>
      <w:r>
        <w:rPr>
          <w:rFonts w:ascii="Times New Roman" w:cs="Times New Roman" w:eastAsia="Times New Roman" w:hAnsi="Times New Roman"/>
          <w:sz w:val="20"/>
          <w:szCs w:val="20"/>
          <w:b w:val="1"/>
          <w:bCs w:val="1"/>
          <w:color w:val="auto"/>
        </w:rPr>
        <w:t>Third Party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Contractor</w:t>
      </w:r>
      <w:r>
        <w:rPr>
          <w:rFonts w:ascii="Times New Roman" w:cs="Times New Roman" w:eastAsia="Times New Roman" w:hAnsi="Times New Roman"/>
          <w:sz w:val="20"/>
          <w:szCs w:val="20"/>
          <w:color w:val="auto"/>
        </w:rPr>
        <w:t>”). All such insurance shall (a) name Landlord, and any other party that Landlord so specifies, as an additional insured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such party’s liability policies (including, without limitation, with respect to premises operations and product-completed operations coverages) as required by </w:t>
      </w:r>
      <w:r>
        <w:rPr>
          <w:rFonts w:ascii="Times New Roman" w:cs="Times New Roman" w:eastAsia="Times New Roman" w:hAnsi="Times New Roman"/>
          <w:sz w:val="20"/>
          <w:szCs w:val="20"/>
          <w:u w:val="single" w:color="auto"/>
          <w:color w:val="auto"/>
        </w:rPr>
        <w:t>Section 10.3.1</w:t>
      </w:r>
      <w:r>
        <w:rPr>
          <w:rFonts w:ascii="Times New Roman" w:cs="Times New Roman" w:eastAsia="Times New Roman" w:hAnsi="Times New Roman"/>
          <w:sz w:val="20"/>
          <w:szCs w:val="20"/>
          <w:color w:val="auto"/>
        </w:rPr>
        <w:t xml:space="preserve"> below and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(b) provide a waiver of subrogation in favor of Landlord under each such Third Party Contractor’s commercial general liability</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13" w:right="339" w:bottom="1440" w:gutter="0" w:footer="0" w:header="0"/>
        </w:sectPr>
      </w:pPr>
    </w:p>
    <w:bookmarkStart w:id="126" w:name="page127"/>
    <w:bookmarkEnd w:id="126"/>
    <w:p>
      <w:pPr>
        <w:jc w:val="both"/>
        <w:ind w:left="100"/>
        <w:spacing w:after="0" w:line="260" w:lineRule="auto"/>
        <w:rPr>
          <w:sz w:val="20"/>
          <w:szCs w:val="20"/>
          <w:color w:val="auto"/>
        </w:rPr>
      </w:pPr>
      <w:r>
        <w:rPr>
          <w:rFonts w:ascii="Times New Roman" w:cs="Times New Roman" w:eastAsia="Times New Roman" w:hAnsi="Times New Roman"/>
          <w:sz w:val="19"/>
          <w:szCs w:val="19"/>
          <w:color w:val="auto"/>
        </w:rPr>
        <w:t>insurance, (c) be primary and any insurance carried by Landlord shall be excess and non-contributing, and (d) comply with Landlord’s minimum insurance requirements, with coverage amounts as reasonably required by Landlord, which shall in no event be less than the amount actually carried by any such Third Party Contractor. In addition, with respect to any work of improvement desired to be undertaken, or caused to be undertaken, by Tenant the cost of which will exceed Two Hundred Fifty Thousand and 00/100 Dollars ($250,000.00), Landlord may, in its reasonable discretion, require Tenant to obtain a lien and completion bond or some alternate form of security satisfactory to Landlord in an amount sufficient to ensure the lien free completion of such Alterations and naming Landlord as co-obligee.</w:t>
      </w:r>
    </w:p>
    <w:p>
      <w:pPr>
        <w:spacing w:after="0" w:line="169" w:lineRule="exact"/>
        <w:rPr>
          <w:sz w:val="20"/>
          <w:szCs w:val="20"/>
          <w:color w:val="auto"/>
        </w:rPr>
      </w:pPr>
    </w:p>
    <w:p>
      <w:pPr>
        <w:jc w:val="both"/>
        <w:ind w:left="100" w:firstLine="749"/>
        <w:spacing w:after="0" w:line="241"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b w:val="1"/>
          <w:bCs w:val="1"/>
          <w:u w:val="single" w:color="auto"/>
          <w:color w:val="auto"/>
        </w:rPr>
        <w:t>Landlord’s Property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All Alterations, improvements, and fixtures(other than trade fixtures) which may be installed in or about the Premises, from time to time, shall be at the sole cost of Tenant and shall be and become the property of Landlord, except that Tenant may remove any Alterations, improvements, fixtures and/or equipment which Tenant can substantiate to Landlord have not been paid for with any Tenant Improvement Allowance funds provided to Tenant by Landlord, provided Tenant repairs any damage to the Premises and Building caused by such removal and returns the affected portion of the Premises to the condition that existed before such installation. Furthermore, Landlord may, by written notice to Tenant at the time of Landlord’s consent to the Alterations, require Tenant, on or prior to the expiration or early termination of the Lease, at Tenant’s expense, to remove any Alterations or improvements (other than standard office improvements) and to repair any damage to the Premises and Building caused by such removal. If Landlord does not make such requests at the time of consent, Tenant shall not be required to remove such Alterations; provided, however, with respect to any Permitted Alterations for which Tenant does not obtain Landlord’s consent, Landlord also shall have the right to require Tenant, at Tenant’s sole cost, to remove such Permitted Alterations designated by Landlord for removal (excepting therefrom standard office improvements) upon the expiration or earlier termination of this Lease Term by delivering written notice thereof to Tenant promptly after Landlord receives actual written notice from Tenant of such Permitted Alterations (and such written notice includes an inquiry from Tenant as to whether Landlord will require such Permitted Alterations to be removed upon the expiration or earlier termination of this Lease). In no event shall Tenant be required to remove the Tenant Improvements constructed, or caused to be constructed, by Landlord pursuant to the terms of the Tenant Work Letter. If Tenant fails to complete such removal and/or to repair any damage caused by the removal of any Alterations or improvements in the Premises and return the affected portion of the Premises as required above, Landlord may do so and may charge the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w:t>
      </w:r>
    </w:p>
    <w:p>
      <w:pPr>
        <w:spacing w:after="0" w:line="1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0"/>
          <w:szCs w:val="20"/>
          <w:b w:val="1"/>
          <w:bCs w:val="1"/>
          <w:u w:val="single" w:color="auto"/>
          <w:color w:val="auto"/>
        </w:rPr>
        <w:t>Rooftop Rights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8.6.1 Tenant shall have the right, to lease space on the roof of the Building for the purpose of installing (in accordance with this Article 8 of the Lease), operating and maintaining certain equipment approved by Landlord (the “</w:t>
      </w:r>
      <w:r>
        <w:rPr>
          <w:rFonts w:ascii="Times New Roman" w:cs="Times New Roman" w:eastAsia="Times New Roman" w:hAnsi="Times New Roman"/>
          <w:sz w:val="20"/>
          <w:szCs w:val="20"/>
          <w:b w:val="1"/>
          <w:bCs w:val="1"/>
          <w:color w:val="auto"/>
        </w:rPr>
        <w:t>Rooftop Equipment</w:t>
      </w:r>
      <w:r>
        <w:rPr>
          <w:rFonts w:ascii="Times New Roman" w:cs="Times New Roman" w:eastAsia="Times New Roman" w:hAnsi="Times New Roman"/>
          <w:sz w:val="20"/>
          <w:szCs w:val="20"/>
          <w:color w:val="auto"/>
        </w:rPr>
        <w:t>”). The exact location of the space on the roof to be leased by Tenant (the “</w:t>
      </w:r>
      <w:r>
        <w:rPr>
          <w:rFonts w:ascii="Times New Roman" w:cs="Times New Roman" w:eastAsia="Times New Roman" w:hAnsi="Times New Roman"/>
          <w:sz w:val="20"/>
          <w:szCs w:val="20"/>
          <w:b w:val="1"/>
          <w:bCs w:val="1"/>
          <w:color w:val="auto"/>
        </w:rPr>
        <w:t>Roof Space</w:t>
      </w:r>
      <w:r>
        <w:rPr>
          <w:rFonts w:ascii="Times New Roman" w:cs="Times New Roman" w:eastAsia="Times New Roman" w:hAnsi="Times New Roman"/>
          <w:sz w:val="20"/>
          <w:szCs w:val="20"/>
          <w:color w:val="auto"/>
        </w:rPr>
        <w:t>”) shall be reasonably designated by Landlord. Landlord reserves the right, at Landlord's sole cost in a manner that will not unreasonably interfere with Tenant's use of the Premises, to relocate the Roof Space as reasonably necessary during the Term, as the same may be extended. Landlord’s designation shall take into account Tenant’s use of the Rooftop Equipment. Notwithstanding the foregoing, Tenant’s right to install the Rooftop Equipment shall be subject to the approval rights of Landlord and Landlord’s architect and/or engineer with respect to the plans and specifications of the Rooftop Equipment, the manner in which the Rooftop Equipment is attached to the roof of the Building and the manner in which any cables are run to and from the Rooftop Equipment. The precise specifications and a general description of the Rooftop Equipment along with all documents Landlord reasonably requires</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both"/>
        <w:spacing w:after="0" w:line="242" w:lineRule="auto"/>
        <w:rPr>
          <w:sz w:val="20"/>
          <w:szCs w:val="20"/>
          <w:color w:val="auto"/>
        </w:rPr>
      </w:pPr>
      <w:r>
        <w:rPr>
          <w:rFonts w:ascii="Times New Roman" w:cs="Times New Roman" w:eastAsia="Times New Roman" w:hAnsi="Times New Roman"/>
          <w:sz w:val="20"/>
          <w:szCs w:val="20"/>
          <w:color w:val="auto"/>
        </w:rPr>
        <w:t>to review related to the installation of the Rooftop Equipment (the “Plans and Specifications”) shall be submitted to Landlord for Landlord’s written approval no later than twenty (20) days before Tenant commences to install the Rooftop Equipment. Tenant shall be solely responsible for obtaining all necessary governmental and regulatory approvals with respect to the installation and use of the Rooftop Equipment and for the cost of installing, operating, maintaining and removing the Rooftop Equipment. Tenant shall notify Landlord upon completion of the installation of the Rooftop Equipment. If Landlord determines that the Rooftop Equipment does not comply with the approved Plans and Specifications, that the Building, or any portion thereof, has been damaged during installation of the Rooftop Equipment or that the installation was defective, Landlord shall notify Tenant of any noncompliance or detected problems and Tenant promptly shall cure the defects. If the Tenant fails to promptly cure the defects, Tenant shall pay to Landlord upon demand the cost, as reasonably determined by Landlord, of correcting any defects and repairing any damage to the Building caused by such installation. If at any time Landlord, in its reasonable discretion, deems it necessary, Tenant shall provide and install, at Tenant’s sole cost and expense, appropriate aesthetic screening, reasonably satisfactory to Landlord, for the Rooftop Equipment (the “Aesthetic Screening”).</w:t>
      </w:r>
    </w:p>
    <w:p>
      <w:pPr>
        <w:spacing w:after="0" w:line="19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8.6.2 Landlord agrees that Tenant, upon reasonable prior written notice to Landlord, shall have access to the roof of the Building and the Roof Space for the purpose of installing, maintaining, repairing and removing the Rooftop Equipment, the appurtenances and the Aesthetic Screening, if any, all of which shall be performed by Tenant or Tenant’s authorized representative or contractors, which shall be approved by Landlord, at Tenant’s sole cost and risk. Landlord shall have the right to have a representative of Landlord accompany Tenant or its authorized representatives or contractors when Tenant and/or its authorized representatives or contractors are on the roof of the Building or in the Roof Space.</w:t>
      </w:r>
    </w:p>
    <w:p>
      <w:pPr>
        <w:spacing w:after="0" w:line="18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8.6.3 It is further understood and agrees that the installation, maintenance, operation and removal of the Rooftop Equipment, the appurtenances and the Aesthetic Screening, if any, is not permitted to damage the Building or the roof thereof, or interfere with the use of the Building and roof by Landlord. Tenant agrees to be responsible, subject to the provisions of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below, for any damage caused to the roof or any other part of the Building, which may be caused by Tenant or any of its agents, employees, contractors, consultants or other representatives.</w:t>
      </w:r>
    </w:p>
    <w:p>
      <w:pPr>
        <w:spacing w:after="0" w:line="185"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8.6.4 Tenant shall, at its sole cost and expense, and at its sole risk, install, operate and maintain the Rooftop Equipment in a good and workmanlike manner, and in compliance with all Building, electric, communication, and safety codes, ordinances, standards, regulations and requirements, now in effect or hereafter promulgated, of the Federal Government, including, without limitation, the Federal Communications Commission (the “FCC”), the Federal Aviation Administration (“FAA”) or any successor agency of either the FCC or FAA having jurisdiction over radio or telecommunications, and of the state, city and county in which the Building is located. Under this Lease, the Landlord and its agents assume no responsibility for the licensing, operation and/or maintenance of Tenant’s Rooftop Equipment. If Tenant’s Rooftop Equipment needs to be energized, then the Rooftop Equipment shall be connected to the power supply of the Building in strict compliance with all applicable Building, electrical, fire and safety codes. Neither Landlord nor its agents shall be liable to Tenant for any stoppages or shortages of electrical power furnished to the Rooftop Equipment or the Roof Space because of any act, omission or requirement of the public utility serving the Building, or for any other cause beyond the reasonable control of Landlord, and Tenant shall not be entitled to any rental abatement for any such stoppage or shortage of electrical power. Neither Landlord nor its agents shall have any responsibility or liability for the conduct or safety of any of Tenant’s representatives, repair, maintenance and engineering personnel while in or on any part of the Building or the Roof Space.</w:t>
      </w:r>
    </w:p>
    <w:p>
      <w:pPr>
        <w:spacing w:after="0" w:line="197" w:lineRule="exact"/>
        <w:rPr>
          <w:sz w:val="20"/>
          <w:szCs w:val="20"/>
          <w:color w:val="auto"/>
        </w:rPr>
      </w:pPr>
    </w:p>
    <w:p>
      <w:pPr>
        <w:ind w:right="40" w:firstLine="1497"/>
        <w:spacing w:after="0" w:line="269" w:lineRule="auto"/>
        <w:rPr>
          <w:sz w:val="20"/>
          <w:szCs w:val="20"/>
          <w:color w:val="auto"/>
        </w:rPr>
      </w:pPr>
      <w:r>
        <w:rPr>
          <w:rFonts w:ascii="Times New Roman" w:cs="Times New Roman" w:eastAsia="Times New Roman" w:hAnsi="Times New Roman"/>
          <w:sz w:val="20"/>
          <w:szCs w:val="20"/>
          <w:color w:val="auto"/>
        </w:rPr>
        <w:t>8.6.5 The Rooftop Equipment, the appurtenances and the Aesthetic Screening, if any, shall remain the personal property of Tenant, and shall be removed by Tenant at its own expense at the</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jc w:val="both"/>
        <w:spacing w:after="0" w:line="245" w:lineRule="auto"/>
        <w:rPr>
          <w:sz w:val="20"/>
          <w:szCs w:val="20"/>
          <w:color w:val="auto"/>
        </w:rPr>
      </w:pPr>
      <w:r>
        <w:rPr>
          <w:rFonts w:ascii="Times New Roman" w:cs="Times New Roman" w:eastAsia="Times New Roman" w:hAnsi="Times New Roman"/>
          <w:sz w:val="20"/>
          <w:szCs w:val="20"/>
          <w:color w:val="auto"/>
        </w:rPr>
        <w:t>expiration or earlier termination of this Lease or Tenant’s right to possession hereunder. Tenant shall repair any damage caused by such removal, including the patching of any holes to match, as closely as possible, the color surrounding the area where the equipment and appurtenances were attached. Tenant agrees to maintain all of the Tenant’s equipment placed on or about the roof or in any other part of the Building in proper operating condition and maintain same in satisfactory condition as to appearance and safety in Landlord’s reasonable discretion. Tenant agrees that at all times during the Term, it will keep the roof of the Building and the Roof Space free of all trash or waste materials produced by Tenant or Tenant’s agents, employees or contractors.</w:t>
      </w:r>
    </w:p>
    <w:p>
      <w:pPr>
        <w:spacing w:after="0" w:line="184"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8.6.6 In light of the specialized nature of the Rooftop Equipment, Tenant shall be permitted to utilize the services of its choice for installation, operation, removal and repair of the Rooftop Equipment, the appurtenances and the Aesthetic Screening, if any, subject to the reasonable approval of Landlord. Notwithstanding the foregoing, Tenant must provide Landlord with prior written notice of any such installation, removal or repair and coordinate such work with Landlord in order to avoid voiding or otherwise adversely affecting any warranties granted to Landlord with respect to the roof. If necessary, Tenant, at its sole cost and expense, shall retain any contractor having a then existing warranty in effect on the roof to perform such work (to the extent that it involves the roof), or, at Tenant’s option, to perform such work in conjunction with Tenant’s contractor. In the event Landlord contemplates roof repairs that could affect Tenant’s Rooftop Equipment, or which may result in an interruption of any service provided by such Rooftop Equipment, Landlord shall formally notify Tenant at least 30 days in advance (except in cases of an emergency), prior to the commencement of such contemplated work in order to allow Tenant to make other arrangements for such service.</w:t>
      </w:r>
    </w:p>
    <w:p>
      <w:pPr>
        <w:spacing w:after="0" w:line="192"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8.6.7 Tenant agrees that the Rooftop Equipment shall be solely for the use and benefit of Tenant or its subtenants of the Premises. Tenant shall not use the Roof Space and/or Rooftop Equipment to provide communication services to another tenant, occupant or licensee of another building, or to facilitate the provision of communication services on behalf of another communication services provider to an unaffiliated tenant, occupant or licensee of the Building or any other building.</w:t>
      </w:r>
    </w:p>
    <w:p>
      <w:pPr>
        <w:spacing w:after="0" w:line="18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8.6.8 Tenant acknowledges that Landlord may at some time establish a commercially reasonable license agreement (the “License Agreement”) with respect to the use of roof space of the Building by Tenant. Tenant, upon request of Landlord, shall enter into such License Agreement with Landlord provided that such agreement does not materially alter the rights of Tenant hereunder with respect to the Roof Space.</w:t>
      </w:r>
    </w:p>
    <w:p>
      <w:pPr>
        <w:spacing w:after="0" w:line="18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8.6.9 Tenant specifically acknowledges and agrees that the terms and conditions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this Lease shall apply with full force and effect to the Roof Space and any other portions of the roof accessed or utilized by Tenant, its representatives, agents, employees, consultants and/or contractors. Tenant further acknowledges that Landlord shall not be obligated to maintain insurance covering the Rooftop Equipment or any appurtenances thereto.</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 xml:space="preserve">8.6.10. If Tenant defaults under any of the terms and conditions of this Section or the Lease, and Tenant fails to cure said default within the time allowed by </w:t>
      </w:r>
      <w:r>
        <w:rPr>
          <w:rFonts w:ascii="Times New Roman" w:cs="Times New Roman" w:eastAsia="Times New Roman" w:hAnsi="Times New Roman"/>
          <w:sz w:val="20"/>
          <w:szCs w:val="20"/>
          <w:u w:val="single" w:color="auto"/>
          <w:color w:val="auto"/>
        </w:rPr>
        <w:t>Section 19.1</w:t>
      </w:r>
      <w:r>
        <w:rPr>
          <w:rFonts w:ascii="Times New Roman" w:cs="Times New Roman" w:eastAsia="Times New Roman" w:hAnsi="Times New Roman"/>
          <w:sz w:val="20"/>
          <w:szCs w:val="20"/>
          <w:color w:val="auto"/>
        </w:rPr>
        <w:t xml:space="preserve"> of this Lease and applicable thereto, Landlord shall be permitted to exercise all remedies provided under the terms of the Lease, including removing the Rooftop Equipment, the appurtenances and the Aesthetic Screening, if any, and restoring the Building and the Roof Space to the condition that existed prior to the installation of the Rooftop Equipment, the appurtenances and the Aesthetic Screening, if any. If Landlord removes the Rooftop Equipment, the appurtenances and the Aesthetic Screening, if any, as a result of an uncured default, Tenant shall be liable for all costs and expenses Landlord incurs in removing the Rooftop Equipment, the appurtenances and the Aesthetic Screening, if any, and repairing any damage to the Building, the roof of</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p>
      <w:pPr>
        <w:jc w:val="both"/>
        <w:spacing w:after="0" w:line="269" w:lineRule="auto"/>
        <w:rPr>
          <w:sz w:val="20"/>
          <w:szCs w:val="20"/>
          <w:color w:val="auto"/>
        </w:rPr>
      </w:pPr>
      <w:r>
        <w:rPr>
          <w:rFonts w:ascii="Times New Roman" w:cs="Times New Roman" w:eastAsia="Times New Roman" w:hAnsi="Times New Roman"/>
          <w:sz w:val="20"/>
          <w:szCs w:val="20"/>
          <w:color w:val="auto"/>
        </w:rPr>
        <w:t>the Building and the Roof Space caused by the installation, operation, maintenance and/or removal of the Rooftop Equipment, the appurtenances, and the Aesthetic Screening, if any.</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8.7 </w:t>
      </w:r>
      <w:r>
        <w:rPr>
          <w:rFonts w:ascii="Times New Roman" w:cs="Times New Roman" w:eastAsia="Times New Roman" w:hAnsi="Times New Roman"/>
          <w:sz w:val="20"/>
          <w:szCs w:val="20"/>
          <w:u w:val="single" w:color="auto"/>
          <w:color w:val="auto"/>
        </w:rPr>
        <w:t>Tenant’s Right to Install HVAC Equipment on Ground Located on the West Side of the Building</w:t>
      </w:r>
      <w:r>
        <w:rPr>
          <w:rFonts w:ascii="Times New Roman" w:cs="Times New Roman" w:eastAsia="Times New Roman" w:hAnsi="Times New Roman"/>
          <w:sz w:val="20"/>
          <w:szCs w:val="20"/>
          <w:color w:val="auto"/>
        </w:rPr>
        <w:t>. Subject to the terms and conditions set forth below, Tenant shall have the right, during the Term of this Lease, as the same may be extended, at Tenant’s sole cost and expense, to install, maintain and repair certain HVAC equipment on the ground located on the west side of the Building in a location reasonably approved by Landlord (the “</w:t>
      </w:r>
      <w:r>
        <w:rPr>
          <w:rFonts w:ascii="Times New Roman" w:cs="Times New Roman" w:eastAsia="Times New Roman" w:hAnsi="Times New Roman"/>
          <w:sz w:val="20"/>
          <w:szCs w:val="20"/>
          <w:b w:val="1"/>
          <w:bCs w:val="1"/>
          <w:color w:val="auto"/>
        </w:rPr>
        <w:t>HVAC Surface Area</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8.7.1 Tenant shall be solely responsible for obtaining all necessary governmental and regulatory approvals with respect to the installation and use of the HVAC equipment to be situated within the HVAC Surface Area and for the cost of installing, operating, maintaining and removing such HVAC equipment. Tenant shall provide and install, at Tenant’s sole cost and expense, appropriate aesthetic screening, reasonably satisfactory to Landlord, for the HVAC equipment to be located within or located within the HVAC Surface Area.</w:t>
      </w:r>
    </w:p>
    <w:p>
      <w:pPr>
        <w:spacing w:after="0" w:line="200" w:lineRule="exact"/>
        <w:rPr>
          <w:sz w:val="20"/>
          <w:szCs w:val="20"/>
          <w:color w:val="auto"/>
        </w:rPr>
      </w:pPr>
    </w:p>
    <w:p>
      <w:pPr>
        <w:spacing w:after="0" w:line="217"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8.7.2 Tenant shall, at its sole cost and expense, and at its sole risk, install, operate and maintain the HVAC equipment referred to in this Section 8.7 in a good and workmanlike manner, and in compliance with all Applicable Laws. Under this Lease, the Landlord and its agents assume no responsibility for the operation, maintenance or repair of such HVAC equipment. Neither Landlord nor its agents shall be liable to Tenant for any stoppages or shortages of electrical power furnished to such HVAC equipment referred to in this Section 8.7 because of any act, omission or requirement of the public utility serving the Building, or for any other cause beyond the reasonable control of Landlord, and Tenant shall not be entitled to any rental abatement for any such stoppage or shortage of electrical power. Neither Landlord nor its agents shall have any responsibility or liability for the conduct or safety of any of Tenant’s representatives, repair, maintenance and engineering personnel while in or on any part of the HVAC Surface Area.</w:t>
      </w:r>
    </w:p>
    <w:p>
      <w:pPr>
        <w:spacing w:after="0" w:line="18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0"/>
          <w:szCs w:val="20"/>
          <w:color w:val="auto"/>
        </w:rPr>
        <w:t>8.7.3 The HVAC equipment to be installed in the HVAC Surface Area, the appurtenances and the aesthetic screening of such HVAC equipment, shall remain the personal property of Tenant, and shall be removed by Tenant at its own expense at the expiration or earlier termination of this Lease or Tenant’s right to possession hereunder. Tenant shall repair any damage caused by such removal. Tenant agrees to maintain all of the HVAC equipment referred to in this Section 8.7 that is placed in the HVAC Surface Area in proper operating condition and maintain same in satisfactory condition as to appearance and safety in Landlord’s reasonable discretion. Tenant agrees that at all times during the Term, it will keep the HVAC Surface Area free of all trash or waste materials produced by Tenant or Tenant’s agents, employees or contractors.</w:t>
      </w:r>
    </w:p>
    <w:p>
      <w:pPr>
        <w:spacing w:after="0" w:line="186"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8.7.4 Tenant acknowledges that Landlord may at some time establish a commercially reasonable license agreement (the “HVAC Surface Area License Agreement”) with respect to the use of the HVAC Surface Area by Tenant. Tenant, upon request of Landlord, shall enter into such HVAC Surface Area License Agreement with Landlord provided that such agreement does not materially alter the rights of Tenant hereunder with respect to the use of the HVAC Surface Area.</w:t>
      </w:r>
    </w:p>
    <w:p>
      <w:pPr>
        <w:spacing w:after="0" w:line="18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 xml:space="preserve">8.7.5 Tenant specifically acknowledges and agrees that the terms and conditions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this Lease shall apply with full force and effect to the HVAC Surface Area accessed or utilized by Tenant, its representatives, agents, employees, consultants and/or contractors. Tenant further acknowledges that Landlord shall not be obligated to maintain insurance covering the HVAC equipment installed in the HVAC Surface Area or any appurtenances thereto.</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8.7.6 If Tenant defaults under any of the terms and conditions of this Section 8.7 or the Lease (and Tenant fails to cure said default within the time allowed by </w:t>
      </w:r>
      <w:r>
        <w:rPr>
          <w:rFonts w:ascii="Times New Roman" w:cs="Times New Roman" w:eastAsia="Times New Roman" w:hAnsi="Times New Roman"/>
          <w:sz w:val="20"/>
          <w:szCs w:val="20"/>
          <w:u w:val="single" w:color="auto"/>
          <w:color w:val="auto"/>
        </w:rPr>
        <w:t>Section 19.1</w:t>
      </w:r>
      <w:r>
        <w:rPr>
          <w:rFonts w:ascii="Times New Roman" w:cs="Times New Roman" w:eastAsia="Times New Roman" w:hAnsi="Times New Roman"/>
          <w:sz w:val="20"/>
          <w:szCs w:val="20"/>
          <w:color w:val="auto"/>
        </w:rPr>
        <w:t xml:space="preserve"> of this Lease) and, as a result of such uncured default, Landlord exercises its right to terminate this Lease, then, Landlord shall have the right to remove the HVAC equipment installed in the HVAC Surface Area, the appurtenances thereto and the aesthetic screening of the same, if any, and restore the HVAC Surface Area to the condition that existed prior to the installation of the HVAC equipment in the HVAC Surface Area, the appurtenances thereto and the aesthetic screening of the same, if any. If Landlord so removes any of such HVAC equipment, the appurtenances and/or aesthetic screening, if any, as a result of such an uncured default, Tenant shall be liable for all costs and expenses Landlord incurs in removing the same, and repairing any damage to the Building and/or HVAC Surface Area caused by the installation, operation, maintenance and/or removal of the HVAC equipment, the appurtenances, and/or the aesthetic screening, if 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COVENANT AGAINST LIENS</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Tenant shall keep the Project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five (5) business days prior to the commencement of any such work on the Premises (or such additional time as may be necessary under applicable laws) to afford Landlord the opportunity of posting and recording appropriate notices of non-responsibility. Tenant shall remove any such lien or encumbrance by bond or otherwise within fifteen (15) business days after notice by Landlord, and if Tenant shall fail to do so, Landlord may pay the amount necessary to remove such lien or encumbrance, without being responsible for investigating the validity thereof. The amount so paid shall be deemed Additional Rent under this Lease payable upon demand, without limitation as to other remedies available to Landlord under this Lease. Nothing contained in this Lease shall authorize Tenant to engage in any act which shall subject Landlord’s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 and Premises.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INDEMNIFICATION; INSURANCE</w:t>
      </w:r>
    </w:p>
    <w:p>
      <w:pPr>
        <w:spacing w:after="0" w:line="216" w:lineRule="exact"/>
        <w:rPr>
          <w:sz w:val="20"/>
          <w:szCs w:val="20"/>
          <w:color w:val="auto"/>
        </w:rPr>
      </w:pPr>
    </w:p>
    <w:p>
      <w:pPr>
        <w:jc w:val="both"/>
        <w:ind w:left="100" w:firstLine="749"/>
        <w:spacing w:after="0" w:line="243"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b w:val="1"/>
          <w:bCs w:val="1"/>
          <w:u w:val="single" w:color="auto"/>
          <w:color w:val="auto"/>
        </w:rPr>
        <w:t>Indemnification and Waiver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hereby assumes all risk of damage to property or injury to persons in, upon or about the Premises from any cause whatsoever (including, but not limited to, any personal injuries resulting from a slip and fall in, upon or about the Premises) except to the extent arising from the negligence or willful misconduct of Landlord or Landlord Parties (as defined below) or Landlord's violation of this Lease. Tenant agrees that Landlord, its subsidiaries, affiliates, partners, subpartners, members and their respective officers, directors, shareholders, partners, agents, servants, and employees (collectively, “</w:t>
      </w:r>
      <w:r>
        <w:rPr>
          <w:rFonts w:ascii="Times New Roman" w:cs="Times New Roman" w:eastAsia="Times New Roman" w:hAnsi="Times New Roman"/>
          <w:sz w:val="20"/>
          <w:szCs w:val="20"/>
          <w:b w:val="1"/>
          <w:bCs w:val="1"/>
          <w:color w:val="auto"/>
        </w:rPr>
        <w:t>Landlord Parties</w:t>
      </w:r>
      <w:r>
        <w:rPr>
          <w:rFonts w:ascii="Times New Roman" w:cs="Times New Roman" w:eastAsia="Times New Roman" w:hAnsi="Times New Roman"/>
          <w:sz w:val="20"/>
          <w:szCs w:val="20"/>
          <w:color w:val="auto"/>
        </w:rPr>
        <w:t>”) shall not be liable for, and are hereby released from any responsibility for, any such damage either to person or property or resulting from the loss of use thereof, which damage is sustained by Tenant or by other persons claiming through Tenant. Tenant shall indemnify, defend, protect, and hold harmless the Landlord Parties from any and all losses, claims, costs, damages, actions, causes of action, liabilities, penalties, damages, expenses and costs (including without limitation court costs and reasonable attorneys’ fees) (collectively,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incurred in connection with or arising</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jc w:val="both"/>
        <w:ind w:left="100"/>
        <w:spacing w:after="0" w:line="243" w:lineRule="auto"/>
        <w:rPr>
          <w:sz w:val="20"/>
          <w:szCs w:val="20"/>
          <w:color w:val="auto"/>
        </w:rPr>
      </w:pPr>
      <w:r>
        <w:rPr>
          <w:rFonts w:ascii="Times New Roman" w:cs="Times New Roman" w:eastAsia="Times New Roman" w:hAnsi="Times New Roman"/>
          <w:sz w:val="20"/>
          <w:szCs w:val="20"/>
          <w:color w:val="auto"/>
        </w:rPr>
        <w:t>from (i) any cause in or on the Premises, (ii) any willful misconduct or negligence of Tenant or of any person claiming by, through or under Tenant, or of the contractors, agents, servants, employees, invitees, guests or licensees of Tenant or any such person (collectively,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in, on or about the Project, or (iii) any breach of the terms of this Lease by Tenant, either prior to, during, or after the expiration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Lease Term, provided that the terms of the foregoing indemnity, defense and hold harmless obligations of Tenant shall not apply to the negligence or willful misconduct of Landlord or the Landlord Parties or Landlord's violation of this Lease. Should Landlord be named as a defendant in any suit brought against Tenant in connection with or arising out of Tenant’s occupancy of the Premises for which Tenant is obligated to indemnify Landlord pursuant to the preceding sentence, Landlord shall so notify Tenant and Tenant shall defend Landlord with counsel reasonably acceptable to Landlord and shall be responsible for the costs of such suit, including without limitation, actual professional fees such as reasonable appraisers’, accountants’ and attorneys’ fees.</w:t>
      </w:r>
    </w:p>
    <w:p>
      <w:pPr>
        <w:spacing w:after="0" w:line="18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shall survive the expiration or sooner termination of this Lease with respect to any claims or liability arising in connection with any event occurring prior to such expiration or termination.</w:t>
      </w:r>
    </w:p>
    <w:p>
      <w:pPr>
        <w:spacing w:after="0" w:line="155"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b w:val="1"/>
          <w:bCs w:val="1"/>
          <w:u w:val="single" w:color="auto"/>
          <w:color w:val="auto"/>
        </w:rPr>
        <w:t>Tenant’s Compliance With Landlord’s Fire and Casualty Insurance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shall, at Tenant’s expense, comply with all insurance company requirements pertaining to the use of the Premises during the Lease Term (and during the period from the Delivery Date to the Commencement Date of this Lease) provided that Landlord has given prior written notice of such requirements to Tenant. If Tenant’s conduct or use of the Premises for a use other than as general office space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 provided however, that in the event any Alterations or improvements to the Premises are necessary, same shall be subject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below.</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b w:val="1"/>
          <w:bCs w:val="1"/>
          <w:u w:val="single" w:color="auto"/>
          <w:color w:val="auto"/>
        </w:rPr>
        <w:t>Tenant’s Insurance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shall maintain the following coverages in the following amounts.</w:t>
      </w:r>
    </w:p>
    <w:p>
      <w:pPr>
        <w:spacing w:after="0" w:line="22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10.3.1 Commercial General Liability Insurance on an occurrence form covering the insured against claims of bodily injury, personal injury (including death of a person or persons) and property damage (including loss of use thereof) arising out of Tenant’s operations, Tenant’s use or occupancy of the Premises, or (without implying any consent by Landlord for installation thereof) the installation, operation, maintenance, repair or removal of Tenant’s off-Premises equipment, for limits of liability not less than that actually carried by Tenant, which shall be no less than:</w:t>
      </w:r>
    </w:p>
    <w:p>
      <w:pPr>
        <w:sectPr>
          <w:pgSz w:w="11900" w:h="16838" w:orient="portrait"/>
          <w:cols w:equalWidth="0" w:num="1">
            <w:col w:w="11240"/>
          </w:cols>
          <w:pgMar w:left="320" w:top="1413" w:right="339" w:bottom="1440" w:gutter="0" w:footer="0" w:header="0"/>
        </w:sectPr>
      </w:pPr>
    </w:p>
    <w:p>
      <w:pPr>
        <w:spacing w:after="0" w:line="185" w:lineRule="exact"/>
        <w:rPr>
          <w:sz w:val="20"/>
          <w:szCs w:val="20"/>
          <w:color w:val="auto"/>
        </w:rPr>
      </w:pPr>
    </w:p>
    <w:p>
      <w:pPr>
        <w:ind w:left="880" w:right="500"/>
        <w:spacing w:after="0" w:line="295" w:lineRule="auto"/>
        <w:rPr>
          <w:sz w:val="20"/>
          <w:szCs w:val="20"/>
          <w:color w:val="auto"/>
        </w:rPr>
      </w:pPr>
      <w:r>
        <w:rPr>
          <w:rFonts w:ascii="Times New Roman" w:cs="Times New Roman" w:eastAsia="Times New Roman" w:hAnsi="Times New Roman"/>
          <w:sz w:val="19"/>
          <w:szCs w:val="19"/>
          <w:color w:val="auto"/>
        </w:rPr>
        <w:t>Bodily Injury and Property Damage Liability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$1,000,000 each occurrence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$2,000,000 annual aggregate</w:t>
      </w:r>
    </w:p>
    <w:p>
      <w:pPr>
        <w:spacing w:after="0" w:line="205" w:lineRule="exact"/>
        <w:rPr>
          <w:sz w:val="20"/>
          <w:szCs w:val="20"/>
          <w:color w:val="auto"/>
        </w:rPr>
      </w:pPr>
    </w:p>
    <w:p>
      <w:pPr>
        <w:sectPr>
          <w:pgSz w:w="11900" w:h="16838" w:orient="portrait"/>
          <w:cols w:equalWidth="0" w:num="2">
            <w:col w:w="3500" w:space="720"/>
            <w:col w:w="7020"/>
          </w:cols>
          <w:pgMar w:left="320" w:top="1413"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9"/>
          <w:szCs w:val="19"/>
          <w:color w:val="auto"/>
        </w:rPr>
        <w:t>Personal Injury 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$1,000,000 each occurrence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$2,000,000 annual aggregate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 Insured’s participation</w:t>
      </w:r>
    </w:p>
    <w:p>
      <w:pPr>
        <w:spacing w:after="0" w:line="194" w:lineRule="exact"/>
        <w:rPr>
          <w:sz w:val="20"/>
          <w:szCs w:val="20"/>
          <w:color w:val="auto"/>
        </w:rPr>
      </w:pPr>
    </w:p>
    <w:p>
      <w:pPr>
        <w:sectPr>
          <w:pgSz w:w="11900" w:h="16838" w:orient="portrait"/>
          <w:cols w:equalWidth="0" w:num="2">
            <w:col w:w="3500" w:space="720"/>
            <w:col w:w="7020"/>
          </w:cols>
          <w:pgMar w:left="320" w:top="1413" w:right="339" w:bottom="1440" w:gutter="0" w:footer="0" w:header="0"/>
          <w:type w:val="continuous"/>
        </w:sectPr>
      </w:pPr>
    </w:p>
    <w:p>
      <w:pPr>
        <w:ind w:right="20" w:firstLine="1497"/>
        <w:spacing w:after="0" w:line="269" w:lineRule="auto"/>
        <w:rPr>
          <w:sz w:val="20"/>
          <w:szCs w:val="20"/>
          <w:color w:val="auto"/>
        </w:rPr>
      </w:pPr>
      <w:r>
        <w:rPr>
          <w:rFonts w:ascii="Times New Roman" w:cs="Times New Roman" w:eastAsia="Times New Roman" w:hAnsi="Times New Roman"/>
          <w:sz w:val="20"/>
          <w:szCs w:val="20"/>
          <w:color w:val="auto"/>
        </w:rPr>
        <w:t>Tenant’s commercial general liability insurance policy described above shall also provide for an additional $5,000,000 per occurrence and $5,000,000 annual aggregate in umbrella/excess liability coverage.</w:t>
      </w:r>
    </w:p>
    <w:p>
      <w:pPr>
        <w:spacing w:after="0" w:line="159" w:lineRule="exact"/>
        <w:rPr>
          <w:sz w:val="20"/>
          <w:szCs w:val="20"/>
          <w:color w:val="auto"/>
        </w:rPr>
      </w:pPr>
    </w:p>
    <w:p>
      <w:pPr>
        <w:ind w:firstLine="1497"/>
        <w:spacing w:after="0" w:line="269" w:lineRule="auto"/>
        <w:rPr>
          <w:sz w:val="20"/>
          <w:szCs w:val="20"/>
          <w:color w:val="auto"/>
        </w:rPr>
      </w:pPr>
      <w:r>
        <w:rPr>
          <w:rFonts w:ascii="Times New Roman" w:cs="Times New Roman" w:eastAsia="Times New Roman" w:hAnsi="Times New Roman"/>
          <w:sz w:val="20"/>
          <w:szCs w:val="20"/>
          <w:color w:val="auto"/>
        </w:rPr>
        <w:t>If the use and occupancy of the Premises include any activity or matter that is or may be excluded from coverage under a commercial general liability policy (e.g., the sale, service or consumption</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32" w:name="page133"/>
    <w:bookmarkEnd w:id="132"/>
    <w:p>
      <w:pPr>
        <w:jc w:val="both"/>
        <w:spacing w:after="0" w:line="254" w:lineRule="auto"/>
        <w:rPr>
          <w:sz w:val="20"/>
          <w:szCs w:val="20"/>
          <w:color w:val="auto"/>
        </w:rPr>
      </w:pPr>
      <w:r>
        <w:rPr>
          <w:rFonts w:ascii="Times New Roman" w:cs="Times New Roman" w:eastAsia="Times New Roman" w:hAnsi="Times New Roman"/>
          <w:sz w:val="20"/>
          <w:szCs w:val="20"/>
          <w:color w:val="auto"/>
        </w:rPr>
        <w:t>of alcoholic beverages), Tenant shall obtain such endorsements to the commercial general liability policy or otherwise obtain insurance to insure all liability arising from such activity or matter (including liquor liability, if applicable) in such amounts as Landlord may reasonably require.</w:t>
      </w:r>
    </w:p>
    <w:p>
      <w:pPr>
        <w:spacing w:after="0" w:line="174"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9"/>
          <w:szCs w:val="19"/>
          <w:color w:val="auto"/>
        </w:rPr>
        <w:t xml:space="preserve">10.3.2 Physical Damage Insurance covering (i) all office furniture, business and trade fixtures, office equipment, free-standing cabinet work, movable partitions, workstations, merchandise and all other items of personal property (including the property of Tenant or others) in the Premises or otherwise placed or installed in the Project by, for, or at the expense of Tenant or any of the Tenant Parties (including Tenant’s off-Premises equipment), and (ii) all improvements, alterations (including, without limitation, Alterations as defined in </w:t>
      </w:r>
      <w:r>
        <w:rPr>
          <w:rFonts w:ascii="Times New Roman" w:cs="Times New Roman" w:eastAsia="Times New Roman" w:hAnsi="Times New Roman"/>
          <w:sz w:val="19"/>
          <w:szCs w:val="19"/>
          <w:u w:val="single" w:color="auto"/>
          <w:color w:val="auto"/>
        </w:rPr>
        <w:t>Article 8.1</w:t>
      </w:r>
      <w:r>
        <w:rPr>
          <w:rFonts w:ascii="Times New Roman" w:cs="Times New Roman" w:eastAsia="Times New Roman" w:hAnsi="Times New Roman"/>
          <w:sz w:val="19"/>
          <w:szCs w:val="19"/>
          <w:color w:val="auto"/>
        </w:rPr>
        <w:t xml:space="preserve"> above), betterments and additions to the Premises made by Tenant or any Tenant Parties (and excluding therefrom the “Tenant Improvements” (as that term is defined in the Tenant Work Letter, which “Tenant Improvements” shall be covered by insurance maintained by Landlord). Such insurance shall be written on a causes of loss-special risk form (formerly “all-risk”) or its equivalent, for the full replacement cost value (subject to reasonable and customary deductible amounts) new without deduction for depreciation of the covered items and in amounts that meet any co-insurance clauses of the policies of insurance and shall include coverage for damage or other loss caused by fire or other peril including, but not limited to, ordinance and law, vandalism and malicious mischief, theft, windstorm, collapse, explosion, water damage of any type (excluding flood), including sprinkler leakage, bursting or stoppage of pipes and sewer back-up.</w:t>
      </w:r>
    </w:p>
    <w:p>
      <w:pPr>
        <w:spacing w:after="0" w:line="177"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10.3.3 Worker’s Compensation Insurance with statutory limits required by the state in which the Premises are located, including provisions for voluntary benefits as required in labor agreements, if applicable (or such larger amount if required by local statute) and Employer’s Liability Insurance of $1,000,000.</w:t>
      </w:r>
    </w:p>
    <w:p>
      <w:pPr>
        <w:spacing w:after="0" w:line="17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10.3.4 Contractual Liability Insurance sufficient to cover Tenant’s liability and obligations under this Lease (including, but not limited to, Tenant’s indemnity obligations under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this Lease), but only if such contractual liability insurance is not already included in Tenant’s commercial general liability insurance policy and umbrella/excess liability insurance policy.</w:t>
      </w:r>
    </w:p>
    <w:p>
      <w:pPr>
        <w:spacing w:after="0" w:line="174" w:lineRule="exact"/>
        <w:rPr>
          <w:sz w:val="20"/>
          <w:szCs w:val="20"/>
          <w:color w:val="auto"/>
        </w:rPr>
      </w:pPr>
    </w:p>
    <w:p>
      <w:pPr>
        <w:jc w:val="both"/>
        <w:ind w:right="20" w:firstLine="1497"/>
        <w:spacing w:after="0" w:line="254" w:lineRule="auto"/>
        <w:rPr>
          <w:sz w:val="20"/>
          <w:szCs w:val="20"/>
          <w:color w:val="auto"/>
        </w:rPr>
      </w:pPr>
      <w:r>
        <w:rPr>
          <w:rFonts w:ascii="Times New Roman" w:cs="Times New Roman" w:eastAsia="Times New Roman" w:hAnsi="Times New Roman"/>
          <w:sz w:val="20"/>
          <w:szCs w:val="20"/>
          <w:color w:val="auto"/>
        </w:rPr>
        <w:t>10.3.5 Commercial Auto Liability Insurance (if applicable) covering automobiles owned, hired or used by Tenant in carrying on its business with limits not less than $1,000,000 combined single limit for each accident, and scheduled to the umbrella/excess liability insurance policy.</w:t>
      </w:r>
    </w:p>
    <w:p>
      <w:pPr>
        <w:spacing w:after="0" w:line="174"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10.3.6</w:t>
      </w:r>
      <w:r>
        <w:rPr>
          <w:sz w:val="20"/>
          <w:szCs w:val="20"/>
          <w:color w:val="auto"/>
        </w:rPr>
        <w:tab/>
      </w:r>
      <w:r>
        <w:rPr>
          <w:rFonts w:ascii="Times New Roman" w:cs="Times New Roman" w:eastAsia="Times New Roman" w:hAnsi="Times New Roman"/>
          <w:sz w:val="19"/>
          <w:szCs w:val="19"/>
          <w:color w:val="auto"/>
        </w:rPr>
        <w:t>Business Interruption Insurance in an amount reasonably acceptable to Landlord.</w:t>
      </w:r>
    </w:p>
    <w:p>
      <w:pPr>
        <w:spacing w:after="0" w:line="212" w:lineRule="exact"/>
        <w:rPr>
          <w:sz w:val="20"/>
          <w:szCs w:val="20"/>
          <w:color w:val="auto"/>
        </w:rPr>
      </w:pPr>
    </w:p>
    <w:p>
      <w:pPr>
        <w:jc w:val="both"/>
        <w:ind w:left="100"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b w:val="1"/>
          <w:bCs w:val="1"/>
          <w:u w:val="single" w:color="auto"/>
          <w:color w:val="auto"/>
        </w:rPr>
        <w:t>Form of Policies.</w:t>
      </w:r>
      <w:r>
        <w:rPr>
          <w:rFonts w:ascii="Times New Roman" w:cs="Times New Roman" w:eastAsia="Times New Roman" w:hAnsi="Times New Roman"/>
          <w:sz w:val="20"/>
          <w:szCs w:val="20"/>
          <w:color w:val="auto"/>
        </w:rPr>
        <w:t xml:space="preserve"> The minimum limits of policies of insurance required of Tenant under this Lease shall in no event limit the liability of Tenant under this Lease. Such insurance shall (i) (except with respect to </w:t>
      </w:r>
      <w:r>
        <w:rPr>
          <w:rFonts w:ascii="Times New Roman" w:cs="Times New Roman" w:eastAsia="Times New Roman" w:hAnsi="Times New Roman"/>
          <w:sz w:val="20"/>
          <w:szCs w:val="20"/>
          <w:u w:val="single" w:color="auto"/>
          <w:color w:val="auto"/>
        </w:rPr>
        <w:t>Section 10.3.3</w:t>
      </w:r>
      <w:r>
        <w:rPr>
          <w:rFonts w:ascii="Times New Roman" w:cs="Times New Roman" w:eastAsia="Times New Roman" w:hAnsi="Times New Roman"/>
          <w:sz w:val="20"/>
          <w:szCs w:val="20"/>
          <w:color w:val="auto"/>
        </w:rPr>
        <w:t>) name Landlord, and any other parties the Landlord so specifies (including Landlord’s member(s), and Landlord’s property manager (which is currently S B C &amp; D Co., Inc., dba South Bay Development Company), and, if requested by Landlord in writing, Landlord’s mortgagee, if any), as additional named insureds (or, in the case of Tenant’s physical damage insurance, as additional loss-payees as their interests may appear); (ii) be issued by an insurance company having a rating of A-:VII or better in Best’s Insurance Guide or which is otherwise acceptable to Landlord and licensed to do business in the State of California; (iii) be primary and non-contributory when any policy issued to Landlord provides duplicate or similar coverage, and in such circumstance Landlord’s policy will be excess over Tenant’s policy(ies); and (iv) be in form and content reasonably acceptable to Landlord. Tenant shall provide Landlord (and any other parties Landlord has specified as additional insureds or additional loss-payees) with not less than thirty (30) days’ prior written notice of any cancellation of, termination of or material change to any insurance required to be carried by Tenant hereunder. Tenant shall deliver said policy or policies or certificates thereof (and such other evidence satisfactory to Landlord</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jc w:val="both"/>
        <w:ind w:left="100"/>
        <w:spacing w:after="0" w:line="243" w:lineRule="auto"/>
        <w:rPr>
          <w:sz w:val="20"/>
          <w:szCs w:val="20"/>
          <w:color w:val="auto"/>
        </w:rPr>
      </w:pPr>
      <w:r>
        <w:rPr>
          <w:rFonts w:ascii="Times New Roman" w:cs="Times New Roman" w:eastAsia="Times New Roman" w:hAnsi="Times New Roman"/>
          <w:sz w:val="20"/>
          <w:szCs w:val="20"/>
          <w:color w:val="auto"/>
        </w:rPr>
        <w:t>of the maintenance of such insurance) to Landlord at least ten (10) days prior to the earlier of the Lease Commencement Date or the date Tenant enters or occupies the Premises (in any event, within ten (10) days of the effective date of coverage) and prior to each renewal of said insurance. In the event Tenant shall fail to procure such insurance, or to deliver such policies or certificates (and such other evidence satisfactory to Landlord of the maintenance of such insurance), Landlord, in addition to any other remedy available pursuant to this Lease or otherwise, may, at its option, procure such policies for the account of Tenant, and the cost thereof shall be paid to Landlord within five (5) days after delivery to Tenant of bills therefor. Tenant shall require any vendors or contractors that it shall hire to perform work and/or services on the Premises to procure similar insurance, as required by Landlord of Tenant in this Lease, including naming as additional insureds or additional loss payees, as applicable, Landlord and its member(s), and Landlord’s property manager, and, if requested in writing by Landlord, Landlord’s mortgagee, if any.</w:t>
      </w:r>
    </w:p>
    <w:p>
      <w:pPr>
        <w:spacing w:after="0" w:line="182" w:lineRule="exact"/>
        <w:rPr>
          <w:sz w:val="20"/>
          <w:szCs w:val="20"/>
          <w:color w:val="auto"/>
        </w:rPr>
      </w:pPr>
    </w:p>
    <w:p>
      <w:pPr>
        <w:jc w:val="both"/>
        <w:ind w:left="100"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b w:val="1"/>
          <w:bCs w:val="1"/>
          <w:u w:val="single" w:color="auto"/>
          <w:color w:val="auto"/>
        </w:rPr>
        <w:t>Subrogation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and Tenant intend that their respective property loss risks shall be borne by reasonable insurance carriers to the extent above provided, and Landlord and Tenant hereby agree to look solely to, and seek recovery only from, their respective insurance carriers which loss or damage is (or, if the insurance required hereunder had been carried, would have been) covered by the waiving party’s property insurance or to the extent that such property loss is due to a risk that would normally be covered by special form property insurance or is actually insured against. Notwithstanding anything to the contrary herein, the parties each hereby waive all rights and claims against each other for such losses to the extent due to a risk covered by such insurance (or, if the insurance hereunder has not been carried, then to the extent such losses would have been covered by insurance) and waive all rights of subrogation of their respective insurers, without regard to the negligence of the party released. The parties agree that their respective insurance policies are now, or shall be, endorsed such that the waiver of subrogation shall not affect the right of the insured to recover thereunder. All of Landlord’s and Tenant’s repair and indemnity obligations with respect to casualty damage shall be subject to the release in, and to the extent set forth in,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provided, however, nothing stated in this Section 10.5 shall excuse Tenant from its obligation to pay to Landlord Tenant’s Share of reasonable and customary deductibles under any Special Form property insurance policy maintained by Landlord with respect to the Building and/or any improvements situated in the Common Areas covering an insured loss (but in no event shall the Tenant’s Share of such deductible exceed One Hundred Fifty Thousand and 00/100 Dollars ($150,000.00) per casualty).</w:t>
      </w:r>
    </w:p>
    <w:p>
      <w:pPr>
        <w:spacing w:after="0" w:line="182" w:lineRule="exact"/>
        <w:rPr>
          <w:sz w:val="20"/>
          <w:szCs w:val="20"/>
          <w:color w:val="auto"/>
        </w:rPr>
      </w:pPr>
    </w:p>
    <w:p>
      <w:pPr>
        <w:jc w:val="both"/>
        <w:ind w:left="100" w:firstLine="749"/>
        <w:spacing w:after="0" w:line="247"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b w:val="1"/>
          <w:bCs w:val="1"/>
          <w:u w:val="single" w:color="auto"/>
          <w:color w:val="auto"/>
        </w:rPr>
        <w:t>Additional Insurance Obligations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shall carry and maintain during the entire Lease Term, at Tenant’s sole cost and expense, increased amounts of the insurance required to be carried by Tenant pursuant to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and such other reasonable types of insurance coverage and in such reasonable amounts covering the Premises and Tenant’s operations therein, as may be reasonably requested by Landlord or its mortgagee, if any, but in no event in excess of the amounts and types of insurance then being required by landlords of other Comparable Buildings.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b w:val="1"/>
          <w:bCs w:val="1"/>
          <w:u w:val="single" w:color="auto"/>
          <w:color w:val="auto"/>
        </w:rPr>
        <w:t>Landlord’s Property Insurance</w:t>
      </w:r>
      <w:r>
        <w:rPr>
          <w:rFonts w:ascii="Times New Roman" w:cs="Times New Roman" w:eastAsia="Times New Roman" w:hAnsi="Times New Roman"/>
          <w:sz w:val="20"/>
          <w:szCs w:val="20"/>
          <w:color w:val="auto"/>
        </w:rPr>
        <w:t>. In addition to other insurance that may be obtained by Landlord, Landlord shall, during the Lease Term, procure and keep in force the following insurance, the cost of which shall be an Operating Expense: “Special Form” property insurance covering the Building. Such insurance shall be in the full amount of the replacement cost of the Building, with reasonable and customary deductible amounts (but in no event shall the Tenant’s Share of such deductibles to be payable as an Operating Expense exceed One Hundred Fifty Thousand and 00/100 Dollars ($150,000.00) per casualty). Such insurance may also include rental income insurance, insuring that one hundred percent (100%) of the Rent will be paid to Landlord for a period of up to twelve (12) months if the Premises, or applicable part thereof, are destroyed or damaged, or such longer period as may be determined by Landlord or required by any beneficiary of a deed of trust or any mortgagee of any mortgage affecting the Premises.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ARTICLE 11</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DAMAGE AND DESTRUCTION</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b w:val="1"/>
          <w:bCs w:val="1"/>
          <w:u w:val="single" w:color="auto"/>
          <w:color w:val="auto"/>
        </w:rPr>
        <w:t>Repair of Damage to Premises by Landlord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shall promptly notify Landlord of its actual knowledge of any damage to the Premises resulting from fire or any other casualty.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Article 11, restore the Building, the Tenant Improvements (as defined in the Tenant Work Letter) and the Common Areas (and also shall restore all Alterations made by Tenant to the extent Tenant provides to Landlord prior to the commencement of restoration of such Alterations sufficient proceeds to restore such Alterations and if such proceeds provided by Landlord to Tenant in advance of Landlord commencing the restoration of such Alterations are determined by Landlord to be insufficient to cover the entire cost of restoration such Alterations, Tenant shall pay such shortfall to Landlord within thirty (30) days following receipt of an invoice and supporting documentation evidencing the costs incurred by Landlord in restoring such Alterations and such shortfall). Such restoration shall be to substantially the same condition of the Building, Tenant Improvements, Alterations and the Common Areas prior to the casualty, except for modifications required by zoning and building codes and other laws or by the holder of a mortgage on the Building or Project or any other modifications to the Common Areas deemed desirable by Landlord, which are consistent with the character of the Project, provided that access to the Premises and any common restrooms, if any, serving the Premises shall not be materially impaired and such modifications do not result in an Adverse Event. If any fire or other casualty shall have damaged the Premises, the Tenant Improvements or Common Areas necessary to Tenant’s occupancy, and the Premises or a portion thereof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entire Premises.</w:t>
      </w:r>
    </w:p>
    <w:p>
      <w:pPr>
        <w:spacing w:after="0" w:line="19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b w:val="1"/>
          <w:bCs w:val="1"/>
          <w:u w:val="single" w:color="auto"/>
          <w:color w:val="auto"/>
        </w:rPr>
        <w:t>Landlord’s Option to Repair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Notwithstanding the terms of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of this Lease, Landlord may elect not to rebuild and/or restore the Tenant Improvements, Premises, Building, Common Areas and Alterations, and instead terminate this Lease, by notifying Tenant in writing of such termination within one hundred twenty (120) days after the date of discovery of the damage, such notice to include a termination date giving Tenant sixty (60) days to vacate the Premises, but Landlord may so elect only if the Building shall be damaged by fire or other casualty or cause, and one or more of the following conditions is present: (i) in Landlord’s reasonable judgment, repairs cannot reasonably be completed within one (1) year after the date of discovery of the damage (when such repairs are made without the payment of overtime or other premiums); (ii) the holder of any mortgage on the Building or Project shall require that the insurance proceeds or any portion thereof in the amount of more than $1,000,000 used to retire the mortgage debt; (iii) the damage is not fully covered by Landlord’s insurance policies (except for the amount of the reasonable and customary deductible under Landlord’s all risk property insurance policy covering the Building) in the amount of more than $1,000,000; or (iv) the damage occurs during the last twelve (12) months of the Lease Term and is estimated to take more than three (3) months to restore; provided, however, that if Landlord does not elect to terminate this Lease pursuant to Landlord’s termination right as provided above, and the repairs cannot, in the reasonable opinion of Landlord, be completed within one (1) year after the casualty, Tenant may elect, no later than ninety (90) days after the date it receives Landlord's estimate of the restoration period, to terminate this Lease by written notice to Landlord effective as of the date specified in the notice, which date shall not be less than thirty (30) days nor more than sixty (60) days after the date such notice is given by Tenant. Furthermore, if neither Landlord nor Tenant has terminated this Lease, and the repairs are not actually completed within fourteen (14) months after the casualty or such longer period as Landlord’s contractor had estimated would be</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9" w:right="339" w:bottom="1440" w:gutter="0" w:footer="0" w:header="0"/>
        </w:sectPr>
      </w:pPr>
    </w:p>
    <w:bookmarkStart w:id="135" w:name="page136"/>
    <w:bookmarkEnd w:id="135"/>
    <w:p>
      <w:pPr>
        <w:jc w:val="both"/>
        <w:ind w:left="100"/>
        <w:spacing w:after="0"/>
        <w:rPr>
          <w:sz w:val="20"/>
          <w:szCs w:val="20"/>
          <w:color w:val="auto"/>
        </w:rPr>
      </w:pPr>
      <w:r>
        <w:rPr>
          <w:rFonts w:ascii="Times New Roman" w:cs="Times New Roman" w:eastAsia="Times New Roman" w:hAnsi="Times New Roman"/>
          <w:sz w:val="20"/>
          <w:szCs w:val="20"/>
          <w:color w:val="auto"/>
        </w:rPr>
        <w:t>required to complete such repairs (subject to extension for Force Majeure delays (not to exceed sixty (60) days of Force Majeure delays per casualty) and/or delays caused by Tenant), Tenant shall have the right to terminate this Lease during the first five (5) business days of each calendar month following the end of such period until such time as the repairs are substantially complete (i.e. Tenant has access to and can legally occupy the Premises for the Permitted Use with only minor punch list items that do not unreasonably interfere with Tenant’s use remaining uncompleted), by written notice to Landlord (the “</w:t>
      </w:r>
      <w:r>
        <w:rPr>
          <w:rFonts w:ascii="Times New Roman" w:cs="Times New Roman" w:eastAsia="Times New Roman" w:hAnsi="Times New Roman"/>
          <w:sz w:val="20"/>
          <w:szCs w:val="20"/>
          <w:b w:val="1"/>
          <w:bCs w:val="1"/>
          <w:color w:val="auto"/>
        </w:rPr>
        <w:t>Damage Termination Notice</w:t>
      </w:r>
      <w:r>
        <w:rPr>
          <w:rFonts w:ascii="Times New Roman" w:cs="Times New Roman" w:eastAsia="Times New Roman" w:hAnsi="Times New Roman"/>
          <w:sz w:val="20"/>
          <w:szCs w:val="20"/>
          <w:color w:val="auto"/>
        </w:rPr>
        <w:t>”), effective as of a date set forth in the Damage Termination Notice (the “</w:t>
      </w:r>
      <w:r>
        <w:rPr>
          <w:rFonts w:ascii="Times New Roman" w:cs="Times New Roman" w:eastAsia="Times New Roman" w:hAnsi="Times New Roman"/>
          <w:sz w:val="20"/>
          <w:szCs w:val="20"/>
          <w:b w:val="1"/>
          <w:bCs w:val="1"/>
          <w:color w:val="auto"/>
        </w:rPr>
        <w:t>Damage Termination Date</w:t>
      </w:r>
      <w:r>
        <w:rPr>
          <w:rFonts w:ascii="Times New Roman" w:cs="Times New Roman" w:eastAsia="Times New Roman" w:hAnsi="Times New Roman"/>
          <w:sz w:val="20"/>
          <w:szCs w:val="20"/>
          <w:color w:val="auto"/>
        </w:rPr>
        <w:t>”), which Damage Termination Date shall not be less than ten (10) business days following the end of each such month. Notwithstanding the foregoing, if Tenant delivers a Damage Termination Notice to Landlord, then Landlord shall have the right to suspend the occurrence of the Damage Termination Date for a period ending thirty (30) days after the Damage Termination Date set forth in the Damage Termination Notice by delivering to Tenant, within five (5) business days of Landlord’s receipt of the Damage Termination Notice, a certificate of Landlord’s contractor responsible for the repair of the damage stating that it is such contractor’s good faith judgment that the repairs shall be substantially completed within thirty (30) days after the Damage Termination Date. If repairs shall be substantially completed (i.e. Tenant has access to and can legally occupy the Premises for the Permitted Use with only minor punch list items that do not unreasonably interfere with Tenant’s use remaining uncompleted) prior to the expiration of such thirty-day period, then the Damage Termination Notice shall be of no force or effect, but if the repairs shall not be substantially completed within such thirty (30)-day period, then this Lease shall terminate upon the expiration of such thirty (30)-day period. At any time, from time to time, after the date occurring sixty (60) days after the date of the damage, Tenant may request that Landlord inform Tenant of Landlord’s reasonable opinion of the date of completion of the repairs and Landlord shall respond to such request within ten (10) business days. Notwithstanding anything to the contrary herein, if this Lease terminates due to a casualty prior to the date Landlord has commenced restoration of Tenant’s Alterations or improvements paid for solely by Tenant and that are damaged or destroyed by such casualty, then all of Tenant’s insurance proceeds with respect to such Alterations and improvements paid for solely by Tenant shall be payable to Tenant with no obligation on Tenant or Landlord to restore such Alterations or improvements. If, however, following a casualty, Landlord does not exercise its right above to terminate the Lease and Tenant does not exercise its right, as provided above, to terminate this Lease based on the Landlord’s estimate of the restoration period and Landlord has commenced, or caused to be commenced, the restoration of Alterations or improvements paid for solely by Tenant, then Landlord shall be entitled to receive and retain Tenant’s insurance proceeds with respect to such damaged or destroyed Alterations or improvements paid for solely by Tenant.</w:t>
      </w:r>
    </w:p>
    <w:p>
      <w:pPr>
        <w:spacing w:after="0" w:line="200" w:lineRule="exact"/>
        <w:rPr>
          <w:sz w:val="20"/>
          <w:szCs w:val="20"/>
          <w:color w:val="auto"/>
        </w:rPr>
      </w:pPr>
    </w:p>
    <w:p>
      <w:pPr>
        <w:jc w:val="both"/>
        <w:ind w:left="10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b w:val="1"/>
          <w:bCs w:val="1"/>
          <w:u w:val="single" w:color="auto"/>
          <w:color w:val="auto"/>
        </w:rPr>
        <w:t>Waiver of Statutory Provisions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provisions of this Lease, including this Article 11,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NONWAIVER</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both"/>
        <w:spacing w:after="0" w:line="242" w:lineRule="auto"/>
        <w:rPr>
          <w:sz w:val="20"/>
          <w:szCs w:val="20"/>
          <w:color w:val="auto"/>
        </w:rPr>
      </w:pPr>
      <w:r>
        <w:rPr>
          <w:rFonts w:ascii="Times New Roman" w:cs="Times New Roman" w:eastAsia="Times New Roman" w:hAnsi="Times New Roman"/>
          <w:sz w:val="20"/>
          <w:szCs w:val="20"/>
          <w:color w:val="auto"/>
        </w:rPr>
        <w:t>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CONDEMNATION</w:t>
      </w:r>
    </w:p>
    <w:p>
      <w:pPr>
        <w:spacing w:after="0" w:line="220"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If the whole or any part of the Premises, Building or Project required for the use of or access to the Premises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required for the use of or access to the Premises, or if Landlord shall grant a deed or other instrument in lieu of such taking by eminent domain or condemnation, Landlord shall have the option to terminate this Lease effective as of the date possession is required to be surrendered to the authority. If more than ten percent (10%) of the rentable square feet of the Premises is taken, or if access to or use of the Premises or Tenant's parking is substantially impaired, in each case for a period in excess of one hundred eighty (180) days,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trade fixtures belonging to Tenant, and for relocation expenses and the unamortized value of any improvements made by Tenant solely at Tenant's expense, so long as such claims do not diminish the award available to Landlord or its mortgagee, and such claim is payable separately to Tenant. Tenant shall not have a right to file a claim for any taking of the Tenant Improvements. All Rent shall be apportioned as of the date of such termination. If any part of the Premises shall be taken, and this Lease shall not be so terminated, the Rent shall be proportionately abated based on the percentage of the rentable square footage of the portion of the Premises taken. Tenant hereby waives any and all rights it might otherwise have pursuant to Section 1265.130 of The California Code of Civil Procedure. Notwithstanding anything to the contrary contained in this </w:t>
      </w:r>
      <w:r>
        <w:rPr>
          <w:rFonts w:ascii="Times New Roman" w:cs="Times New Roman" w:eastAsia="Times New Roman" w:hAnsi="Times New Roman"/>
          <w:sz w:val="20"/>
          <w:szCs w:val="20"/>
          <w:u w:val="single" w:color="auto"/>
          <w:color w:val="auto"/>
        </w:rPr>
        <w:t>Article 13</w:t>
      </w:r>
      <w:r>
        <w:rPr>
          <w:rFonts w:ascii="Times New Roman" w:cs="Times New Roman" w:eastAsia="Times New Roman" w:hAnsi="Times New Roman"/>
          <w:sz w:val="20"/>
          <w:szCs w:val="20"/>
          <w:color w:val="auto"/>
        </w:rPr>
        <w:t>,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ARTICLE 14</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ASSIGNMENT AND SUBLETTING</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b w:val="1"/>
          <w:bCs w:val="1"/>
          <w:u w:val="single" w:color="auto"/>
          <w:color w:val="auto"/>
        </w:rPr>
        <w:t>Transfers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Times New Roman" w:cs="Times New Roman" w:eastAsia="Times New Roman" w:hAnsi="Times New Roman"/>
          <w:sz w:val="20"/>
          <w:szCs w:val="20"/>
          <w:b w:val="1"/>
          <w:bCs w:val="1"/>
          <w:color w:val="auto"/>
        </w:rPr>
        <w:t>Transfers</w:t>
      </w:r>
      <w:r>
        <w:rPr>
          <w:rFonts w:ascii="Times New Roman" w:cs="Times New Roman" w:eastAsia="Times New Roman" w:hAnsi="Times New Roman"/>
          <w:sz w:val="20"/>
          <w:szCs w:val="20"/>
          <w:color w:val="auto"/>
        </w:rPr>
        <w:t>” and any person to whom any Transfer is made or sought to be made is hereinafter sometimes referred to as a “</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If Tenant desires Landlord’s consent to any Transfer, Tenant shall notify Landlord in writing, which notice (the “</w:t>
      </w:r>
      <w:r>
        <w:rPr>
          <w:rFonts w:ascii="Times New Roman" w:cs="Times New Roman" w:eastAsia="Times New Roman" w:hAnsi="Times New Roman"/>
          <w:sz w:val="20"/>
          <w:szCs w:val="20"/>
          <w:b w:val="1"/>
          <w:bCs w:val="1"/>
          <w:color w:val="auto"/>
        </w:rPr>
        <w:t>Transfer Notice</w:t>
      </w:r>
      <w:r>
        <w:rPr>
          <w:rFonts w:ascii="Times New Roman" w:cs="Times New Roman" w:eastAsia="Times New Roman" w:hAnsi="Times New Roman"/>
          <w:sz w:val="20"/>
          <w:szCs w:val="20"/>
          <w:color w:val="auto"/>
        </w:rPr>
        <w:t>”) shall include (i) the proposed effective date of the Transfer, which shall not be less than ten (10) days nor more than one hundred eighty (180) days after the date of delivery of the Transfer Notice, (ii) a description of the portion of the Premises to be transferred (the “</w:t>
      </w:r>
      <w:r>
        <w:rPr>
          <w:rFonts w:ascii="Times New Roman" w:cs="Times New Roman" w:eastAsia="Times New Roman" w:hAnsi="Times New Roman"/>
          <w:sz w:val="20"/>
          <w:szCs w:val="20"/>
          <w:b w:val="1"/>
          <w:bCs w:val="1"/>
          <w:color w:val="auto"/>
        </w:rPr>
        <w:t>Subject Space</w:t>
      </w:r>
      <w:r>
        <w:rPr>
          <w:rFonts w:ascii="Times New Roman" w:cs="Times New Roman" w:eastAsia="Times New Roman" w:hAnsi="Times New Roman"/>
          <w:sz w:val="20"/>
          <w:szCs w:val="20"/>
          <w:color w:val="auto"/>
        </w:rPr>
        <w:t xml:space="preserve">”), (iii) all of the terms of the proposed Transfer and the consideration therefor, including calculation of the “Transfer Premium”, as that term is defined in </w:t>
      </w:r>
      <w:r>
        <w:rPr>
          <w:rFonts w:ascii="Times New Roman" w:cs="Times New Roman" w:eastAsia="Times New Roman" w:hAnsi="Times New Roman"/>
          <w:sz w:val="20"/>
          <w:szCs w:val="20"/>
          <w:u w:val="single" w:color="auto"/>
          <w:color w:val="auto"/>
        </w:rPr>
        <w:t>Section 14.3</w:t>
      </w:r>
      <w:r>
        <w:rPr>
          <w:rFonts w:ascii="Times New Roman" w:cs="Times New Roman" w:eastAsia="Times New Roman" w:hAnsi="Times New Roman"/>
          <w:sz w:val="20"/>
          <w:szCs w:val="20"/>
          <w:color w:val="auto"/>
        </w:rPr>
        <w:t xml:space="preserve"> below, in connection with such Transfer, the name and address of the proposed Transferee, and a copy of all existing executed and/or proposed documentation pertaining to the proposed Transfer, including all existing operative documents to be executed to evidence such Transfer or the agreements incidental or related to such Transfer, provided that Landlord shall have the right to require Tenant to utilize Landlord’s commercially reasonable standard Transfer consent documents in connection with the documentation of such Transfer, and (iv) current financial statements of the proposed Transferee certified as true and correct by an officer, partner or owner thereof, and any other information reasonably required by Landlord which will enable Landlord to determine the financial responsibility, character, and reputation of the proposed Transferee, nature of such Transferee’s business and proposed use of the Subject Space. Any Transfer made without Landlord’s prior written consent (or deemed consent) shall, at Landlord’s option, be null, void and of no effect, and shall, at Landlord’s option, constitute a default by Tenant under this Lease after the expiration of applicable notice and cure periods. Whether or not Landlord consents to any proposed Transfer, Tenant shall pay Landlord’s reasonable review and processing fees, as well as any reasonable professional fees (including, without limitation, attorneys’, accountants’, architects’, engineers’ and consultants’ fees) incurred by Landlord, within thirty (30) days after written request by Landlord, in an amount not to exceed Three Thousand and No/100 Dollars ($3,000.00) in the aggregate.</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b w:val="1"/>
          <w:bCs w:val="1"/>
          <w:u w:val="single" w:color="auto"/>
          <w:color w:val="auto"/>
        </w:rPr>
        <w:t>Landlord’s Consent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shall not unreasonably withhold, condition or delay its consent to any proposed Transfer of the Subject Space to the Transferee on the terms specified in the Transfer Notice. Landlord shall respond to Tenant’s request within fifteen</w:t>
      </w:r>
    </w:p>
    <w:p>
      <w:pPr>
        <w:jc w:val="both"/>
        <w:ind w:firstLine="2"/>
        <w:spacing w:after="0" w:line="252" w:lineRule="auto"/>
        <w:tabs>
          <w:tab w:leader="none" w:pos="403"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days following delivery by Tenant of the Transfer Notice and all of the items described in clauses (i) through (iv) of </w:t>
      </w:r>
      <w:r>
        <w:rPr>
          <w:rFonts w:ascii="Times New Roman" w:cs="Times New Roman" w:eastAsia="Times New Roman" w:hAnsi="Times New Roman"/>
          <w:sz w:val="19"/>
          <w:szCs w:val="19"/>
          <w:u w:val="single" w:color="auto"/>
          <w:color w:val="auto"/>
        </w:rPr>
        <w:t>Section 14.1</w:t>
      </w:r>
      <w:r>
        <w:rPr>
          <w:rFonts w:ascii="Times New Roman" w:cs="Times New Roman" w:eastAsia="Times New Roman" w:hAnsi="Times New Roman"/>
          <w:sz w:val="19"/>
          <w:szCs w:val="19"/>
          <w:color w:val="auto"/>
        </w:rPr>
        <w:t xml:space="preserve"> above. If Landlord fails to timely deliver to Tenant notice of Landlord’s consent, or the withholding of consent, to a proposed Transfer, Tenant may send a second (2nd) notice to Landlord, which notice must contain the following inscription, in bold faced lettering: </w:t>
      </w:r>
      <w:r>
        <w:rPr>
          <w:rFonts w:ascii="Times New Roman" w:cs="Times New Roman" w:eastAsia="Times New Roman" w:hAnsi="Times New Roman"/>
          <w:sz w:val="19"/>
          <w:szCs w:val="19"/>
          <w:b w:val="1"/>
          <w:bCs w:val="1"/>
          <w:u w:val="single" w:color="auto"/>
          <w:color w:val="auto"/>
        </w:rPr>
        <w:t>“SECOND</w:t>
      </w:r>
    </w:p>
    <w:p>
      <w:pPr>
        <w:jc w:val="both"/>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u w:val="single" w:color="auto"/>
          <w:color w:val="auto"/>
        </w:rPr>
        <w:t>NOTICE DELIVERED PURSUANT TO ARTICLE 14 OF LEASE - ¬FAILURE TO TIMELY RESPOND WITHIN THREE (3) BUSINES DAYS SHALL RESULT IN DEEMED APPROVAL OF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Landlord fails to deliver notice of Landlord’s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consent, or the withholding of Landlord’s consent, to the Transfer within three (3) business days after Landlord’s receipt of such second notice, Landlord shall be deemed to have approved the Transfer in question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9" w:right="339" w:bottom="1440" w:gutter="0" w:footer="0" w:header="0"/>
        </w:sectPr>
      </w:pPr>
    </w:p>
    <w:bookmarkStart w:id="138" w:name="page139"/>
    <w:bookmarkEnd w:id="138"/>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14.2.1 Landlord reasonably determines that the character of the business that would be conducted by the proposed Transferee at the Premises, or the manner of conducting such business, would be inconsistent with the character of the Building as a first-class office building;</w:t>
      </w:r>
    </w:p>
    <w:p>
      <w:pPr>
        <w:spacing w:after="0" w:line="17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14.2.2 The Transferee intends to use the Subject Space for purposes which are not permitted under this Lease or which will have an adverse effect(s) on the Building, or applicable part thereof; or</w:t>
      </w:r>
    </w:p>
    <w:p>
      <w:pPr>
        <w:spacing w:after="0" w:line="159"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14.2.3</w:t>
      </w:r>
      <w:r>
        <w:rPr>
          <w:sz w:val="20"/>
          <w:szCs w:val="20"/>
          <w:color w:val="auto"/>
        </w:rPr>
        <w:tab/>
      </w:r>
      <w:r>
        <w:rPr>
          <w:rFonts w:ascii="Times New Roman" w:cs="Times New Roman" w:eastAsia="Times New Roman" w:hAnsi="Times New Roman"/>
          <w:sz w:val="19"/>
          <w:szCs w:val="19"/>
          <w:color w:val="auto"/>
        </w:rPr>
        <w:t>The Transferee is either a governmental agency or instrumentality thereof.</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If Landlord consents to any Transfer pursuant to the terms of this </w:t>
      </w:r>
      <w:r>
        <w:rPr>
          <w:rFonts w:ascii="Times New Roman" w:cs="Times New Roman" w:eastAsia="Times New Roman" w:hAnsi="Times New Roman"/>
          <w:sz w:val="20"/>
          <w:szCs w:val="20"/>
          <w:u w:val="single" w:color="auto"/>
          <w:color w:val="auto"/>
        </w:rPr>
        <w:t>Section 14.2</w:t>
      </w:r>
      <w:r>
        <w:rPr>
          <w:rFonts w:ascii="Times New Roman" w:cs="Times New Roman" w:eastAsia="Times New Roman" w:hAnsi="Times New Roman"/>
          <w:sz w:val="20"/>
          <w:szCs w:val="20"/>
          <w:color w:val="auto"/>
        </w:rPr>
        <w:t xml:space="preserv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of this Lease, provided that if there are any material changes in the terms and conditions from those specified in the Transfer Notice (i) such that Landlord would initially have been entitled to refuse its consent to such Transfer under this </w:t>
      </w:r>
      <w:r>
        <w:rPr>
          <w:rFonts w:ascii="Times New Roman" w:cs="Times New Roman" w:eastAsia="Times New Roman" w:hAnsi="Times New Roman"/>
          <w:sz w:val="20"/>
          <w:szCs w:val="20"/>
          <w:u w:val="single" w:color="auto"/>
          <w:color w:val="auto"/>
        </w:rPr>
        <w:t>Section 14.2</w:t>
      </w:r>
      <w:r>
        <w:rPr>
          <w:rFonts w:ascii="Times New Roman" w:cs="Times New Roman" w:eastAsia="Times New Roman" w:hAnsi="Times New Roman"/>
          <w:sz w:val="20"/>
          <w:szCs w:val="20"/>
          <w:color w:val="auto"/>
        </w:rPr>
        <w:t xml:space="preserve">, or (ii) which would cause the proposed Transfer to be more favorable to the Transferee than the terms set forth in Tenant’s original Transfer Notice, Tenant shall again submit the Transfer to Landlord for its approval and other action under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Notwithstanding anything to the contrary in this Lease, if Tenant or any proposed Transferee claims that Landlord has unreasonably withheld or delayed its consent under </w:t>
      </w:r>
      <w:r>
        <w:rPr>
          <w:rFonts w:ascii="Times New Roman" w:cs="Times New Roman" w:eastAsia="Times New Roman" w:hAnsi="Times New Roman"/>
          <w:sz w:val="20"/>
          <w:szCs w:val="20"/>
          <w:u w:val="single" w:color="auto"/>
          <w:color w:val="auto"/>
        </w:rPr>
        <w:t>Section 14.2</w:t>
      </w:r>
      <w:r>
        <w:rPr>
          <w:rFonts w:ascii="Times New Roman" w:cs="Times New Roman" w:eastAsia="Times New Roman" w:hAnsi="Times New Roman"/>
          <w:sz w:val="20"/>
          <w:szCs w:val="20"/>
          <w:color w:val="auto"/>
        </w:rPr>
        <w:t xml:space="preserve"> or otherwise has breached or acted unreasonably under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 In the event that Tenant or such proposed Transferee is the prevailing party in an action brought pursuant to the foregoing sentence, Tenant or such proposed Transferee shall also be entitled to an award of reasonable attorneys’ fees and court costs.</w:t>
      </w:r>
    </w:p>
    <w:p>
      <w:pPr>
        <w:spacing w:after="0" w:line="192" w:lineRule="exact"/>
        <w:rPr>
          <w:sz w:val="20"/>
          <w:szCs w:val="20"/>
          <w:color w:val="auto"/>
        </w:rPr>
      </w:pPr>
    </w:p>
    <w:p>
      <w:pPr>
        <w:jc w:val="both"/>
        <w:ind w:left="100" w:firstLine="749"/>
        <w:spacing w:after="0" w:line="241" w:lineRule="auto"/>
        <w:rPr>
          <w:sz w:val="20"/>
          <w:szCs w:val="20"/>
          <w:color w:val="auto"/>
        </w:rPr>
      </w:pPr>
      <w:r>
        <w:rPr>
          <w:rFonts w:ascii="Times New Roman" w:cs="Times New Roman" w:eastAsia="Times New Roman" w:hAnsi="Times New Roman"/>
          <w:sz w:val="20"/>
          <w:szCs w:val="20"/>
          <w:color w:val="auto"/>
        </w:rPr>
        <w:t xml:space="preserve">14.3 </w:t>
      </w:r>
      <w:r>
        <w:rPr>
          <w:rFonts w:ascii="Times New Roman" w:cs="Times New Roman" w:eastAsia="Times New Roman" w:hAnsi="Times New Roman"/>
          <w:sz w:val="20"/>
          <w:szCs w:val="20"/>
          <w:b w:val="1"/>
          <w:bCs w:val="1"/>
          <w:u w:val="single" w:color="auto"/>
          <w:color w:val="auto"/>
        </w:rPr>
        <w:t>Transfer Premium</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Landlord consents to a Transfer, as a condition thereto which the parties hereby agree is reasonable, Tenant shall pay to Landlord fifty percent (50%) of any “Transfer Premium,” as that term is defined in this </w:t>
      </w:r>
      <w:r>
        <w:rPr>
          <w:rFonts w:ascii="Times New Roman" w:cs="Times New Roman" w:eastAsia="Times New Roman" w:hAnsi="Times New Roman"/>
          <w:sz w:val="20"/>
          <w:szCs w:val="20"/>
          <w:u w:val="single" w:color="auto"/>
          <w:color w:val="auto"/>
        </w:rPr>
        <w:t>Section 14.3</w:t>
      </w:r>
      <w:r>
        <w:rPr>
          <w:rFonts w:ascii="Times New Roman" w:cs="Times New Roman" w:eastAsia="Times New Roman" w:hAnsi="Times New Roman"/>
          <w:sz w:val="20"/>
          <w:szCs w:val="20"/>
          <w:color w:val="auto"/>
        </w:rPr>
        <w:t xml:space="preserve">, received by Tenant from such Transferee, after Tenant’s deduction therefrom of (i) all reasonable brokerage commissions paid by Tenant to third parties not affiliated with Tenant in order to obtain the Transfer in question, (ii) the attorneys’ fees reasonably incurred by Tenant in connection with the Transfer in question, (iii) the costs of any improvements by Tenant to the applicable portion of the Premises that are made in order to obtain the Transfer in question (i.e. specifically for the benefit of the Transferee (and not Tenant) or to attract such Transferee to lease or sublease the applicable part of the Premises) or any tenant improvement allowance provided by Tenant to the Transferee, and (iv) any attorneys’ fees or review and processing fees charged by Landlord to Tenant in connection with the Transfer in question as provided in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b w:val="1"/>
          <w:bCs w:val="1"/>
          <w:color w:val="auto"/>
        </w:rPr>
        <w:t>Transfer Premium</w:t>
      </w:r>
      <w:r>
        <w:rPr>
          <w:rFonts w:ascii="Times New Roman" w:cs="Times New Roman" w:eastAsia="Times New Roman" w:hAnsi="Times New Roman"/>
          <w:sz w:val="20"/>
          <w:szCs w:val="20"/>
          <w:color w:val="auto"/>
        </w:rPr>
        <w:t>” shall mean all rent, additional rent or other consideration payable by such Transferee in connection with the Transfer (excluding to a Permitted Transferee) in excess of the Rent and Additional Rent payable by Tenant under this Lease during the term of the Transfer on a per rentable square foot basis if less than all of the Premises is transferred. “</w:t>
      </w:r>
      <w:r>
        <w:rPr>
          <w:rFonts w:ascii="Times New Roman" w:cs="Times New Roman" w:eastAsia="Times New Roman" w:hAnsi="Times New Roman"/>
          <w:sz w:val="20"/>
          <w:szCs w:val="20"/>
          <w:b w:val="1"/>
          <w:bCs w:val="1"/>
          <w:color w:val="auto"/>
        </w:rPr>
        <w:t>Transfer Premium</w:t>
      </w:r>
      <w:r>
        <w:rPr>
          <w:rFonts w:ascii="Times New Roman" w:cs="Times New Roman" w:eastAsia="Times New Roman" w:hAnsi="Times New Roman"/>
          <w:sz w:val="20"/>
          <w:szCs w:val="20"/>
          <w:color w:val="auto"/>
        </w:rPr>
        <w:t>” shall also include, but not be limited to, key money, bonus money or other cash consideration paid by Transferee to Tenant in connection with such Transfer, any debt relief benefiting Tenant in connection with such Transfer, and any payment in excess of fair market value (a) for services rendered by Tenant to Transferee or (b) for assets, fixtures, inventory, equipment, or furniture transferred by Tenant to Transferee in connection with such Transfer. The determination of the amount of Landlord’s applicable share of the Transfer Premium shall be made on a monthly basis as rent or other consideration is received by Tenant under the Transfer.</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ind w:left="760"/>
        <w:spacing w:after="0"/>
        <w:rPr>
          <w:sz w:val="20"/>
          <w:szCs w:val="20"/>
          <w:color w:val="auto"/>
        </w:rPr>
      </w:pPr>
      <w:r>
        <w:rPr>
          <w:rFonts w:ascii="Times New Roman" w:cs="Times New Roman" w:eastAsia="Times New Roman" w:hAnsi="Times New Roman"/>
          <w:sz w:val="20"/>
          <w:szCs w:val="20"/>
          <w:color w:val="auto"/>
        </w:rPr>
        <w:t xml:space="preserve">14.4 </w:t>
      </w:r>
      <w:r>
        <w:rPr>
          <w:rFonts w:ascii="Times New Roman" w:cs="Times New Roman" w:eastAsia="Times New Roman" w:hAnsi="Times New Roman"/>
          <w:sz w:val="20"/>
          <w:szCs w:val="20"/>
          <w:b w:val="1"/>
          <w:bCs w:val="1"/>
          <w:u w:val="single" w:color="auto"/>
          <w:color w:val="auto"/>
        </w:rPr>
        <w:t>Intentionally Omitted</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14.5 </w:t>
      </w:r>
      <w:r>
        <w:rPr>
          <w:rFonts w:ascii="Times New Roman" w:cs="Times New Roman" w:eastAsia="Times New Roman" w:hAnsi="Times New Roman"/>
          <w:sz w:val="20"/>
          <w:szCs w:val="20"/>
          <w:b w:val="1"/>
          <w:bCs w:val="1"/>
          <w:u w:val="single" w:color="auto"/>
          <w:color w:val="auto"/>
        </w:rPr>
        <w:t>Effect of Transfer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w:t>
      </w:r>
    </w:p>
    <w:p>
      <w:pPr>
        <w:spacing w:after="0" w:line="17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14.6 </w:t>
      </w:r>
      <w:r>
        <w:rPr>
          <w:rFonts w:ascii="Times New Roman" w:cs="Times New Roman" w:eastAsia="Times New Roman" w:hAnsi="Times New Roman"/>
          <w:sz w:val="20"/>
          <w:szCs w:val="20"/>
          <w:b w:val="1"/>
          <w:bCs w:val="1"/>
          <w:u w:val="single" w:color="auto"/>
          <w:color w:val="auto"/>
        </w:rPr>
        <w:t>Additional Transfers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14.8</w:t>
      </w:r>
      <w:r>
        <w:rPr>
          <w:rFonts w:ascii="Times New Roman" w:cs="Times New Roman" w:eastAsia="Times New Roman" w:hAnsi="Times New Roman"/>
          <w:sz w:val="20"/>
          <w:szCs w:val="20"/>
          <w:color w:val="auto"/>
        </w:rPr>
        <w:t xml:space="preserve"> below, for purposes of this Lease, the term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shall also include (i) if Tenant is a partnership, the withdrawal or change, voluntary, involuntary or by operation of law, of fifty percent (50%) or more of the partners, or transfer of fifty percent (50%) or more of partnership interests (at any one time or in the aggregate), or the dissolution of the partnership without immediate reconstitution thereof or (ii) if Tenant is a closely held corporation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whose stock is not publicly held and not traded through an exchange or over the counter) or a limited liability company, the dissolution, merger, consolidation or other reorganization of Tenant or the sale or other transfer of fifty percent (50%) or more of the voting shares or membership interests of Tenant at any one time or in the aggregate (other than to immediate family members by reason of gift or death). The foregoing notwithstanding, the sale or transfer of any or all of the capital stock of a corporation, the capital stock of which is now or hereafter becomes publicly traded, shall not be deemed an assignment of this Lease.</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14.7 </w:t>
      </w:r>
      <w:r>
        <w:rPr>
          <w:rFonts w:ascii="Times New Roman" w:cs="Times New Roman" w:eastAsia="Times New Roman" w:hAnsi="Times New Roman"/>
          <w:sz w:val="20"/>
          <w:szCs w:val="20"/>
          <w:b w:val="1"/>
          <w:bCs w:val="1"/>
          <w:u w:val="single" w:color="auto"/>
          <w:color w:val="auto"/>
        </w:rPr>
        <w:t>Occurrence of Default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Landlord is hereby irrevocably authorized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14.8 </w:t>
      </w:r>
      <w:r>
        <w:rPr>
          <w:rFonts w:ascii="Times New Roman" w:cs="Times New Roman" w:eastAsia="Times New Roman" w:hAnsi="Times New Roman"/>
          <w:sz w:val="20"/>
          <w:szCs w:val="20"/>
          <w:b w:val="1"/>
          <w:bCs w:val="1"/>
          <w:u w:val="single" w:color="auto"/>
          <w:color w:val="auto"/>
        </w:rPr>
        <w:t>Permitted Transfers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Notwithstanding anything to the contrary contained in this Lease, (A) an assignment or subletting of all or a portion of the Premises to an affiliate of Tenant (i.e., an entity which is controlled by, controls, or is under common control with, Tenant as of the date of this Lease), (B) an assignment of this Lease or a sublease of all or portion of the Premises to an entity which acquires all or a substantial portion of the assets of Tenant, or (C) an assignment of the Lease to an entity which is the resulting entity of a merger or consolidation of Tenant during the Lease Term, shall not be deemed a Transfer requiring Landlord’s consent under this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(any such assignee or sublessee described in items (A) through (C) of this </w:t>
      </w:r>
      <w:r>
        <w:rPr>
          <w:rFonts w:ascii="Times New Roman" w:cs="Times New Roman" w:eastAsia="Times New Roman" w:hAnsi="Times New Roman"/>
          <w:sz w:val="20"/>
          <w:szCs w:val="20"/>
          <w:u w:val="single" w:color="auto"/>
          <w:color w:val="auto"/>
        </w:rPr>
        <w:t>Section 14.8</w:t>
      </w:r>
      <w:r>
        <w:rPr>
          <w:rFonts w:ascii="Times New Roman" w:cs="Times New Roman" w:eastAsia="Times New Roman" w:hAnsi="Times New Roman"/>
          <w:sz w:val="20"/>
          <w:szCs w:val="20"/>
          <w:color w:val="auto"/>
        </w:rPr>
        <w:t xml:space="preserve"> hereinafter referred to as a “</w:t>
      </w:r>
      <w:r>
        <w:rPr>
          <w:rFonts w:ascii="Times New Roman" w:cs="Times New Roman" w:eastAsia="Times New Roman" w:hAnsi="Times New Roman"/>
          <w:sz w:val="20"/>
          <w:szCs w:val="20"/>
          <w:b w:val="1"/>
          <w:bCs w:val="1"/>
          <w:color w:val="auto"/>
        </w:rPr>
        <w:t>Permitted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provided that (i) Tenant notifies Landlord at least ten (10) days prior to the effective date of any such assignment or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9" w:right="339" w:bottom="1440" w:gutter="0" w:footer="0" w:header="0"/>
        </w:sectPr>
      </w:pPr>
    </w:p>
    <w:bookmarkStart w:id="140" w:name="page141"/>
    <w:bookmarkEnd w:id="140"/>
    <w:p>
      <w:pPr>
        <w:jc w:val="both"/>
        <w:spacing w:after="0" w:line="241" w:lineRule="auto"/>
        <w:rPr>
          <w:sz w:val="20"/>
          <w:szCs w:val="20"/>
          <w:color w:val="auto"/>
        </w:rPr>
      </w:pPr>
      <w:r>
        <w:rPr>
          <w:rFonts w:ascii="Times New Roman" w:cs="Times New Roman" w:eastAsia="Times New Roman" w:hAnsi="Times New Roman"/>
          <w:sz w:val="20"/>
          <w:szCs w:val="20"/>
          <w:color w:val="auto"/>
        </w:rPr>
        <w:t>sublease and promptly supplies Landlord with any documents or information reasonably requested by Landlord regarding such Transfer or Permitted Transferee as set forth above, (ii) Tenant is not in Default, beyond the applicable notice and cure period, and such assignment or sublease is not a subterfuge by Tenant to avoid its obligations under this Lease, (iii) such Permitted Transferee shall be of a character and reputation consistent with the quality of the Building, (iv) with respect to any assignment or sublease referred to in clause (B) or (C) above, such Permitted Transferee shall have a tangible net worth (not including goodwill as an asset) computed in accordance with generally accepted accounting principles (“</w:t>
      </w:r>
      <w:r>
        <w:rPr>
          <w:rFonts w:ascii="Times New Roman" w:cs="Times New Roman" w:eastAsia="Times New Roman" w:hAnsi="Times New Roman"/>
          <w:sz w:val="20"/>
          <w:szCs w:val="20"/>
          <w:b w:val="1"/>
          <w:bCs w:val="1"/>
          <w:color w:val="auto"/>
        </w:rPr>
        <w:t>Net Worth</w:t>
      </w:r>
      <w:r>
        <w:rPr>
          <w:rFonts w:ascii="Times New Roman" w:cs="Times New Roman" w:eastAsia="Times New Roman" w:hAnsi="Times New Roman"/>
          <w:sz w:val="20"/>
          <w:szCs w:val="20"/>
          <w:color w:val="auto"/>
        </w:rPr>
        <w:t>”) at least equal to the Net Worth of Tenant on the day immediately preceding the effective date of such assignment or sublease and Tenant or the Permitted Transferee also have a market cap of at least Two Billion and 00/100 Dollars on the day immediately preceding the effective date of such assignment or sublease, (v) no assignment or sublease relating to this Lease, whether with or without Landlord’s consent, shall relieve Tenant from any liability under this Lease, and (v) the liability of such Permitted Transferee in the event of an assignment shall be joint and several with Tenant. “</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xml:space="preserve">,” as used in this </w:t>
      </w:r>
      <w:r>
        <w:rPr>
          <w:rFonts w:ascii="Times New Roman" w:cs="Times New Roman" w:eastAsia="Times New Roman" w:hAnsi="Times New Roman"/>
          <w:sz w:val="20"/>
          <w:szCs w:val="20"/>
          <w:u w:val="single" w:color="auto"/>
          <w:color w:val="auto"/>
        </w:rPr>
        <w:t>Section 14.8</w:t>
      </w:r>
      <w:r>
        <w:rPr>
          <w:rFonts w:ascii="Times New Roman" w:cs="Times New Roman" w:eastAsia="Times New Roman" w:hAnsi="Times New Roman"/>
          <w:sz w:val="20"/>
          <w:szCs w:val="20"/>
          <w:color w:val="auto"/>
        </w:rPr>
        <w:t xml:space="preserve">, shall mean the ownership, directly or indirectly, of more than fifty percent (50%) of the voting securities of, or possession of the right to vote, in the ordinary direction of its affairs, of more than fifty percent (50%) of the voting interest in, any person or entity. An assignee of Tenant’s interest under this Lease pursuant to this </w:t>
      </w:r>
      <w:r>
        <w:rPr>
          <w:rFonts w:ascii="Times New Roman" w:cs="Times New Roman" w:eastAsia="Times New Roman" w:hAnsi="Times New Roman"/>
          <w:sz w:val="20"/>
          <w:szCs w:val="20"/>
          <w:u w:val="single" w:color="auto"/>
          <w:color w:val="auto"/>
        </w:rPr>
        <w:t>Section 14.8</w:t>
      </w:r>
      <w:r>
        <w:rPr>
          <w:rFonts w:ascii="Times New Roman" w:cs="Times New Roman" w:eastAsia="Times New Roman" w:hAnsi="Times New Roman"/>
          <w:sz w:val="20"/>
          <w:szCs w:val="20"/>
          <w:color w:val="auto"/>
        </w:rPr>
        <w:t xml:space="preserve"> is referred to as a “</w:t>
      </w:r>
      <w:r>
        <w:rPr>
          <w:rFonts w:ascii="Times New Roman" w:cs="Times New Roman" w:eastAsia="Times New Roman" w:hAnsi="Times New Roman"/>
          <w:sz w:val="20"/>
          <w:szCs w:val="20"/>
          <w:b w:val="1"/>
          <w:bCs w:val="1"/>
          <w:color w:val="auto"/>
        </w:rPr>
        <w:t>Permitted Assignee</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ARTICLE 15</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SURRENDER OF PREMISES; OWNERSHIP AND</w:t>
      </w:r>
    </w:p>
    <w:p>
      <w:pPr>
        <w:spacing w:after="0" w:line="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u w:val="single" w:color="auto"/>
          <w:color w:val="auto"/>
        </w:rPr>
        <w:t>REMOVAL OF TRADE FIXTURES</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b w:val="1"/>
          <w:bCs w:val="1"/>
          <w:u w:val="single" w:color="auto"/>
          <w:color w:val="auto"/>
        </w:rPr>
        <w:t>Surrender of Premises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b w:val="1"/>
          <w:bCs w:val="1"/>
          <w:u w:val="single" w:color="auto"/>
          <w:color w:val="auto"/>
        </w:rPr>
        <w:t>Removal of Tenant Property by Tenant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Upon the expiration of the Lease Term, or upon any earlier termination of this Lease, Tenant shall, subject to the provisions of this </w:t>
      </w:r>
      <w:r>
        <w:rPr>
          <w:rFonts w:ascii="Times New Roman" w:cs="Times New Roman" w:eastAsia="Times New Roman" w:hAnsi="Times New Roman"/>
          <w:sz w:val="20"/>
          <w:szCs w:val="20"/>
          <w:u w:val="single" w:color="auto"/>
          <w:color w:val="auto"/>
        </w:rPr>
        <w:t>Article 15</w:t>
      </w:r>
      <w:r>
        <w:rPr>
          <w:rFonts w:ascii="Times New Roman" w:cs="Times New Roman" w:eastAsia="Times New Roman" w:hAnsi="Times New Roman"/>
          <w:sz w:val="20"/>
          <w:szCs w:val="20"/>
          <w:color w:val="auto"/>
        </w:rPr>
        <w:t xml:space="preserve"> and Tenant’s removal and restoration obligations set forth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above, quit and surrender possession of the Premises to Landlord in as good order and condition as when Tenant took possession and as thereafter improved by Landlord and/or Tenant, reasonable wear and tear, casualty damage and repairs which are specifically made the responsibility of Landlord hereunder excepted. Upon such expiration or termination, Tenant shall, without expense to Landlord, remove or cause to be removed from the Premises all debris and rubbish, and such items of furniture, equipment, business and trade fixtures, free-standing cabinet work, movable partitions and other articles of personal property owned by Tenant or installed or placed by Tenant at its expense in the Premises, and such similar articles of any other persons claiming under Tenant, and Tenant shall repair at its own expense all damage to the Premises and Building resulting from such removal.</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1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HOLDING OVER</w:t>
      </w:r>
    </w:p>
    <w:p>
      <w:pPr>
        <w:spacing w:after="0" w:line="220"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If Tenant shall remain in possession of all or any portion of the Premises after the expiration of the Term or the sooner termination of this Lease without the written consent of Lessor (which consent may be granted or withheld at the sole discretion of Landlord), such holding over shall constitute a tenancy at sufferance and in such case Base Rent shall be payable at a monthly rate equal to the product of (i) the Base Rent applicable during the last rental period of the Lease Term under this Lease, and (ii) a percentage equal to 150%, and such occupancy shall be otherwise on the terms and provisions of this Lease so far as the same are applicable, and Tenant shall be subject to summary eviction without demand or notice; provided, however, in no event shall any renewal or expansion option or other similar right or option set forth in this Lease (if any) be deemed applicable to any such tenancy at sufferance. No holdover by Lessee or payment by Lessee after the expiration or earlier termination of this Lease shall be construed to extend the Term or prevent Landlord from immediate recovery of possession of the Premises by summary proceedings or otherwise. If Tenant holds over after the expiration of the Lease Term or earlier termination thereof, with the express written consent of Landlord, such tenancy shall be from month-to-month only, and shall not constitute a renewal hereof or an extension for any further term, and in such case Base Rent shall be payable at a monthly rate equal to the product of (i) the Base Rent applicable during the last rental period of the Lease Term under this Lease, and (ii) a percentage equal to 110%. Such month-to-month tenancy and any period of holding over by Tenant shall be subject to every other applicable term, covenant and agreement contained herein. Nothing contained in this </w:t>
      </w:r>
      <w:r>
        <w:rPr>
          <w:rFonts w:ascii="Times New Roman" w:cs="Times New Roman" w:eastAsia="Times New Roman" w:hAnsi="Times New Roman"/>
          <w:sz w:val="20"/>
          <w:szCs w:val="20"/>
          <w:u w:val="single" w:color="auto"/>
          <w:color w:val="auto"/>
        </w:rPr>
        <w:t>Article 16</w:t>
      </w:r>
      <w:r>
        <w:rPr>
          <w:rFonts w:ascii="Times New Roman" w:cs="Times New Roman" w:eastAsia="Times New Roman" w:hAnsi="Times New Roman"/>
          <w:sz w:val="20"/>
          <w:szCs w:val="20"/>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Times New Roman" w:cs="Times New Roman" w:eastAsia="Times New Roman" w:hAnsi="Times New Roman"/>
          <w:sz w:val="20"/>
          <w:szCs w:val="20"/>
          <w:u w:val="single" w:color="auto"/>
          <w:color w:val="auto"/>
        </w:rPr>
        <w:t>Article 16</w:t>
      </w:r>
      <w:r>
        <w:rPr>
          <w:rFonts w:ascii="Times New Roman" w:cs="Times New Roman" w:eastAsia="Times New Roman" w:hAnsi="Times New Roman"/>
          <w:sz w:val="20"/>
          <w:szCs w:val="20"/>
          <w:color w:val="auto"/>
        </w:rPr>
        <w:t xml:space="preserve"> shall not be deemed to limit or constitute a waiver of any other rights or remedies of Landlord provided herein or at law. If Tenant fails to surrender the Premises upon the termination or expiration of this Lease and such failure continues for more than thirty (30) days after written notice thereof from Landlord,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 The provisions of this Article 16 shall survive the expiration or earlier termination of this Lease.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ESTOPPEL CERTIFICATES</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19"/>
          <w:szCs w:val="19"/>
          <w:b w:val="1"/>
          <w:bCs w:val="1"/>
          <w:u w:val="single" w:color="auto"/>
          <w:color w:val="auto"/>
        </w:rPr>
        <w:t>Estoppel Certificates.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Within ten (10) business days following a request in writing by Landlord, Tenant shall execute,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acknowledge and deliver to Landlord an estoppel certificate, which, as submitted by Landlord, shall be substantially in the form of </w:t>
      </w:r>
      <w:r>
        <w:rPr>
          <w:rFonts w:ascii="Times New Roman" w:cs="Times New Roman" w:eastAsia="Times New Roman" w:hAnsi="Times New Roman"/>
          <w:sz w:val="19"/>
          <w:szCs w:val="19"/>
          <w:b w:val="1"/>
          <w:bCs w:val="1"/>
          <w:u w:val="single" w:color="auto"/>
          <w:color w:val="auto"/>
        </w:rPr>
        <w:t>Exhibit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auto"/>
        </w:rPr>
        <w: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attached hereto (or such other form as may be reasonably required by any prospective mortgagee or purchaser of the Project, 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In addition, at Landlord's request, Tenant shall cause Guarantor (if any) to execute and deliver to Landlord an estoppel certificate addressed to Landlord, any mortgagee or prospective mortgagee, or any prospective purchaser, executed by an authorized officer of Guarantor and certifying (a) that any Guaranty of Lease is unmodified and in full force and effect and (b) to such other matters as Landlord may reasonably request.</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2" w:name="page143"/>
    <w:bookmarkEnd w:id="142"/>
    <w:p>
      <w:pPr>
        <w:jc w:val="both"/>
        <w:ind w:right="40" w:firstLine="749"/>
        <w:spacing w:after="0" w:line="254"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19"/>
          <w:szCs w:val="19"/>
          <w:b w:val="1"/>
          <w:bCs w:val="1"/>
          <w:u w:val="single" w:color="auto"/>
          <w:color w:val="auto"/>
        </w:rPr>
        <w:t>Financial Statements.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Within ten (10) business days after Landlord's request (but no more often than twice each year),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provided Landlord signs Tenant's commercially reasonable confidentiality agreement, Tenant shall deliver to Landlord (and any prospective purchaser or mortgagee of the Building) the then current financial statements of Tenant (including a balance sheet and profit and loss statement for the most recent prior fiscal year for which annual statements are available and financial statements for interim periods following the end of the last fiscal year for which annual statements are available), together with a certificate of Tenant's auditor (or if audited financial statements are not available, then a certificate of Tenant's Chief Financial Officer, General Partner or Managing Member) to the effect that such financial statements were prepared in accordance with generally accepted accounting principles consistently applied and fairly present the financial condition and operations of Tenant for, and as of the end of, such fiscal year. The provisions of this paragraph shall not apply during any period that Tenant or its parent is listed on a nationally recognized stock exchange or during any period that Guarantor is listed on a nationally recognized stock exchange provided that a breakout of Tenant (and Guarantor) entity financials are included in the public disclosures.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ARTICLE 18</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SUBORDINATION</w:t>
      </w:r>
    </w:p>
    <w:p>
      <w:pPr>
        <w:spacing w:after="0" w:line="220"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This Lease shall be subject and subordinate to all present and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collectively, </w:t>
      </w:r>
      <w:r>
        <w:rPr>
          <w:rFonts w:ascii="Times New Roman" w:cs="Times New Roman" w:eastAsia="Times New Roman" w:hAnsi="Times New Roman"/>
          <w:sz w:val="21"/>
          <w:szCs w:val="21"/>
          <w:b w:val="1"/>
          <w:bCs w:val="1"/>
          <w:color w:val="auto"/>
        </w:rPr>
        <w:t>"Encumbrances"</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unless the holders of such mortgages, trust deeds or other encumbrances, or the lessors under such ground lease or underlying leases (collectively, </w:t>
      </w:r>
      <w:r>
        <w:rPr>
          <w:rFonts w:ascii="Times New Roman" w:cs="Times New Roman" w:eastAsia="Times New Roman" w:hAnsi="Times New Roman"/>
          <w:sz w:val="21"/>
          <w:szCs w:val="21"/>
          <w:b w:val="1"/>
          <w:bCs w:val="1"/>
          <w:color w:val="auto"/>
        </w:rPr>
        <w:t>"Encumbrancers"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require in writing that this Lease be superior thereto. As of the date of execution of this Lease, Landlord represents that there is no secured mortgage or deed of trust or ground lease encumbering the Building or Project. In consideration of, and as a condition precedent to Tenant's agreement to subordinate this Lease to any future Encumbrances, Landlord shall obtain and deliver to Tenant, provided that Tenant is not then in Default under this Lease, a commercially reasonable subordination, non-disturbance and attornment agreement executed by Landlord and the then­ current Encumbrancer. Tenant covenants and agrees in the event any proceedings are brought for the foreclosure of any such mortgage or deed in lieu thereof (or if any ground lease is terminated), to attorn, without any deductions or set-offs whatsoever (including without limitation, any liability for the previous Landlord's acts or omissions other than defaults of a continuing nature which the successor Landlord has notice of and an opportunity to cure in accordance with the terms of this Lease, any rent prepaid to the previous Landlord more than thirty (30) days in advance of the due date thereof unless actually received, or any modifications to the Lease made without the consent of the Building's mortgagee or ground lessor (as applicable), to the extent such consent was required under the applicable mortgage or ground lease),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become Landlord hereunder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business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w:t>
      </w: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08" w:right="2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color w:val="auto"/>
        </w:rPr>
        <w:t>affect this Lease and the obligations of the Tenant hereunder in the event of any foreclosure proceeding or sale.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19</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DEFAULTS; REMEDIES</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19.1 </w:t>
      </w:r>
      <w:r>
        <w:rPr>
          <w:rFonts w:ascii="Times New Roman" w:cs="Times New Roman" w:eastAsia="Times New Roman" w:hAnsi="Times New Roman"/>
          <w:sz w:val="20"/>
          <w:szCs w:val="20"/>
          <w:b w:val="1"/>
          <w:bCs w:val="1"/>
          <w:u w:val="single" w:color="auto"/>
          <w:color w:val="auto"/>
        </w:rPr>
        <w:t>Events of Default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occurrence of any of the following shall constitute a default of this Lease by Tenant (“</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40" w:firstLine="1497"/>
        <w:spacing w:after="0" w:line="269" w:lineRule="auto"/>
        <w:rPr>
          <w:sz w:val="20"/>
          <w:szCs w:val="20"/>
          <w:color w:val="auto"/>
        </w:rPr>
      </w:pPr>
      <w:r>
        <w:rPr>
          <w:rFonts w:ascii="Times New Roman" w:cs="Times New Roman" w:eastAsia="Times New Roman" w:hAnsi="Times New Roman"/>
          <w:sz w:val="20"/>
          <w:szCs w:val="20"/>
          <w:color w:val="auto"/>
        </w:rPr>
        <w:t>19.1.1 Any failure by Tenant to pay any Rent or any other charge required to be paid under this Lease, or any part thereof, when due unless such failure is cured within five (5) business days after notice; or</w:t>
      </w:r>
    </w:p>
    <w:p>
      <w:pPr>
        <w:spacing w:after="0" w:line="15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19.1.2 Any failure by Tenant to observe or perform any other provision, covenant or condition of this Lease to be observed or performed by Tenant (other than those referred to in any other subsection of this </w:t>
      </w:r>
      <w:r>
        <w:rPr>
          <w:rFonts w:ascii="Times New Roman" w:cs="Times New Roman" w:eastAsia="Times New Roman" w:hAnsi="Times New Roman"/>
          <w:sz w:val="20"/>
          <w:szCs w:val="20"/>
          <w:u w:val="single" w:color="auto"/>
          <w:color w:val="auto"/>
        </w:rPr>
        <w:t>Section 19.1</w:t>
      </w:r>
      <w:r>
        <w:rPr>
          <w:rFonts w:ascii="Times New Roman" w:cs="Times New Roman" w:eastAsia="Times New Roman" w:hAnsi="Times New Roman"/>
          <w:sz w:val="20"/>
          <w:szCs w:val="20"/>
          <w:color w:val="auto"/>
        </w:rPr>
        <w: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spacing w:after="0" w:line="185" w:lineRule="exact"/>
        <w:rPr>
          <w:sz w:val="20"/>
          <w:szCs w:val="20"/>
          <w:color w:val="auto"/>
        </w:rPr>
      </w:pPr>
    </w:p>
    <w:p>
      <w:pPr>
        <w:ind w:left="1500"/>
        <w:spacing w:after="0"/>
        <w:tabs>
          <w:tab w:leader="none" w:pos="2280" w:val="left"/>
        </w:tabs>
        <w:rPr>
          <w:sz w:val="20"/>
          <w:szCs w:val="20"/>
          <w:color w:val="auto"/>
        </w:rPr>
      </w:pPr>
      <w:r>
        <w:rPr>
          <w:rFonts w:ascii="Times New Roman" w:cs="Times New Roman" w:eastAsia="Times New Roman" w:hAnsi="Times New Roman"/>
          <w:sz w:val="20"/>
          <w:szCs w:val="20"/>
          <w:color w:val="auto"/>
        </w:rPr>
        <w:t>19.1.3</w:t>
      </w:r>
      <w:r>
        <w:rPr>
          <w:sz w:val="20"/>
          <w:szCs w:val="20"/>
          <w:color w:val="auto"/>
        </w:rPr>
        <w:tab/>
      </w:r>
      <w:r>
        <w:rPr>
          <w:rFonts w:ascii="Times New Roman" w:cs="Times New Roman" w:eastAsia="Times New Roman" w:hAnsi="Times New Roman"/>
          <w:sz w:val="19"/>
          <w:szCs w:val="19"/>
          <w:color w:val="auto"/>
        </w:rPr>
        <w:t>Intentionally Omitted; or</w:t>
      </w:r>
    </w:p>
    <w:p>
      <w:pPr>
        <w:spacing w:after="0" w:line="21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19.1.4 The failure by Tenant to observe or perform according to the provisions of </w:t>
      </w:r>
      <w:r>
        <w:rPr>
          <w:rFonts w:ascii="Times New Roman" w:cs="Times New Roman" w:eastAsia="Times New Roman" w:hAnsi="Times New Roman"/>
          <w:sz w:val="20"/>
          <w:szCs w:val="20"/>
          <w:u w:val="single" w:color="auto"/>
          <w:color w:val="auto"/>
        </w:rPr>
        <w:t>Articles 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18</w:t>
      </w:r>
      <w:r>
        <w:rPr>
          <w:rFonts w:ascii="Times New Roman" w:cs="Times New Roman" w:eastAsia="Times New Roman" w:hAnsi="Times New Roman"/>
          <w:sz w:val="20"/>
          <w:szCs w:val="20"/>
          <w:color w:val="auto"/>
        </w:rPr>
        <w:t xml:space="preserve"> of this Lease where such failure continues for more than three (3) business days after notice from Landlord; or</w:t>
      </w:r>
    </w:p>
    <w:p>
      <w:pPr>
        <w:spacing w:after="0" w:line="15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19.1.5 A general assignment by Tenant for the benefit of creditors of Tenant, the liquidation of Tenant, any action or proceeding commenced by Tenant under any insolvency or bankruptcy act or under any other statute or regulation for protection from creditors, or any such action commenced against Tenant and not discharged within thirty (30) days after the date of commencement; the employment or appointment of a receiver or trustee to take possession of all or substantially all of Tenant's assets or the Premises that remains undismissed for ten (10) business days; the attachment, execution or other seizure of all or substantially all of Tenant's assets or the Premises, if such attachment or other seizure remains undismissed or undischarged for a period of ten (10) business days after the levy thereof; the admission by Tenant in writing of its inability to pay its debts as they become due; or the filing by Tenant of a petition seeking any reorganization, arrangement, composition, readjustment, liquidation, dissolution or similar relief under any present or future statute, law or regulation, the filing by Tenant of an answer admitting or failing timely to contest a material allegation of a petition filed against Tenant in any such proceeding or, if within thirty (30) days after the commencement of any such proceeding against Tenant, such proceeding is not dismissed; or</w:t>
      </w:r>
    </w:p>
    <w:p>
      <w:pPr>
        <w:spacing w:after="0" w:line="19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19.1.6 Any failure by Guarantor, if any, to observe or perform any provisions, covenant or condition of the Guaranty to be observed or performed by Guarantor, where such failure continues for ten (10) days after written notice thereof from Landlord to Guarantor.</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Tenant agrees that any notice given by Landlord pursuant to </w:t>
      </w:r>
      <w:r>
        <w:rPr>
          <w:rFonts w:ascii="Times New Roman" w:cs="Times New Roman" w:eastAsia="Times New Roman" w:hAnsi="Times New Roman"/>
          <w:sz w:val="20"/>
          <w:szCs w:val="20"/>
          <w:u w:val="single" w:color="auto"/>
          <w:color w:val="auto"/>
        </w:rPr>
        <w:t>Sections 19.1.1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19.1.2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19.1.4</w:t>
      </w:r>
      <w:r>
        <w:rPr>
          <w:rFonts w:ascii="Times New Roman" w:cs="Times New Roman" w:eastAsia="Times New Roman" w:hAnsi="Times New Roman"/>
          <w:sz w:val="20"/>
          <w:szCs w:val="20"/>
          <w:color w:val="auto"/>
        </w:rPr>
        <w:t xml:space="preserve"> above shall satisfy the requirements for notice under California Code of Civil Procedure Section 1161, et. seq., and Landlord shall not be required to give any additional notice in order to be entitled to commence an</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9"/>
          <w:szCs w:val="19"/>
          <w:color w:val="auto"/>
        </w:rPr>
        <w:t>unlawful detainer proceeding, as long as any such notice given to Tenant is prepared and served upon Tenant in accordance with such statute.</w:t>
      </w:r>
    </w:p>
    <w:p>
      <w:pPr>
        <w:spacing w:after="0" w:line="223" w:lineRule="exact"/>
        <w:rPr>
          <w:sz w:val="20"/>
          <w:szCs w:val="20"/>
          <w:color w:val="auto"/>
        </w:rPr>
      </w:pPr>
    </w:p>
    <w:p>
      <w:pPr>
        <w:jc w:val="both"/>
        <w:ind w:left="100" w:firstLine="749"/>
        <w:spacing w:after="0" w:line="250" w:lineRule="auto"/>
        <w:rPr>
          <w:sz w:val="20"/>
          <w:szCs w:val="20"/>
          <w:color w:val="auto"/>
        </w:rPr>
      </w:pPr>
      <w:r>
        <w:rPr>
          <w:rFonts w:ascii="Times New Roman" w:cs="Times New Roman" w:eastAsia="Times New Roman" w:hAnsi="Times New Roman"/>
          <w:sz w:val="20"/>
          <w:szCs w:val="20"/>
          <w:color w:val="auto"/>
        </w:rPr>
        <w:t xml:space="preserve">19.2 </w:t>
      </w:r>
      <w:r>
        <w:rPr>
          <w:rFonts w:ascii="Times New Roman" w:cs="Times New Roman" w:eastAsia="Times New Roman" w:hAnsi="Times New Roman"/>
          <w:sz w:val="20"/>
          <w:szCs w:val="20"/>
          <w:b w:val="1"/>
          <w:bCs w:val="1"/>
          <w:u w:val="single" w:color="auto"/>
          <w:color w:val="auto"/>
        </w:rPr>
        <w:t>Remedies Upon Default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Upon the occurrence of any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18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19.2.1 Terminate this Lease, in which event Tenant shall immediately surrender the Premises to Landlord, and if Tenant fails to do so, Landlord may, without prejudice to any other remedy which it may have for possession or arrearages in rent, in accordance with Applicable Laws, enter upon and take possession of the Premises and expel or remove Tenant to the extent permitted by applicable law, and any other person who may be occupying the Premises or any part thereof, without being liable for prosecution or any claim or damages therefor; and Landlord may recover from Tenant the following:</w:t>
      </w:r>
    </w:p>
    <w:p>
      <w:pPr>
        <w:spacing w:after="0" w:line="185" w:lineRule="exact"/>
        <w:rPr>
          <w:sz w:val="20"/>
          <w:szCs w:val="20"/>
          <w:color w:val="auto"/>
        </w:rPr>
      </w:pPr>
    </w:p>
    <w:p>
      <w:pPr>
        <w:ind w:left="2660" w:hanging="406"/>
        <w:spacing w:after="0"/>
        <w:tabs>
          <w:tab w:leader="none" w:pos="2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unpaid rent which has been earned at the time of such termination;</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plus</w:t>
      </w:r>
    </w:p>
    <w:p>
      <w:pPr>
        <w:spacing w:after="0" w:line="194" w:lineRule="exact"/>
        <w:rPr>
          <w:sz w:val="20"/>
          <w:szCs w:val="20"/>
          <w:color w:val="auto"/>
        </w:rPr>
      </w:pPr>
    </w:p>
    <w:p>
      <w:pPr>
        <w:jc w:val="both"/>
        <w:ind w:left="760" w:right="20" w:firstLine="1494"/>
        <w:spacing w:after="0" w:line="254" w:lineRule="auto"/>
        <w:tabs>
          <w:tab w:leader="none" w:pos="265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74" w:lineRule="exact"/>
        <w:rPr>
          <w:rFonts w:ascii="Times New Roman" w:cs="Times New Roman" w:eastAsia="Times New Roman" w:hAnsi="Times New Roman"/>
          <w:sz w:val="20"/>
          <w:szCs w:val="20"/>
          <w:color w:val="auto"/>
        </w:rPr>
      </w:pPr>
    </w:p>
    <w:p>
      <w:pPr>
        <w:ind w:left="760" w:right="20" w:firstLine="1494"/>
        <w:spacing w:after="0" w:line="269" w:lineRule="auto"/>
        <w:tabs>
          <w:tab w:leader="none" w:pos="265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159" w:lineRule="exact"/>
        <w:rPr>
          <w:rFonts w:ascii="Times New Roman" w:cs="Times New Roman" w:eastAsia="Times New Roman" w:hAnsi="Times New Roman"/>
          <w:sz w:val="20"/>
          <w:szCs w:val="20"/>
          <w:color w:val="auto"/>
        </w:rPr>
      </w:pPr>
    </w:p>
    <w:p>
      <w:pPr>
        <w:ind w:left="760" w:right="20" w:firstLine="1494"/>
        <w:spacing w:after="0" w:line="295" w:lineRule="auto"/>
        <w:tabs>
          <w:tab w:leader="none" w:pos="2653"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amount necessary to compensate Landlord for all the detriment proximately caused by Tenant’s failure to perform its obligations under this Lease or which in the ordinary course of things would be likely to result therefrom; and</w:t>
      </w:r>
    </w:p>
    <w:p>
      <w:pPr>
        <w:spacing w:after="0" w:line="137" w:lineRule="exact"/>
        <w:rPr>
          <w:rFonts w:ascii="Times New Roman" w:cs="Times New Roman" w:eastAsia="Times New Roman" w:hAnsi="Times New Roman"/>
          <w:sz w:val="19"/>
          <w:szCs w:val="19"/>
          <w:color w:val="auto"/>
        </w:rPr>
      </w:pPr>
    </w:p>
    <w:p>
      <w:pPr>
        <w:ind w:left="760" w:right="20" w:firstLine="1494"/>
        <w:spacing w:after="0" w:line="269" w:lineRule="auto"/>
        <w:tabs>
          <w:tab w:leader="none" w:pos="265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Landlord’s election, such other amounts in addition to or in lieu of the foregoing as may be permitted from time to time by applicable law.</w:t>
      </w:r>
    </w:p>
    <w:p>
      <w:pPr>
        <w:spacing w:after="0" w:line="15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 xml:space="preserve">The term “rent” as used in this </w:t>
      </w:r>
      <w:r>
        <w:rPr>
          <w:rFonts w:ascii="Times New Roman" w:cs="Times New Roman" w:eastAsia="Times New Roman" w:hAnsi="Times New Roman"/>
          <w:sz w:val="19"/>
          <w:szCs w:val="19"/>
          <w:u w:val="single" w:color="auto"/>
          <w:color w:val="auto"/>
        </w:rPr>
        <w:t>Section 19.2</w:t>
      </w:r>
      <w:r>
        <w:rPr>
          <w:rFonts w:ascii="Times New Roman" w:cs="Times New Roman" w:eastAsia="Times New Roman" w:hAnsi="Times New Roman"/>
          <w:sz w:val="19"/>
          <w:szCs w:val="19"/>
          <w:color w:val="auto"/>
        </w:rPr>
        <w:t xml:space="preserve"> shall be deemed to be and to mean all sums of every nature required to be paid by Tenant pursuant to the terms of this Lease, whether to Landlord or to others. As used in </w:t>
      </w:r>
      <w:r>
        <w:rPr>
          <w:rFonts w:ascii="Times New Roman" w:cs="Times New Roman" w:eastAsia="Times New Roman" w:hAnsi="Times New Roman"/>
          <w:sz w:val="19"/>
          <w:szCs w:val="19"/>
          <w:u w:val="single" w:color="auto"/>
          <w:color w:val="auto"/>
        </w:rPr>
        <w:t>Sections 19.2.1(i)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the “worth at the time of award” shall be computed by allowing interest at the rate set forth in </w:t>
      </w:r>
      <w:r>
        <w:rPr>
          <w:rFonts w:ascii="Times New Roman" w:cs="Times New Roman" w:eastAsia="Times New Roman" w:hAnsi="Times New Roman"/>
          <w:sz w:val="19"/>
          <w:szCs w:val="19"/>
          <w:u w:val="single" w:color="auto"/>
          <w:color w:val="auto"/>
        </w:rPr>
        <w:t>Article 25</w:t>
      </w:r>
      <w:r>
        <w:rPr>
          <w:rFonts w:ascii="Times New Roman" w:cs="Times New Roman" w:eastAsia="Times New Roman" w:hAnsi="Times New Roman"/>
          <w:sz w:val="19"/>
          <w:szCs w:val="19"/>
          <w:color w:val="auto"/>
        </w:rPr>
        <w:t xml:space="preserve"> of this Lease, but in no case greater than the maximum amount of such interest permitted by law. As used in </w:t>
      </w:r>
      <w:r>
        <w:rPr>
          <w:rFonts w:ascii="Times New Roman" w:cs="Times New Roman" w:eastAsia="Times New Roman" w:hAnsi="Times New Roman"/>
          <w:sz w:val="19"/>
          <w:szCs w:val="19"/>
          <w:u w:val="single" w:color="auto"/>
          <w:color w:val="auto"/>
        </w:rPr>
        <w:t>Section 19.2.1(iii)</w:t>
      </w:r>
      <w:r>
        <w:rPr>
          <w:rFonts w:ascii="Times New Roman" w:cs="Times New Roman" w:eastAsia="Times New Roman" w:hAnsi="Times New Roman"/>
          <w:sz w:val="19"/>
          <w:szCs w:val="19"/>
          <w:color w:val="auto"/>
        </w:rPr>
        <w:t xml:space="preserve"> above, the “worth at the time of award” shall be computed by discounting such amount at the discount rate of the Federal Reserve Bank of San Francisco at the time of award plus one percent (1%).</w:t>
      </w:r>
    </w:p>
    <w:p>
      <w:pPr>
        <w:spacing w:after="0" w:line="16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beyond the notice and grace periods set forth herein, Landlord may, from time to time, without terminating this Lease, enforce all of its rights and remedies under this Lease, including the right to recover all rent as it becomes due.</w:t>
      </w:r>
    </w:p>
    <w:p>
      <w:pPr>
        <w:spacing w:after="0" w:line="185" w:lineRule="exact"/>
        <w:rPr>
          <w:sz w:val="20"/>
          <w:szCs w:val="20"/>
          <w:color w:val="auto"/>
        </w:rPr>
      </w:pPr>
    </w:p>
    <w:p>
      <w:pPr>
        <w:jc w:val="both"/>
        <w:ind w:right="2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19.2.3 Landlord shall at all times have the rights and remedies (which shall be cumulative with each other and cumulative and in addition to those rights and remedies available under </w:t>
      </w:r>
      <w:r>
        <w:rPr>
          <w:rFonts w:ascii="Times New Roman" w:cs="Times New Roman" w:eastAsia="Times New Roman" w:hAnsi="Times New Roman"/>
          <w:sz w:val="20"/>
          <w:szCs w:val="20"/>
          <w:u w:val="single" w:color="auto"/>
          <w:color w:val="auto"/>
        </w:rPr>
        <w:t>Sections 19.2.1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19.2.2</w:t>
      </w:r>
      <w:r>
        <w:rPr>
          <w:rFonts w:ascii="Times New Roman" w:cs="Times New Roman" w:eastAsia="Times New Roman" w:hAnsi="Times New Roman"/>
          <w:sz w:val="20"/>
          <w:szCs w:val="20"/>
          <w:color w:val="auto"/>
        </w:rPr>
        <w:t>, above, or any law or other provision of this Lease), without prior demand or notice except as</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ind w:right="20"/>
        <w:spacing w:after="0" w:line="269" w:lineRule="auto"/>
        <w:rPr>
          <w:sz w:val="20"/>
          <w:szCs w:val="20"/>
          <w:color w:val="auto"/>
        </w:rPr>
      </w:pPr>
      <w:r>
        <w:rPr>
          <w:rFonts w:ascii="Times New Roman" w:cs="Times New Roman" w:eastAsia="Times New Roman" w:hAnsi="Times New Roman"/>
          <w:sz w:val="20"/>
          <w:szCs w:val="20"/>
          <w:color w:val="auto"/>
        </w:rPr>
        <w:t>required by applicable law, to seek any declaratory, injunctive or other equitable relief, and specifically enforce this Lease, or restrain or enjoin a violation or breach of any provision hereof.</w:t>
      </w:r>
    </w:p>
    <w:p>
      <w:pPr>
        <w:spacing w:after="0" w:line="155" w:lineRule="exact"/>
        <w:rPr>
          <w:sz w:val="20"/>
          <w:szCs w:val="20"/>
          <w:color w:val="auto"/>
        </w:rPr>
      </w:pPr>
    </w:p>
    <w:p>
      <w:pPr>
        <w:jc w:val="both"/>
        <w:ind w:left="100" w:firstLine="749"/>
        <w:spacing w:after="0" w:line="245" w:lineRule="auto"/>
        <w:rPr>
          <w:sz w:val="20"/>
          <w:szCs w:val="20"/>
          <w:color w:val="auto"/>
        </w:rPr>
      </w:pPr>
      <w:r>
        <w:rPr>
          <w:rFonts w:ascii="Times New Roman" w:cs="Times New Roman" w:eastAsia="Times New Roman" w:hAnsi="Times New Roman"/>
          <w:sz w:val="20"/>
          <w:szCs w:val="20"/>
          <w:color w:val="auto"/>
        </w:rPr>
        <w:t xml:space="preserve">19.3 </w:t>
      </w:r>
      <w:r>
        <w:rPr>
          <w:rFonts w:ascii="Times New Roman" w:cs="Times New Roman" w:eastAsia="Times New Roman" w:hAnsi="Times New Roman"/>
          <w:sz w:val="20"/>
          <w:szCs w:val="20"/>
          <w:b w:val="1"/>
          <w:bCs w:val="1"/>
          <w:u w:val="single" w:color="auto"/>
          <w:color w:val="auto"/>
        </w:rPr>
        <w:t>Subleases of Tenant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Landlord elects to terminate this Lease on account of any Default by Tenant, as set forth in this </w:t>
      </w:r>
      <w:r>
        <w:rPr>
          <w:rFonts w:ascii="Times New Roman" w:cs="Times New Roman" w:eastAsia="Times New Roman" w:hAnsi="Times New Roman"/>
          <w:sz w:val="20"/>
          <w:szCs w:val="20"/>
          <w:u w:val="single" w:color="auto"/>
          <w:color w:val="auto"/>
        </w:rPr>
        <w:t>Article 19</w:t>
      </w:r>
      <w:r>
        <w:rPr>
          <w:rFonts w:ascii="Times New Roman" w:cs="Times New Roman" w:eastAsia="Times New Roman" w:hAnsi="Times New Roman"/>
          <w:sz w:val="20"/>
          <w:szCs w:val="20"/>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 All amounts received by Landlord shall be creditable against amounts owed by Tenant.</w:t>
      </w:r>
    </w:p>
    <w:p>
      <w:pPr>
        <w:spacing w:after="0" w:line="179" w:lineRule="exact"/>
        <w:rPr>
          <w:sz w:val="20"/>
          <w:szCs w:val="20"/>
          <w:color w:val="auto"/>
        </w:rPr>
      </w:pPr>
    </w:p>
    <w:p>
      <w:pPr>
        <w:jc w:val="both"/>
        <w:ind w:left="10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19.4 </w:t>
      </w:r>
      <w:r>
        <w:rPr>
          <w:rFonts w:ascii="Times New Roman" w:cs="Times New Roman" w:eastAsia="Times New Roman" w:hAnsi="Times New Roman"/>
          <w:sz w:val="20"/>
          <w:szCs w:val="20"/>
          <w:b w:val="1"/>
          <w:bCs w:val="1"/>
          <w:u w:val="single" w:color="auto"/>
          <w:color w:val="auto"/>
        </w:rPr>
        <w:t>Form of Payment After Default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Following the occurrence of three (3) monetary or financial events of Default by Tenant in any twelve (12) consecutive month period, Landlord shall have the right to require either or both of the following: (i) that all subsequent amounts required to be paid by Tenant to Landlord pursuant to this Lease, be paid in advance on a quarterly basis, and/or (ii) that any or all subsequent amounts paid by Tenant to Landlord hereunder, whether to cure the default in question or otherwise, be paid in the form of cash, money order, cashier’s or certified check drawn on an institution acceptable to Landlord, or by other means approved by Landlord, notwithstanding any prior practice of accepting payments in any different form.</w:t>
      </w:r>
    </w:p>
    <w:p>
      <w:pPr>
        <w:spacing w:after="0" w:line="179" w:lineRule="exact"/>
        <w:rPr>
          <w:sz w:val="20"/>
          <w:szCs w:val="20"/>
          <w:color w:val="auto"/>
        </w:rPr>
      </w:pPr>
    </w:p>
    <w:p>
      <w:pPr>
        <w:jc w:val="both"/>
        <w:ind w:left="100" w:firstLine="749"/>
        <w:spacing w:after="0" w:line="268" w:lineRule="auto"/>
        <w:rPr>
          <w:sz w:val="20"/>
          <w:szCs w:val="20"/>
          <w:color w:val="auto"/>
        </w:rPr>
      </w:pPr>
      <w:r>
        <w:rPr>
          <w:rFonts w:ascii="Times New Roman" w:cs="Times New Roman" w:eastAsia="Times New Roman" w:hAnsi="Times New Roman"/>
          <w:sz w:val="19"/>
          <w:szCs w:val="19"/>
          <w:color w:val="auto"/>
        </w:rPr>
        <w:t xml:space="preserve">19.5 </w:t>
      </w:r>
      <w:r>
        <w:rPr>
          <w:rFonts w:ascii="Times New Roman" w:cs="Times New Roman" w:eastAsia="Times New Roman" w:hAnsi="Times New Roman"/>
          <w:sz w:val="19"/>
          <w:szCs w:val="19"/>
          <w:b w:val="1"/>
          <w:bCs w:val="1"/>
          <w:u w:val="single" w:color="auto"/>
          <w:color w:val="auto"/>
        </w:rPr>
        <w:t>Efforts to Relet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No re-entry or repossession, repairs, maintenance, changes, alterations and additions,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w:t>
      </w:r>
    </w:p>
    <w:p>
      <w:pPr>
        <w:spacing w:after="0" w:line="158" w:lineRule="exact"/>
        <w:rPr>
          <w:sz w:val="20"/>
          <w:szCs w:val="20"/>
          <w:color w:val="auto"/>
        </w:rPr>
      </w:pPr>
    </w:p>
    <w:p>
      <w:pPr>
        <w:jc w:val="both"/>
        <w:ind w:left="100" w:firstLine="749"/>
        <w:spacing w:after="0" w:line="243" w:lineRule="auto"/>
        <w:rPr>
          <w:sz w:val="20"/>
          <w:szCs w:val="20"/>
          <w:color w:val="auto"/>
        </w:rPr>
      </w:pPr>
      <w:r>
        <w:rPr>
          <w:rFonts w:ascii="Times New Roman" w:cs="Times New Roman" w:eastAsia="Times New Roman" w:hAnsi="Times New Roman"/>
          <w:sz w:val="20"/>
          <w:szCs w:val="20"/>
          <w:color w:val="auto"/>
        </w:rPr>
        <w:t xml:space="preserve">19.6 </w:t>
      </w:r>
      <w:r>
        <w:rPr>
          <w:rFonts w:ascii="Times New Roman" w:cs="Times New Roman" w:eastAsia="Times New Roman" w:hAnsi="Times New Roman"/>
          <w:sz w:val="20"/>
          <w:szCs w:val="20"/>
          <w:b w:val="1"/>
          <w:bCs w:val="1"/>
          <w:u w:val="single" w:color="auto"/>
          <w:color w:val="auto"/>
        </w:rPr>
        <w:t>Default by Landlord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Notwithstanding anything to the contrary set forth in this Lease, Landlord shall not be in default in the performance of any obligation required to be performed by Landlord pursuant to this Lease unless Landlord fails to perform such obligation within thirty (30) days after the receipt by Landlord of written notice from Tenant specifying in detail Landlord's alleged failure to perform; provided, however, if the nature of Landlord's obligation is such that more than thirty (30) days are required for its performance, then Landlord shall not be in default under this Lease if it commences such performance within such thirty (30) day period and thereafter diligently pursues the same to completion. In no event, other than in the event of a constructive eviction, shall Tenant have a right to terminate or rescind this Lease as a result of Landlord’s failure to perform any covenant or agreement contained in this Lease. In the absence of a constructive eviction by Landlord, Tenant hereby waives such remedies of termination and rescission and hereby agrees that Tenant's remedies for Landlord's default hereunder shall be limited to a suit for damages and/or injunction.</w:t>
      </w:r>
    </w:p>
    <w:p>
      <w:pPr>
        <w:spacing w:after="0" w:line="19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19.6.1 </w:t>
      </w:r>
      <w:r>
        <w:rPr>
          <w:rFonts w:ascii="Times New Roman" w:cs="Times New Roman" w:eastAsia="Times New Roman" w:hAnsi="Times New Roman"/>
          <w:sz w:val="20"/>
          <w:szCs w:val="20"/>
          <w:u w:val="single" w:color="auto"/>
          <w:color w:val="auto"/>
        </w:rPr>
        <w:t>Self-Help Remedy</w:t>
      </w:r>
      <w:r>
        <w:rPr>
          <w:rFonts w:ascii="Times New Roman" w:cs="Times New Roman" w:eastAsia="Times New Roman" w:hAnsi="Times New Roman"/>
          <w:sz w:val="20"/>
          <w:szCs w:val="20"/>
          <w:color w:val="auto"/>
        </w:rPr>
        <w:t xml:space="preserve">. If (i) Landlord fails to perform any of its maintenance or repair obligations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7.2</w:t>
      </w:r>
      <w:r>
        <w:rPr>
          <w:rFonts w:ascii="Times New Roman" w:cs="Times New Roman" w:eastAsia="Times New Roman" w:hAnsi="Times New Roman"/>
          <w:sz w:val="20"/>
          <w:szCs w:val="20"/>
          <w:color w:val="auto"/>
        </w:rPr>
        <w:t xml:space="preserve"> of this Lease with respect to the Premises or Building within the time period set forth in </w:t>
      </w:r>
      <w:r>
        <w:rPr>
          <w:rFonts w:ascii="Times New Roman" w:cs="Times New Roman" w:eastAsia="Times New Roman" w:hAnsi="Times New Roman"/>
          <w:sz w:val="20"/>
          <w:szCs w:val="20"/>
          <w:u w:val="single" w:color="auto"/>
          <w:color w:val="auto"/>
        </w:rPr>
        <w:t>Section 19.6</w:t>
      </w:r>
      <w:r>
        <w:rPr>
          <w:rFonts w:ascii="Times New Roman" w:cs="Times New Roman" w:eastAsia="Times New Roman" w:hAnsi="Times New Roman"/>
          <w:sz w:val="20"/>
          <w:szCs w:val="20"/>
          <w:color w:val="auto"/>
        </w:rPr>
        <w:t xml:space="preserve"> above, including, the cure period set forth in such Section 19.6 above (except in case of emergency posing an immediate threat to persons or property, in which case no prior notice shall be required), Tenant gives Landlord a second notice of such failure following the expiration of the cure period set forth in Section 19.6 above and Landlord does not cure such failure within five (5) business days following Landlord’s receipt of such second notice, then Tenant shall be entitled, in addition to its other remedies, to cure Landlord’s failure and, in such event, Landlord will, within thirty (30) days following Landlord’s receipt of a written invoice from Tenant and reasonable backup documentation evidencing the expenses incurred by Tenant, reimburse Tenant for Tenant’s reasonable expenses incurred in curing</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jc w:val="both"/>
        <w:spacing w:after="0" w:line="246" w:lineRule="auto"/>
        <w:rPr>
          <w:sz w:val="20"/>
          <w:szCs w:val="20"/>
          <w:color w:val="auto"/>
        </w:rPr>
      </w:pPr>
      <w:r>
        <w:rPr>
          <w:rFonts w:ascii="Times New Roman" w:cs="Times New Roman" w:eastAsia="Times New Roman" w:hAnsi="Times New Roman"/>
          <w:sz w:val="20"/>
          <w:szCs w:val="20"/>
          <w:color w:val="auto"/>
        </w:rPr>
        <w:t>Landlord’s failure. If Landlord fails to reimburse Tenant for such reasonable expenses within thirty (30) days from receipt of Tenant’s written demand therefor and invoice and backup documentation referred to above, Tenant may deduct the amount of such reasonable expenses from the next accruing amounts of Base Rent due under this Lease until Tenant is fully reimbursed such reasonable expenses; provided, however, such deduction in any particular month shall not exceed twenty percent (20%) of the amount of Base Rent payable by Tenant under this Lease during such applicable month.</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COVENANT OF QUIET ENJOYMENT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in each case within applicable notice and cure periods,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SECURITY DEPOSIT</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b w:val="1"/>
          <w:bCs w:val="1"/>
          <w:u w:val="single" w:color="auto"/>
          <w:color w:val="auto"/>
        </w:rPr>
        <w:t>Security Deposit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Concurrently with the execution of this Lease, Tenant shall pay to Landlord the sum contained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of the Summary of Basic Lease Information as the Security Deposit (the "</w:t>
      </w:r>
      <w:r>
        <w:rPr>
          <w:rFonts w:ascii="Times New Roman" w:cs="Times New Roman" w:eastAsia="Times New Roman" w:hAnsi="Times New Roman"/>
          <w:sz w:val="20"/>
          <w:szCs w:val="20"/>
          <w:b w:val="1"/>
          <w:bCs w:val="1"/>
          <w:color w:val="auto"/>
        </w:rPr>
        <w:t>Security Deposit</w:t>
      </w:r>
      <w:r>
        <w:rPr>
          <w:rFonts w:ascii="Times New Roman" w:cs="Times New Roman" w:eastAsia="Times New Roman" w:hAnsi="Times New Roman"/>
          <w:sz w:val="20"/>
          <w:szCs w:val="20"/>
          <w:color w:val="auto"/>
        </w:rPr>
        <w:t xml:space="preserve">"), which shall be held by Landlord as security for the timely and faithful performance by Tenant of all of the provisions of this Lease to be performed or observed by Tenant. Upon the occurrence of a Default (as defined in </w:t>
      </w:r>
      <w:r>
        <w:rPr>
          <w:rFonts w:ascii="Times New Roman" w:cs="Times New Roman" w:eastAsia="Times New Roman" w:hAnsi="Times New Roman"/>
          <w:sz w:val="20"/>
          <w:szCs w:val="20"/>
          <w:u w:val="single" w:color="auto"/>
          <w:color w:val="auto"/>
        </w:rPr>
        <w:t>Section 19.1</w:t>
      </w:r>
      <w:r>
        <w:rPr>
          <w:rFonts w:ascii="Times New Roman" w:cs="Times New Roman" w:eastAsia="Times New Roman" w:hAnsi="Times New Roman"/>
          <w:sz w:val="20"/>
          <w:szCs w:val="20"/>
          <w:color w:val="auto"/>
        </w:rPr>
        <w:t xml:space="preserve"> above), Landlord may use, apply or retain all or any portion of the Security Deposit for the payment of any Rent in default, or for the payment of any other sum incurred by Landlord by reason of such Default, or to compensate Landlord for any loss or damage which Landlord may suffer by reason of such Default; and Tenant hereby agrees that the Security Deposit may be applied against, among other things, delinquent rents accruing prior to the termination of this Lease and future rent damages under California Civil Code Section 1951.2. If Landlord so uses or applies all or any portion of the Security Deposit, Tenant shall, within ten (10) days after written demand by Lessor, deposit cash with Landlord in an amount sufficient to restore the Security Deposit to its full original amount, as the same may be reduced pursuant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below. and Tenant’s failure to do so shall constitute a Default under this Lease. Landlord shall not be required to keep the Security Deposit separate from its general accounts. No interest shall accrue on or be payable to Tenant with respect to the Security Deposit. The Security Deposit, or so much thereof as has not been applied by Landlord as provided in this Lease, shall be returned to Tenant (or, at Landlord’s option, to the last assignee, if any, of Tenant’s interest under this Lease) within thirty (30) days following the expiration of the Term, and after Tenant has vacated the Premises and surrendered the Premises. No trust relationship is created herein between Landlord and Tenant with respect to the Security Deposit. Tenant waives the provisions of California Civil Code Section 1950.7 (and the restrictions on Lessor’s use of a security deposit as set forth in such Section 1950.7) and any other present or future law, statute or ordinance regarding security deposits held under commercial leases, and agrees that the provisions of this Section 21.1 (and Section 21.1 below, as applicable) shall solely govern the rights and obligations of Landlord and Tenant regarding the cash Security Deposit.</w:t>
      </w:r>
    </w:p>
    <w:p>
      <w:pPr>
        <w:spacing w:after="0" w:line="189" w:lineRule="exact"/>
        <w:rPr>
          <w:sz w:val="20"/>
          <w:szCs w:val="20"/>
          <w:color w:val="auto"/>
        </w:rPr>
      </w:pPr>
    </w:p>
    <w:p>
      <w:pPr>
        <w:jc w:val="both"/>
        <w:ind w:firstLine="396"/>
        <w:spacing w:after="0" w:line="248"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b w:val="1"/>
          <w:bCs w:val="1"/>
          <w:u w:val="single" w:color="auto"/>
          <w:color w:val="auto"/>
        </w:rPr>
        <w:t>Letter of Credit</w:t>
      </w:r>
      <w:r>
        <w:rPr>
          <w:rFonts w:ascii="Times New Roman" w:cs="Times New Roman" w:eastAsia="Times New Roman" w:hAnsi="Times New Roman"/>
          <w:sz w:val="20"/>
          <w:szCs w:val="20"/>
          <w:color w:val="auto"/>
        </w:rPr>
        <w:t xml:space="preserve">. Notwithstanding provisions of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above, in lieu of paying the Security Deposit in cash, or if Tenant desires to convert such cash Security Deposit to a letter of credit to be provided to Landlord, Tenant may deliver to Landlord an irrevocable, unconditional, transferable,</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jc w:val="both"/>
        <w:spacing w:after="0" w:line="242" w:lineRule="auto"/>
        <w:rPr>
          <w:sz w:val="20"/>
          <w:szCs w:val="20"/>
          <w:color w:val="auto"/>
        </w:rPr>
      </w:pPr>
      <w:r>
        <w:rPr>
          <w:rFonts w:ascii="Times New Roman" w:cs="Times New Roman" w:eastAsia="Times New Roman" w:hAnsi="Times New Roman"/>
          <w:sz w:val="20"/>
          <w:szCs w:val="20"/>
          <w:color w:val="auto"/>
        </w:rPr>
        <w:t>standby letter of credit running in favor of Landlord issued by a bank satisfactory to Landlord in its reasonable discretion in the amount of the Security Deposit. Landlord hereby approves Wells Fargo Bank and HSBC, respectively, as an issuer of such letter of credit. The letter of credit shall be irrevocable for one (1) year and shall provide that it is automatically renewable for one (1) year periods ending not earlier than one hundred (100) days after the expiration of the Term of this Lease, as the same may be extended, without any action whatsoever on the part of Landlord; provided that the issuing bank shall have the right not to renew said letter of credit on written notice to Landlord received by Landlord not less than one hundred (100) days prior to the expiration of the then current term thereof (it being understood, however, that the privilege of the issuing bank not to renew said letter of credit shall not, in any event, diminish the obligation of Tenant to maintain such irrevocable letter of credit with Landlord through the date which is sixty (60) days after the date of Landlord’s receipt of such notice). In the event the issuing bank elects not to renew the letter of credit, Tenant shall provide Landlord with a substitute letter of credit which meets all of the criteria contained herein. No fees applicable to the letter of credit shall be charged to Landlord.</w:t>
      </w:r>
    </w:p>
    <w:p>
      <w:pPr>
        <w:spacing w:after="0" w:line="192"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The form and terms of the letter of credit shall be acceptable to Landlord in all respects in Landlord’s reasonable discretion and shall provide, among other things, in effect that:</w:t>
      </w:r>
    </w:p>
    <w:p>
      <w:pPr>
        <w:spacing w:after="0" w:line="159" w:lineRule="exact"/>
        <w:rPr>
          <w:sz w:val="20"/>
          <w:szCs w:val="20"/>
          <w:color w:val="auto"/>
        </w:rPr>
      </w:pPr>
    </w:p>
    <w:p>
      <w:pPr>
        <w:jc w:val="both"/>
        <w:ind w:firstLine="799"/>
        <w:spacing w:after="0" w:line="249" w:lineRule="auto"/>
        <w:tabs>
          <w:tab w:leader="none" w:pos="118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 or its agent, member, manager, partner or other authorized party shall have the right to draw down an amount up to the face amount of the letter of credit upon the presentation to the issuing bank of a sight draft only in the form attached hereto as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and incorporated herein by reference, which sight draft shall include a statement that such amount is due to Landlord or its then lender under the terms and conditions of this Lease.</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shall permit partial draws and provide that draws thereunder will be honored upon presentation by Landlord without conditions at a location in Santa Clara County or by facsimile.</w:t>
      </w:r>
    </w:p>
    <w:p>
      <w:pPr>
        <w:spacing w:after="0" w:line="159" w:lineRule="exact"/>
        <w:rPr>
          <w:sz w:val="20"/>
          <w:szCs w:val="20"/>
          <w:color w:val="auto"/>
        </w:rPr>
      </w:pPr>
    </w:p>
    <w:p>
      <w:pPr>
        <w:ind w:right="40" w:firstLine="799"/>
        <w:spacing w:after="0" w:line="269" w:lineRule="auto"/>
        <w:tabs>
          <w:tab w:leader="none" w:pos="118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will be honored by the issuing bank without inquiry as to the accuracy thereof and regardless of whether Tenant disputes the content of such statement.</w:t>
      </w:r>
    </w:p>
    <w:p>
      <w:pPr>
        <w:spacing w:after="0" w:line="159" w:lineRule="exact"/>
        <w:rPr>
          <w:rFonts w:ascii="Times New Roman" w:cs="Times New Roman" w:eastAsia="Times New Roman" w:hAnsi="Times New Roman"/>
          <w:sz w:val="20"/>
          <w:szCs w:val="20"/>
          <w:color w:val="auto"/>
        </w:rPr>
      </w:pPr>
    </w:p>
    <w:p>
      <w:pPr>
        <w:jc w:val="both"/>
        <w:ind w:firstLine="799"/>
        <w:spacing w:after="0" w:line="254" w:lineRule="auto"/>
        <w:tabs>
          <w:tab w:leader="none" w:pos="118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transfer of Landlord’s interest in the Lease, Landlord shall have the right to transfer the letter of credit to the transferee and thereupon Landlord shall, without any further agreement between the parties, be released by Tenant from all liability therefor, and it is agreed that the provisions hereof shall apply to every transfer or assignment of said letter of credit to a new Landlord.</w:t>
      </w:r>
    </w:p>
    <w:p>
      <w:pPr>
        <w:spacing w:after="0" w:line="174" w:lineRule="exact"/>
        <w:rPr>
          <w:sz w:val="20"/>
          <w:szCs w:val="20"/>
          <w:color w:val="auto"/>
        </w:rPr>
      </w:pPr>
    </w:p>
    <w:p>
      <w:pPr>
        <w:jc w:val="both"/>
        <w:ind w:firstLine="396"/>
        <w:spacing w:after="0" w:line="243" w:lineRule="auto"/>
        <w:rPr>
          <w:sz w:val="20"/>
          <w:szCs w:val="20"/>
          <w:color w:val="auto"/>
        </w:rPr>
      </w:pPr>
      <w:r>
        <w:rPr>
          <w:rFonts w:ascii="Times New Roman" w:cs="Times New Roman" w:eastAsia="Times New Roman" w:hAnsi="Times New Roman"/>
          <w:sz w:val="20"/>
          <w:szCs w:val="20"/>
          <w:color w:val="auto"/>
        </w:rPr>
        <w:t xml:space="preserve">If, as a result of any draw on the letter of credit the Security Deposit evidenced by the letter of credit shall be reduced, Tenant shall, within ten (10) days thereafter, provide Landlord with additional letter(s) of credit in the form required hereunder and issued by a bank acceptable to Landlord in its reasonable discretion (with Wells Fargo Bank and HSBC, respectively, being an issuer approved by Landlord) in an amount equal to the deficiency so that the letter(s) of credit shall be in the aggregate amount of the original Security Deposit, as the same is reduced pursuant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below, if applicable. Tenant’s failure to timely deliver such new letter(s) of credit shall be a Default by Tenant (or default) under this Lease and shall entitle Landlord to draw upon the balance of the letter of credit in full and retain the cash proceeds thereof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Landlord shall not be required to keep any such amount separate from its general funds and Tenant shall not be entitled to interest on such funds.</w:t>
      </w:r>
    </w:p>
    <w:p>
      <w:pPr>
        <w:spacing w:after="0" w:line="189" w:lineRule="exact"/>
        <w:rPr>
          <w:sz w:val="20"/>
          <w:szCs w:val="20"/>
          <w:color w:val="auto"/>
        </w:rPr>
      </w:pPr>
    </w:p>
    <w:p>
      <w:pPr>
        <w:jc w:val="both"/>
        <w:ind w:firstLine="396"/>
        <w:spacing w:after="0" w:line="247" w:lineRule="auto"/>
        <w:rPr>
          <w:sz w:val="20"/>
          <w:szCs w:val="20"/>
          <w:color w:val="auto"/>
        </w:rPr>
      </w:pPr>
      <w:r>
        <w:rPr>
          <w:rFonts w:ascii="Times New Roman" w:cs="Times New Roman" w:eastAsia="Times New Roman" w:hAnsi="Times New Roman"/>
          <w:sz w:val="20"/>
          <w:szCs w:val="20"/>
          <w:color w:val="auto"/>
        </w:rPr>
        <w:t>If Tenant breaches or fails to perform any obligation or covenant under or of this Lease beyond applicable notice and cure periods, including, but not limited to, the payment of monthly Base Rent, Tenant’s Share of Direct Expenses or other Additional Rent, Landlord may (but shall not be required to) draw upon all or any part of the letter of credit required to cure such default and/or to compensate Landlord</w:t>
      </w:r>
    </w:p>
    <w:p>
      <w:pPr>
        <w:ind w:left="400"/>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jc w:val="both"/>
        <w:spacing w:after="0" w:line="242" w:lineRule="auto"/>
        <w:rPr>
          <w:sz w:val="20"/>
          <w:szCs w:val="20"/>
          <w:color w:val="auto"/>
        </w:rPr>
      </w:pPr>
      <w:r>
        <w:rPr>
          <w:rFonts w:ascii="Times New Roman" w:cs="Times New Roman" w:eastAsia="Times New Roman" w:hAnsi="Times New Roman"/>
          <w:sz w:val="20"/>
          <w:szCs w:val="20"/>
          <w:color w:val="auto"/>
        </w:rPr>
        <w:t>as provided below and use, apply, or retain all or any part of the cash proceeds thereof for the payment of any sums in default, or to compensate Landlord for any other loss or damage which Landlord may suffer by reason of Tenant’s default. The letter of credit, and/or any cash proceeds thereof, then held by Landlord shall be returned to Tenant (or any assignee of Tenant), not later than thirty (30) days after this Lease has expired or earlier terminated and Tenant (and all persons and entities claiming an interest in the Premises by, under or through Tenant) have vacated the Premises, provided that subsequent to the expiration or earlier termination of this Lease, Landlord may draw upon the letter of credit and retain therefrom sums in default or breach by Tenant under this Lease, and/or amounts to compensate Landlord for any other loss or damage which Landlord may suffer by reason of Tenant’s default or breach, including, without limitation, (a) any and all amounts permitted by California Civil Code Section 1950.7, and (b) such sums as Landlord reasonably estimates will thereafter become due by reason of Tenant’s default or breach, if any, under this Lease. Tenant hereby waives the provisions of California Civil Code Section 1950.7, and all other provisions of law now or hereafter in force, that provide that Landlord may claim from a security deposit only those sums reasonably necessary to remedy defaults in the payment of rent, to repair damage caused by Tenant, or to clean the Premises.</w:t>
      </w:r>
    </w:p>
    <w:p>
      <w:pPr>
        <w:spacing w:after="0" w:line="190"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20"/>
          <w:szCs w:val="20"/>
          <w:color w:val="auto"/>
        </w:rPr>
        <w:t xml:space="preserve">Any amount drawn under the letter of credit and not utilized by Landlord for the purposes permitted by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above shall be held as collateral for Tenant’s obligations under the Lease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above pertaining to a cash Security Deposit.</w:t>
      </w:r>
    </w:p>
    <w:p>
      <w:pPr>
        <w:spacing w:after="0" w:line="174" w:lineRule="exact"/>
        <w:rPr>
          <w:sz w:val="20"/>
          <w:szCs w:val="20"/>
          <w:color w:val="auto"/>
        </w:rPr>
      </w:pPr>
    </w:p>
    <w:p>
      <w:pPr>
        <w:jc w:val="both"/>
        <w:ind w:firstLine="396"/>
        <w:spacing w:after="0" w:line="241" w:lineRule="auto"/>
        <w:rPr>
          <w:sz w:val="20"/>
          <w:szCs w:val="20"/>
          <w:color w:val="auto"/>
        </w:rPr>
      </w:pPr>
      <w:r>
        <w:rPr>
          <w:rFonts w:ascii="Times New Roman" w:cs="Times New Roman" w:eastAsia="Times New Roman" w:hAnsi="Times New Roman"/>
          <w:sz w:val="20"/>
          <w:szCs w:val="20"/>
          <w:color w:val="auto"/>
        </w:rPr>
        <w:t xml:space="preserve">Without limiting the generality of the foregoing, if the letter of credit expires earlier than one hundred (100) days after the expiration of the Term, or the issuing bank notifies Landlord that it shall not renew the letter of credit, Landlord will accept a renewal thereof or substitute letter of credit (such renewal or substitute letter of credit to be in effect and delivered to Landlord not later than thirty (30) days prior to the expiration of the letter of credit then held by Landlord), irrevocable and automatically renewable as above provided to one hundred (100) days after expiration of the Term of this Lease, as the same may be extended, upon the same terms as the expiring letter of credit or such other terms as may be acceptable to Landlord. Such replacement or substitute letter of credit shall be in a form and issued by a bank meeting the requirements above. However, (a) if the letter of credit is not timely renewed or a substitute letter of credit is not timely received, or (b) if Tenant fails to maintain the letter of credit in the amount and terms set forth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Tenant, at least thirty (30) days prior to the expiration of the letter of credit, or immediately upon its failure to comply with each and every term of this Section 21.2 must deposit with Landlord a substitute letter of credit in a form and from a bank or other financial institution acceptable to Landlord in its reasonable discretion (with Wells Fargo Bank and HSBC, respectively, being an approved issuer of the substitute letter of credit) in the amount of the Security Deposit required by this Lease. The letter of credit shall be held subject to and in accordance with, all of the terms and conditions set forth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In the event Tenant does not timely deposit with Landlord the substitute letter of credit, Landlord, or its agent, member, manager, partner or other authorized party may present the current letter of credit to the issuing bank, in accordance with the terms of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and the entire sum secured thereby shall be paid to Landlord.</w:t>
      </w:r>
    </w:p>
    <w:p>
      <w:pPr>
        <w:spacing w:after="0" w:line="194" w:lineRule="exact"/>
        <w:rPr>
          <w:sz w:val="20"/>
          <w:szCs w:val="20"/>
          <w:color w:val="auto"/>
        </w:rPr>
      </w:pPr>
    </w:p>
    <w:p>
      <w:pPr>
        <w:jc w:val="both"/>
        <w:ind w:firstLine="396"/>
        <w:spacing w:after="0" w:line="242" w:lineRule="auto"/>
        <w:rPr>
          <w:sz w:val="20"/>
          <w:szCs w:val="20"/>
          <w:color w:val="auto"/>
        </w:rPr>
      </w:pPr>
      <w:r>
        <w:rPr>
          <w:rFonts w:ascii="Times New Roman" w:cs="Times New Roman" w:eastAsia="Times New Roman" w:hAnsi="Times New Roman"/>
          <w:sz w:val="20"/>
          <w:szCs w:val="20"/>
          <w:color w:val="auto"/>
        </w:rPr>
        <w:t>If the bank that issued the letter of credit then held by Landlord enters into any form of regulatory or governmental receivership or other similar regulatory or governmental proceeding, including any receivership instituted or commenced by the Federal Deposit Insurance Corporation (“FDIC”), or is otherwise declared insolvent or downgraded the FDIC, then Tenant shall deliver to Landlord a substitute letter of credit in form that complies with this Section 21.2 and amount of the initial letter of credit and from a banking institution acceptable to Landlord in its reasonable discretion within fifteen (15) business days following the date the bank that issued the letter of credit then held by Landlord enters into any form of regulatory or governmental receivership or other similar regulatory or governmental proceeding, including any receivership instituted or commenced by the FDIC, or is otherwise declared insolvent or downgraded by the FDIC. In the event Tenant does not timely deposit with Landlord the substitute letter of</w:t>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credit referred to in the immediately preceding sentence, Landlord, or its agent, member, manager, partner or other authorized party may present the current letter of credit to the issuing bank, in accordance with the terms of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and the entire sum secured thereby shall be paid to Landlord.</w:t>
      </w:r>
    </w:p>
    <w:p>
      <w:pPr>
        <w:spacing w:after="0" w:line="17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9"/>
          <w:szCs w:val="19"/>
          <w:color w:val="auto"/>
        </w:rPr>
        <w:t xml:space="preserve">Tenant agrees that Landlord shall have the right to pledge any letter of credit received by it hereunder or otherwise grant a security interest therein to Landlord’s lender, and shall have the right to deliver the letter of credit or all or any portion of the proceeds of such letter of credit to Landlord’s lender in connection therewith, provided such letter of credit (or proceeds thereof) shall only be used in accordance with, and shall continue to be governed by, the terms and provisions of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At Landlord’s election, the letter of credit may name Landlord’s lender as a beneficiary, or as a co-beneficiary with Landlord and/or may require that Landlord’s lender sign the certification required to be presented for any draw against the letter of credit and shall contain such other provisions reasonably requested by Landlord or Landlord’s lender. In addition, upon termination or transfer of Landlord’s interest in this Lease, within ten (10) business days after request by Landlord or Landlord’s successor, upon assumption by such transferee in writing of all Landlord's obligations hereunder first accruing from and after the effective date of such transfer, Tenant shall, as Landlord or Landlord’s successor shall request, either cause the letter of credit to be amended to name Landlord’s successor as the party entitled to draw down on the letter of credit subject to the terms and conditions of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and deliver such amendment to the requesting party, or shall obtain and deliver to the requesting party a new letter of credit meeting the requirements of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naming Landlord’s successor as the party entitled to draw down on the letter of credit subject to the terms and conditions of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At Landlord’s election, within ten (10) business days after request by Landlord, Tenant shall either cause the letter of credit to be amended to name Landlord’s lender as the beneficiary, or as a co-beneficiary with Landlord, and/or as a cosigner of any certification presented for a draws down of the letter of credit, and to incorporate other changes to the letter of credit reasonably requested by Landlord’s lender which do not alter or increase in any material respect Tenant’s obligations under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or in connection with the letter of credit, or shall obtain a new letter of credit to effectuate such changes and otherwise meeting the requirements of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above. Any reasonable fee due in connection with the transfer of Landlord’s rights as beneficiary under the letter of credit to a successor Landlord or to Landlord’s lender, or in connection with an amendment to, or substitution of, a letter of credit, shall be paid by Tenant to the financial institution owed such fee upon demand. If Tenant fails to execute any documents necessary to transfer the letter of credit to Landlord’s successor-in-interest or Landlord’s lender within ten (10) business days after Landlord’s written request therefor, Landlord may draw upon the letter of credit and transfer the cash proceeds thereof to Landlord’s successor-in-interest or lender to be held as collateral for Tenant’s performance hereunder and applied, if applicable, in accordance with and subject to the terms and conditions of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Tenant agrees that Landlord shall be released from liability for the return of the letter of credit or the unapplied cash proceeds thereof or any accounting of such proceeds upon a transfer of the letter of credit or unapplied cash proceeds thereof to Landlord’s successor-in-interest or lender in accordance with the foregoing procedure provided the transferee assumes in writing all Landlord's obligations hereunder first accruing from and after the effective date of such transfer.</w:t>
      </w:r>
    </w:p>
    <w:p>
      <w:pPr>
        <w:spacing w:after="0" w:line="200" w:lineRule="exact"/>
        <w:rPr>
          <w:sz w:val="20"/>
          <w:szCs w:val="20"/>
          <w:color w:val="auto"/>
        </w:rPr>
      </w:pPr>
    </w:p>
    <w:p>
      <w:pPr>
        <w:spacing w:after="0" w:line="22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u w:val="single" w:color="auto"/>
          <w:color w:val="auto"/>
        </w:rPr>
        <w:t>Reduction in Cash Security Deposit or Letter of Credit</w:t>
      </w:r>
      <w:r>
        <w:rPr>
          <w:rFonts w:ascii="Times New Roman" w:cs="Times New Roman" w:eastAsia="Times New Roman" w:hAnsi="Times New Roman"/>
          <w:sz w:val="20"/>
          <w:szCs w:val="20"/>
          <w:color w:val="auto"/>
        </w:rPr>
        <w:t>. Notwithstanding the foregoing, so long as no Default by Tenant exists under the Lease, the Security Deposit or Letter of Credit, as the case may be, shall be reduced by Two Hundred Fifty Thousand Seven Hundred Fifty-Nine Thousand and 37/100 Dollars ($250,759.37) to One Hundred Eighty-Three Thousand Two Hundred Seventy-Three and 13/100 Dollars ($183,273.13) if at any time during the Lease Term Tenant has four (4) consecutive quarters of non-GAAP profitability; provided, however, in no event shall the effective date of such reduction in the amount of the Security Deposit or Letter of Credit occur prior to the expiration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year of the initial Lease Term. Prior to reducing the Security Deposit or Letter of Credit, as the case may be, as provided immediately above, Tenant shall produce evidence reasonably satisfactory to Landlord that the events triggering reduction of the Security Deposit or Letter of Credit have occurred. For purposes of this</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jc w:val="both"/>
        <w:spacing w:after="0" w:line="254" w:lineRule="auto"/>
        <w:rPr>
          <w:sz w:val="20"/>
          <w:szCs w:val="20"/>
          <w:color w:val="auto"/>
        </w:rPr>
      </w:pPr>
      <w:r>
        <w:rPr>
          <w:rFonts w:ascii="Times New Roman" w:cs="Times New Roman" w:eastAsia="Times New Roman" w:hAnsi="Times New Roman"/>
          <w:sz w:val="20"/>
          <w:szCs w:val="20"/>
          <w:color w:val="auto"/>
        </w:rPr>
        <w:t>Section 21.3, non-GAAP profit or loss excludes the impact of stock-based compensation, acquisition-related costs and restructuring expense adjusted for the associated tax impact (which includes the effect of any benefits or shortfalls recognized), and the impact of changes in valuation allowance on deferred tax assets, as described in Tenant’s publicly-disseminated quarterly earnings release.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u w:val="single" w:color="auto"/>
          <w:color w:val="auto"/>
        </w:rPr>
        <w:t>GUARANTY OF LEASE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Intentionally Omitted.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SIGNS</w:t>
      </w:r>
    </w:p>
    <w:p>
      <w:pPr>
        <w:spacing w:after="0" w:line="216" w:lineRule="exact"/>
        <w:rPr>
          <w:sz w:val="20"/>
          <w:szCs w:val="20"/>
          <w:color w:val="auto"/>
        </w:rPr>
      </w:pPr>
    </w:p>
    <w:p>
      <w:pPr>
        <w:jc w:val="both"/>
        <w:ind w:left="100" w:firstLine="749"/>
        <w:spacing w:after="0" w:line="241" w:lineRule="auto"/>
        <w:rPr>
          <w:sz w:val="20"/>
          <w:szCs w:val="20"/>
          <w:color w:val="auto"/>
        </w:rPr>
      </w:pPr>
      <w:r>
        <w:rPr>
          <w:rFonts w:ascii="Times New Roman" w:cs="Times New Roman" w:eastAsia="Times New Roman" w:hAnsi="Times New Roman"/>
          <w:sz w:val="20"/>
          <w:szCs w:val="20"/>
          <w:color w:val="auto"/>
        </w:rPr>
        <w:t xml:space="preserve">23.1 </w:t>
      </w: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Except as otherwise expressly provided in </w:t>
      </w:r>
      <w:r>
        <w:rPr>
          <w:rFonts w:ascii="Times New Roman" w:cs="Times New Roman" w:eastAsia="Times New Roman" w:hAnsi="Times New Roman"/>
          <w:sz w:val="20"/>
          <w:szCs w:val="20"/>
          <w:u w:val="single" w:color="auto"/>
          <w:color w:val="auto"/>
        </w:rPr>
        <w:t>Section 23.2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23.3</w:t>
      </w:r>
      <w:r>
        <w:rPr>
          <w:rFonts w:ascii="Times New Roman" w:cs="Times New Roman" w:eastAsia="Times New Roman" w:hAnsi="Times New Roman"/>
          <w:sz w:val="20"/>
          <w:szCs w:val="20"/>
          <w:color w:val="auto"/>
        </w:rPr>
        <w:t xml:space="preserve"> below or in the immediately following sentence, Tenant shall not place or permit to be placed any sign, logo, picture, advertisement or decoration in or on the Common Areas or the exterior or roof of the Building or that would be visible from the exterior of the Building or Premises, without the prior written consent of Landlord, which consent may be given or withheld in Landlord’s reasonable discretion. Tenant may place “for lease” signs in connection with efforts to assign or sublease the Premises, subject to the prior written consent of Landlord, which consent shall not be unreasonably withheld or delayed; provided that all such signs, logos, pictures, advertisements or decorations shall be removed not later than the one hundred eightieth (180th) day prior to the expiration or earlier termination of this Lease. In no event shall any such sign, logo, picture, advertisement or decoration revolve, rotate, move or create the illusion of revolving, rotating or moving or be internally illuminated and there shall be no exterior spotlighting or other illumination on any such sign, logo, picture, advertisement or decoration. Tenant, upon written notice by Landlord, shall immediately remove any of Tenant’s signs, logos, pictures, advertisements or decorations that are visible from the exterior of the Building or Premises or that Tenant has placed or permitted to be placed in or on the Common Areas or the exterior or roof of the Building without the prior written consent of Landlord, or which are "for lease" signs and remain beyond the one hundred eightieth (180th) day prior to the expiration or earlier termination of this Lease. If Tenant fails to so timely remove such sign, logo, picture, advertisement or decoration within five (5) days after Landlord’s written notice, Landlord may enter the Premises and Building (or Common Areas) and remove such sign, logo, picture, advertisement or decoration and Tenant shall pay Landlord, as Additional Rent upon demand, the cost of such removal. All signs, logos, pictures, advertisements and/or decorations placed on the Premises, Building or Common Areas by Tenant shall comply with any Master Signage Program that Landlord then has in effect, all recorded documents affecting the Premises, and applicable statutes, ordinances, rules and regulations of the City of Santa Clara (“</w:t>
      </w:r>
      <w:r>
        <w:rPr>
          <w:rFonts w:ascii="Times New Roman" w:cs="Times New Roman" w:eastAsia="Times New Roman" w:hAnsi="Times New Roman"/>
          <w:sz w:val="20"/>
          <w:szCs w:val="20"/>
          <w:b w:val="1"/>
          <w:bCs w:val="1"/>
          <w:color w:val="auto"/>
        </w:rPr>
        <w:t>City</w:t>
      </w:r>
      <w:r>
        <w:rPr>
          <w:rFonts w:ascii="Times New Roman" w:cs="Times New Roman" w:eastAsia="Times New Roman" w:hAnsi="Times New Roman"/>
          <w:sz w:val="20"/>
          <w:szCs w:val="20"/>
          <w:color w:val="auto"/>
        </w:rPr>
        <w:t>”) and all other governmental agencies having jurisdiction thereof. At Landlord’s option, Tenant shall at the expiration or earlier termination of this Lease remove any sign, logo, picture, advertisement or decoration which Tenant has placed, or caused to be placed, on the Premises, Building and/or Common Areas, and shall, at its sole cost, repair any damage caused by the installation or removal of such sign, logo, picture, advertisement or decoration.</w:t>
      </w:r>
    </w:p>
    <w:p>
      <w:pPr>
        <w:spacing w:after="0" w:line="1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23.2 </w:t>
      </w:r>
      <w:r>
        <w:rPr>
          <w:rFonts w:ascii="Times New Roman" w:cs="Times New Roman" w:eastAsia="Times New Roman" w:hAnsi="Times New Roman"/>
          <w:sz w:val="20"/>
          <w:szCs w:val="20"/>
          <w:b w:val="1"/>
          <w:bCs w:val="1"/>
          <w:u w:val="single" w:color="auto"/>
          <w:color w:val="auto"/>
        </w:rPr>
        <w:t>Exterior Signage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23.2.1 In accordance with terms of the Tenant Work Letter or as Alterations in accordance with Article 8, Tenant, at Tenant’s sole cost and expense, shall have the exclusive right to install building top signage on the exterior of the Building facing each of Tasman Drive and Old Ironsides, identifying the name and/or logo of Tenant (the “</w:t>
      </w:r>
      <w:r>
        <w:rPr>
          <w:rFonts w:ascii="Times New Roman" w:cs="Times New Roman" w:eastAsia="Times New Roman" w:hAnsi="Times New Roman"/>
          <w:sz w:val="20"/>
          <w:szCs w:val="20"/>
          <w:b w:val="1"/>
          <w:bCs w:val="1"/>
          <w:color w:val="auto"/>
        </w:rPr>
        <w:t>Exterior Building Signage</w:t>
      </w:r>
      <w:r>
        <w:rPr>
          <w:rFonts w:ascii="Times New Roman" w:cs="Times New Roman" w:eastAsia="Times New Roman" w:hAnsi="Times New Roman"/>
          <w:sz w:val="20"/>
          <w:szCs w:val="20"/>
          <w:color w:val="auto"/>
        </w:rPr>
        <w:t>”). Landlord shall have no sign rights with respect to the Building. The location, graphics, materials, color, design, lettering, size, quality and</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specifications of the Exterior Building Signage shall be subject to the prior written approval of Landlord, which approval shall not be unreasonably withheld, conditioned or delayed; if Landlord has a Master Signage Program in effect at the time of Tenant’s request, then the proposed Exterior Building Signage shall be consistent with Landlord’s Master Signage Program. The Exterior Building Signage shall also comply with and be subject to all Applicable Laws, including, but not limited to, all requirements of the City (and/or other applicable governmental authorities having jurisdiction); provided, however, that in no event shall the approval by the City (or other applicable governmental authorities) of the Exterior Building Signage be deemed a condition precedent to the effectiveness of this Lease, and if such approval is not obtained, Landlord’s and Tenant’s other obligations under this Lease shall not be affected thereby. Landlord shall, at no cost to Landlord, reasonably cooperate with Tenant in obtaining applicable permits from the City in connection with the installation of the Exterior Building Signage. Tenant shall, at its sole cost and expense, maintain the Exterior Building Signage in good condition and repair. Landlord hereby approves the Exterior Building Signage as shown on </w:t>
      </w:r>
      <w:r>
        <w:rPr>
          <w:rFonts w:ascii="Times New Roman" w:cs="Times New Roman" w:eastAsia="Times New Roman" w:hAnsi="Times New Roman"/>
          <w:sz w:val="20"/>
          <w:szCs w:val="20"/>
          <w:b w:val="1"/>
          <w:bCs w:val="1"/>
          <w:u w:val="single" w:color="auto"/>
          <w:color w:val="auto"/>
        </w:rPr>
        <w:t>Exhibit G</w:t>
      </w:r>
      <w:r>
        <w:rPr>
          <w:rFonts w:ascii="Times New Roman" w:cs="Times New Roman" w:eastAsia="Times New Roman" w:hAnsi="Times New Roman"/>
          <w:sz w:val="20"/>
          <w:szCs w:val="20"/>
          <w:color w:val="auto"/>
        </w:rPr>
        <w:t xml:space="preserve"> hereto.</w:t>
      </w:r>
    </w:p>
    <w:p>
      <w:pPr>
        <w:spacing w:after="0" w:line="19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23.2.2 Upon the expiration or earlier termination of the Lease, as amended hereby, Tenant shall remove the Exterior Building Signage, at Tenant’s sole cost and expense and repair and restore to good condition the areas of the Building on which the Exterior Building Signage was located or that was otherwise affected by such signage or the removal thereof, reasonable wear and tear excepted, or at Landlord’s election with prior written notice thereof to Tenant, Landlord may perform any such removal and/or repair and restoration and Tenant shall pay Landlord the actual and reasonable cost thereof within thirty (30) days after Landlord’s demand from time to time.</w:t>
      </w:r>
    </w:p>
    <w:p>
      <w:pPr>
        <w:spacing w:after="0" w:line="181" w:lineRule="exact"/>
        <w:rPr>
          <w:sz w:val="20"/>
          <w:szCs w:val="20"/>
          <w:color w:val="auto"/>
        </w:rPr>
      </w:pPr>
    </w:p>
    <w:p>
      <w:pPr>
        <w:jc w:val="both"/>
        <w:ind w:left="100" w:firstLine="749"/>
        <w:spacing w:after="0" w:line="250" w:lineRule="auto"/>
        <w:rPr>
          <w:sz w:val="20"/>
          <w:szCs w:val="20"/>
          <w:color w:val="auto"/>
        </w:rPr>
      </w:pPr>
      <w:r>
        <w:rPr>
          <w:rFonts w:ascii="Times New Roman" w:cs="Times New Roman" w:eastAsia="Times New Roman" w:hAnsi="Times New Roman"/>
          <w:sz w:val="19"/>
          <w:szCs w:val="19"/>
          <w:color w:val="auto"/>
        </w:rPr>
        <w:t xml:space="preserve">23.3 </w:t>
      </w:r>
      <w:r>
        <w:rPr>
          <w:rFonts w:ascii="Times New Roman" w:cs="Times New Roman" w:eastAsia="Times New Roman" w:hAnsi="Times New Roman"/>
          <w:sz w:val="19"/>
          <w:szCs w:val="19"/>
          <w:b w:val="1"/>
          <w:bCs w:val="1"/>
          <w:u w:val="single" w:color="auto"/>
          <w:color w:val="auto"/>
        </w:rPr>
        <w:t>Monument Signage</w:t>
      </w:r>
      <w:r>
        <w:rPr>
          <w:rFonts w:ascii="Times New Roman" w:cs="Times New Roman" w:eastAsia="Times New Roman" w:hAnsi="Times New Roman"/>
          <w:sz w:val="19"/>
          <w:szCs w:val="19"/>
          <w:color w:val="auto"/>
        </w:rPr>
        <w:t>. Tenant, at Tenant’s sole cost and expense, shall have the right to place its name and/or logo on the existing monument sign situated near the corner of Old Ironsides Drive and Bunker Hill Lane (the “</w:t>
      </w:r>
      <w:r>
        <w:rPr>
          <w:rFonts w:ascii="Times New Roman" w:cs="Times New Roman" w:eastAsia="Times New Roman" w:hAnsi="Times New Roman"/>
          <w:sz w:val="19"/>
          <w:szCs w:val="19"/>
          <w:b w:val="1"/>
          <w:bCs w:val="1"/>
          <w:color w:val="auto"/>
        </w:rPr>
        <w:t>Monument Sign</w:t>
      </w:r>
      <w:r>
        <w:rPr>
          <w:rFonts w:ascii="Times New Roman" w:cs="Times New Roman" w:eastAsia="Times New Roman" w:hAnsi="Times New Roman"/>
          <w:sz w:val="19"/>
          <w:szCs w:val="19"/>
          <w:color w:val="auto"/>
        </w:rPr>
        <w:t>”). Tenant’s name and/or logo placed on the Monument Sign shall be in the fourth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spot from the top of the Monument Sign, or higher if its available. The design, size and color of the signage with Tenant’s name to be included on the Monument Sign and the manner in which it is attached to the Monument Sign, shall be subject to the reasonable approval of Landlord and all applicable governmental authorities (including the City), and Landlord shall have the right to require that all names on the Monument Sign be of the same size and style and made out of the same materials (i.e., brushed aluminum). Although the Monument Sign will be maintained by Landlord, in a manner reasonably satisfactory to Landlord, Tenant shall pay the cost of any maintenance, repair and replacement associated with Tenant’s use of the Monument Sign. Upon the expiration or earlier termination of the Lease, Landlord, at Tenant’s sole cost and expense, payable as Additional Rent within thirty (30) days after demand thereof, shall have the right to remove Tenant’s signage from the Monument Sign and restore the Monument Sign to the condition it was in prior to the installation of Tenant’s signage thereon, ordinary wear and tear excepted.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COMPLIANCE WITH LAW</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Tenant shall not do anything or allow its agents, employees or contractors to do anything in or about the Premises or the Project which will in any way conflict with any law, statute, ordinance, order, judgment, decree or other governmental rule, regulation or requirement or permit conditions or requirements of any court or any governmental or quasi-governmental authority, department, commission, agency or board now in force or which may hereafter be enacted or promulgated, including, without limitation, the Americans With Disabilities Act (42 U.S. C. §1201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and Title 24 of the California Code of Regulations and all regulations and guidelines promulgated thereunder (collectively, “</w:t>
      </w:r>
      <w:r>
        <w:rPr>
          <w:rFonts w:ascii="Times New Roman" w:cs="Times New Roman" w:eastAsia="Times New Roman" w:hAnsi="Times New Roman"/>
          <w:sz w:val="20"/>
          <w:szCs w:val="20"/>
          <w:b w:val="1"/>
          <w:bCs w:val="1"/>
          <w:color w:val="auto"/>
        </w:rPr>
        <w:t>Applicable Laws</w:t>
      </w:r>
      <w:r>
        <w:rPr>
          <w:rFonts w:ascii="Times New Roman" w:cs="Times New Roman" w:eastAsia="Times New Roman" w:hAnsi="Times New Roman"/>
          <w:sz w:val="20"/>
          <w:szCs w:val="20"/>
          <w:color w:val="auto"/>
        </w:rPr>
        <w:t>”). At its sole cost and expense, Tenant shall promptly comply with any Applicable Laws that relate to (i) Tenant’s use of the Premises, (ii) Tenant’s initial fit-out whether completed by Landlord or not, (iii)</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any Alterations made by or for Tenant to the Premises, and any improvements in the Premises, and (iv) the Base Building, but as to the Base Building, only to the extent such obligations are triggered by Alterations made by or on behalf of Tenant to the Premises to the extent such Alterations are not normal and customary business office improvements, or Tenant’s use of the Premises for non-general office use.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with respect to the Premises (exclusive of the Base Building other than as expressly provided above in this </w:t>
      </w:r>
      <w:r>
        <w:rPr>
          <w:rFonts w:ascii="Times New Roman" w:cs="Times New Roman" w:eastAsia="Times New Roman" w:hAnsi="Times New Roman"/>
          <w:sz w:val="19"/>
          <w:szCs w:val="19"/>
          <w:u w:val="single" w:color="auto"/>
          <w:color w:val="auto"/>
        </w:rPr>
        <w:t>Article 24</w:t>
      </w:r>
      <w:r>
        <w:rPr>
          <w:rFonts w:ascii="Times New Roman" w:cs="Times New Roman" w:eastAsia="Times New Roman" w:hAnsi="Times New Roman"/>
          <w:sz w:val="19"/>
          <w:szCs w:val="19"/>
          <w:color w:val="auto"/>
        </w:rPr>
        <w:t xml:space="preserve"> and exclusive of the Tenant Improvements to be constructed, or caused to be constructed, by Landlord pursuant to the terms of the Tenant Work Letter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Notwithstanding anything to the contrary herein, (i) with respect to the construction of the Tenant Improvements by Landlord pursuant to the Tenant Work Letter attached hereto as Exhibit B, Landlord shall be responsible for constructing, or causing to be constructed, such Tenant Improvements in compliance with all Applicable Laws and (ii) Tenant shall not be required to comply with or cause the Premises to comply with any Applicable Laws or insurance requirements requiring the construction of any Alterations unless and to the extent such compliance is necessitated or triggered due to Tenant’s particular use or occupancy of the Premises, Alterations or applications for governmental permits or approvals made by or on behalf of Tenant. The judgment of any court of competent jurisdiction or the admission of Tenant in any judicial action, regardless of whether Landlord is a party thereto, that Tenant has violated any of said governmental measures, shall be conclusive of that fact as between Landlord and Tenant. Landlord shall comply with all Applicable Laws relating to the Common Areas and the Base Building, provided that compliance with such Applicable Laws is not the responsibility of Tenant under this Lease. Landlord shall be permitted to include in Operating Expenses any costs or expenses incurred by Landlord under this </w:t>
      </w:r>
      <w:r>
        <w:rPr>
          <w:rFonts w:ascii="Times New Roman" w:cs="Times New Roman" w:eastAsia="Times New Roman" w:hAnsi="Times New Roman"/>
          <w:sz w:val="19"/>
          <w:szCs w:val="19"/>
          <w:u w:val="single" w:color="auto"/>
          <w:color w:val="auto"/>
        </w:rPr>
        <w:t>Article 24</w:t>
      </w:r>
      <w:r>
        <w:rPr>
          <w:rFonts w:ascii="Times New Roman" w:cs="Times New Roman" w:eastAsia="Times New Roman" w:hAnsi="Times New Roman"/>
          <w:sz w:val="19"/>
          <w:szCs w:val="19"/>
          <w:color w:val="auto"/>
        </w:rPr>
        <w:t xml:space="preserve"> to the extent not prohibited by the terms of </w:t>
      </w:r>
      <w:r>
        <w:rPr>
          <w:rFonts w:ascii="Times New Roman" w:cs="Times New Roman" w:eastAsia="Times New Roman" w:hAnsi="Times New Roman"/>
          <w:sz w:val="19"/>
          <w:szCs w:val="19"/>
          <w:u w:val="single" w:color="auto"/>
          <w:color w:val="auto"/>
        </w:rPr>
        <w:t>Section 4.2.7</w:t>
      </w:r>
      <w:r>
        <w:rPr>
          <w:rFonts w:ascii="Times New Roman" w:cs="Times New Roman" w:eastAsia="Times New Roman" w:hAnsi="Times New Roman"/>
          <w:sz w:val="19"/>
          <w:szCs w:val="19"/>
          <w:color w:val="auto"/>
        </w:rPr>
        <w:t xml:space="preserve"> above, and subject to the terms of </w:t>
      </w:r>
      <w:r>
        <w:rPr>
          <w:rFonts w:ascii="Times New Roman" w:cs="Times New Roman" w:eastAsia="Times New Roman" w:hAnsi="Times New Roman"/>
          <w:sz w:val="19"/>
          <w:szCs w:val="19"/>
          <w:u w:val="single" w:color="auto"/>
          <w:color w:val="auto"/>
        </w:rPr>
        <w:t>Section 4.2.7</w:t>
      </w:r>
      <w:r>
        <w:rPr>
          <w:rFonts w:ascii="Times New Roman" w:cs="Times New Roman" w:eastAsia="Times New Roman" w:hAnsi="Times New Roman"/>
          <w:sz w:val="19"/>
          <w:szCs w:val="19"/>
          <w:color w:val="auto"/>
        </w:rPr>
        <w:t xml:space="preserve"> above, provided such expenses that constitute capital expenditures shall be amortized over the useful life of the relevant improvement as reasonably determined by Landlord.</w:t>
      </w:r>
    </w:p>
    <w:p>
      <w:pPr>
        <w:spacing w:after="0" w:line="18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For purposes of Section 1938 of the California Civil Code, Landlord hereby discloses to Tenant, and Tenant hereby acknowledges, that, to Landlord’s actual knowledge, the Premises have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designated by Landlord and (b) subject to the terms of Article 24 hereof, Tenant, at its cost, is responsible for making any repairs within the Premises to correct violations of construction-related accessibility standards (except that if there are any violations of construction-related accessibility standards with respect to Landlord’s construction of the Tenant Improvements, then Landlord shall be responsible, at no cost to Tenant and without pass-through of costs to Tenant, for curing such violations of construction-related accessibility standards with respect to the Tenant Improvements); and, if Tenant is responsible under Article 24 above for making any repairs to the Building (outside the Premises) to correct violations of construction-related accessibility standards, then Tenant shall, at Landlord’s option, either perform such repairs at Tenant’s sole cost and expense or reimburse Landlord upon demand, as Additional Rent, for the cost to Landlord of performing such repairs.</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LATE CHARGES</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If any installment of Rent If any installment of Rent or any other sum due from Tenant shall not be received by Landlord within five (5) days of when due, then Tenant shall pay to Landlord a late charge equal to five percent (5%) of the overdue amount plus any reasonable attorneys' fees incurred by Landlord by reason of Tenant's failure to pay Rent and/or other charges when due hereunder. Notwithstanding the foregoing or the following, Landlord will not assess a late charge or late interest upon Tenant until Landlord has given written notice of such late payment for the first late payment in any twelve (12) month period and after Tenant has not cured such late payment within three (3) days from receipt of such notice. No other notices will be required during the following twelve (12) months for a late charge to be incurred. The parties hereby agree that such late charge represents a fair and reasonable estimate of the costs Landlord will incur by reason of late payment by Tenant.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a rate per annum equal to the lesser of</w:t>
      </w:r>
    </w:p>
    <w:p>
      <w:pPr>
        <w:spacing w:after="0" w:line="6" w:lineRule="exact"/>
        <w:rPr>
          <w:sz w:val="20"/>
          <w:szCs w:val="20"/>
          <w:color w:val="auto"/>
        </w:rPr>
      </w:pPr>
    </w:p>
    <w:p>
      <w:pPr>
        <w:jc w:val="both"/>
        <w:ind w:firstLine="8"/>
        <w:spacing w:after="0" w:line="241" w:lineRule="auto"/>
        <w:tabs>
          <w:tab w:leader="none" w:pos="25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"Prime Rate" (as defined below) plus four (4) percentage points, and (ii) the highest rate permitted by applicable law. As used herein, "Prime Rate" means the prime rate (or base rate) reported in the Money Rates column or section of The Wall Street Journal as being the base rate on corporate loans at large U.S. money center commercial banks (whether or not such rate has actually been charged by any such bank) on the first day on which The Wall Street Journal is published in the month in which the subject sums are payable or incurred, or if such rate is no longer published, then such comparable index as reasonably determined by Landlord.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LANDLORD’S RIGHT TO CURE DEFAULT; PAYMENTS BY TENANT</w:t>
      </w:r>
    </w:p>
    <w:p>
      <w:pPr>
        <w:spacing w:after="0" w:line="216" w:lineRule="exact"/>
        <w:rPr>
          <w:sz w:val="20"/>
          <w:szCs w:val="20"/>
          <w:color w:val="auto"/>
        </w:rPr>
      </w:pPr>
    </w:p>
    <w:p>
      <w:pPr>
        <w:jc w:val="both"/>
        <w:ind w:left="100" w:firstLine="749"/>
        <w:spacing w:after="0" w:line="246" w:lineRule="auto"/>
        <w:rPr>
          <w:sz w:val="20"/>
          <w:szCs w:val="20"/>
          <w:color w:val="auto"/>
        </w:rPr>
      </w:pPr>
      <w:r>
        <w:rPr>
          <w:rFonts w:ascii="Times New Roman" w:cs="Times New Roman" w:eastAsia="Times New Roman" w:hAnsi="Times New Roman"/>
          <w:sz w:val="20"/>
          <w:szCs w:val="20"/>
          <w:color w:val="auto"/>
        </w:rPr>
        <w:t xml:space="preserve">26.1 </w:t>
      </w:r>
      <w:r>
        <w:rPr>
          <w:rFonts w:ascii="Times New Roman" w:cs="Times New Roman" w:eastAsia="Times New Roman" w:hAnsi="Times New Roman"/>
          <w:sz w:val="20"/>
          <w:szCs w:val="20"/>
          <w:b w:val="1"/>
          <w:bCs w:val="1"/>
          <w:u w:val="single" w:color="auto"/>
          <w:color w:val="auto"/>
        </w:rPr>
        <w:t>Landlord’s Cure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Times New Roman" w:cs="Times New Roman" w:eastAsia="Times New Roman" w:hAnsi="Times New Roman"/>
          <w:sz w:val="20"/>
          <w:szCs w:val="20"/>
          <w:u w:val="single" w:color="auto"/>
          <w:color w:val="auto"/>
        </w:rPr>
        <w:t>Section 19.1.2</w:t>
      </w:r>
      <w:r>
        <w:rPr>
          <w:rFonts w:ascii="Times New Roman" w:cs="Times New Roman" w:eastAsia="Times New Roman" w:hAnsi="Times New Roman"/>
          <w:sz w:val="20"/>
          <w:szCs w:val="20"/>
          <w:color w:val="auto"/>
        </w:rPr>
        <w:t xml:space="preserve">, above, unless a specific time period is otherwise stated in </w:t>
      </w:r>
      <w:r>
        <w:rPr>
          <w:rFonts w:ascii="Times New Roman" w:cs="Times New Roman" w:eastAsia="Times New Roman" w:hAnsi="Times New Roman"/>
          <w:sz w:val="20"/>
          <w:szCs w:val="20"/>
          <w:u w:val="single" w:color="auto"/>
          <w:color w:val="auto"/>
        </w:rPr>
        <w:t>Section 19.1</w:t>
      </w:r>
      <w:r>
        <w:rPr>
          <w:rFonts w:ascii="Times New Roman" w:cs="Times New Roman" w:eastAsia="Times New Roman" w:hAnsi="Times New Roman"/>
          <w:sz w:val="20"/>
          <w:szCs w:val="20"/>
          <w:color w:val="auto"/>
        </w:rPr>
        <w:t xml:space="preserve"> of this Lease, Landlord may, but shall not be obligated to, make any such payment or perform any such act on Tenant’s part without waiving its rights based upon any default of Tenant and without releasing Tenant from any obligations hereunder.</w:t>
      </w:r>
    </w:p>
    <w:p>
      <w:pPr>
        <w:spacing w:after="0" w:line="179" w:lineRule="exact"/>
        <w:rPr>
          <w:sz w:val="20"/>
          <w:szCs w:val="20"/>
          <w:color w:val="auto"/>
        </w:rPr>
      </w:pPr>
    </w:p>
    <w:p>
      <w:pPr>
        <w:jc w:val="both"/>
        <w:ind w:left="100" w:firstLine="749"/>
        <w:spacing w:after="0" w:line="246" w:lineRule="auto"/>
        <w:rPr>
          <w:sz w:val="20"/>
          <w:szCs w:val="20"/>
          <w:color w:val="auto"/>
        </w:rPr>
      </w:pPr>
      <w:r>
        <w:rPr>
          <w:rFonts w:ascii="Times New Roman" w:cs="Times New Roman" w:eastAsia="Times New Roman" w:hAnsi="Times New Roman"/>
          <w:sz w:val="20"/>
          <w:szCs w:val="20"/>
          <w:color w:val="auto"/>
        </w:rPr>
        <w:t xml:space="preserve">26.2 </w:t>
      </w:r>
      <w:r>
        <w:rPr>
          <w:rFonts w:ascii="Times New Roman" w:cs="Times New Roman" w:eastAsia="Times New Roman" w:hAnsi="Times New Roman"/>
          <w:sz w:val="20"/>
          <w:szCs w:val="20"/>
          <w:b w:val="1"/>
          <w:bCs w:val="1"/>
          <w:u w:val="single" w:color="auto"/>
          <w:color w:val="auto"/>
        </w:rPr>
        <w:t>Tenant’s Reimbursement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Except as may be specifically provided to the contrary in this Lease, Tenant shall pay to Landlord, upon delivery by Landlord to Tenant of statements therefor: (i) sums equal to documented expenditures reasonably made and obligations incurred by Landlord in connection with the remedying by Landlord of Tenant’s defaults pursuant to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26.1</w:t>
      </w:r>
      <w:r>
        <w:rPr>
          <w:rFonts w:ascii="Times New Roman" w:cs="Times New Roman" w:eastAsia="Times New Roman" w:hAnsi="Times New Roman"/>
          <w:sz w:val="20"/>
          <w:szCs w:val="20"/>
          <w:color w:val="auto"/>
        </w:rPr>
        <w:t xml:space="preserve">; (ii) sums equal to all losses, costs, liabilities, damages and expenses referred to in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of this Lease; and (iii) subject to </w:t>
      </w:r>
      <w:r>
        <w:rPr>
          <w:rFonts w:ascii="Times New Roman" w:cs="Times New Roman" w:eastAsia="Times New Roman" w:hAnsi="Times New Roman"/>
          <w:sz w:val="20"/>
          <w:szCs w:val="20"/>
          <w:u w:val="single" w:color="auto"/>
          <w:color w:val="auto"/>
        </w:rPr>
        <w:t>Section</w:t>
      </w:r>
    </w:p>
    <w:p>
      <w:pPr>
        <w:spacing w:after="0" w:line="1" w:lineRule="exact"/>
        <w:rPr>
          <w:sz w:val="20"/>
          <w:szCs w:val="20"/>
          <w:color w:val="auto"/>
        </w:rPr>
      </w:pPr>
    </w:p>
    <w:p>
      <w:pPr>
        <w:jc w:val="both"/>
        <w:ind w:left="100"/>
        <w:spacing w:after="0" w:line="241" w:lineRule="auto"/>
        <w:rPr>
          <w:sz w:val="20"/>
          <w:szCs w:val="20"/>
          <w:color w:val="auto"/>
        </w:rPr>
      </w:pPr>
      <w:r>
        <w:rPr>
          <w:rFonts w:ascii="Times New Roman" w:cs="Times New Roman" w:eastAsia="Times New Roman" w:hAnsi="Times New Roman"/>
          <w:sz w:val="20"/>
          <w:szCs w:val="20"/>
          <w:u w:val="single" w:color="auto"/>
          <w:color w:val="auto"/>
        </w:rPr>
        <w:t>29.21</w:t>
      </w:r>
      <w:r>
        <w:rPr>
          <w:rFonts w:ascii="Times New Roman" w:cs="Times New Roman" w:eastAsia="Times New Roman" w:hAnsi="Times New Roman"/>
          <w:sz w:val="20"/>
          <w:szCs w:val="20"/>
          <w:color w:val="auto"/>
        </w:rPr>
        <w:t xml:space="preserve">,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Times New Roman" w:cs="Times New Roman" w:eastAsia="Times New Roman" w:hAnsi="Times New Roman"/>
          <w:sz w:val="20"/>
          <w:szCs w:val="20"/>
          <w:u w:val="single" w:color="auto"/>
          <w:color w:val="auto"/>
        </w:rPr>
        <w:t>Section 26.2</w:t>
      </w:r>
      <w:r>
        <w:rPr>
          <w:rFonts w:ascii="Times New Roman" w:cs="Times New Roman" w:eastAsia="Times New Roman" w:hAnsi="Times New Roman"/>
          <w:sz w:val="20"/>
          <w:szCs w:val="20"/>
          <w:color w:val="auto"/>
        </w:rPr>
        <w:t xml:space="preserve"> shall survive the expiration or sooner termination of the Lease Term.</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ENTRY BY LANDLORD</w:t>
      </w:r>
    </w:p>
    <w:p>
      <w:pPr>
        <w:spacing w:after="0" w:line="22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Landlord (for itself and for its authorized agents, employees, contractors and designees) reserves the right at all reasonable times and upon reasonable notice (of at least one (1) business day) to Tenant (except in the case of an emergency in which no such prior notice need be given to Tenant) to enter the Premises to (i) inspect them; (ii) show the Premises to prospective purchasers, or to current or prospective mortgagees, ground or underlying lessors or insurers or, during the last six (6) months of the Lease Term, to prospective tenants;</w:t>
      </w:r>
    </w:p>
    <w:p>
      <w:pPr>
        <w:spacing w:after="0" w:line="1" w:lineRule="exact"/>
        <w:rPr>
          <w:sz w:val="20"/>
          <w:szCs w:val="20"/>
          <w:color w:val="auto"/>
        </w:rPr>
      </w:pPr>
    </w:p>
    <w:p>
      <w:pPr>
        <w:jc w:val="both"/>
        <w:ind w:firstLine="8"/>
        <w:spacing w:after="0" w:line="239" w:lineRule="auto"/>
        <w:tabs>
          <w:tab w:leader="none" w:pos="35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post notices of nonresponsibility; or (iv) repair the Premises or the Building or the Building’s systems and equipment or to obtain access to the roof, or to perform routine services required of Landlord, or for structural repairs to the Building or the Building’s systems and equipment. Notwithstanding anything to the contrary contained in this </w:t>
      </w:r>
      <w:r>
        <w:rPr>
          <w:rFonts w:ascii="Times New Roman" w:cs="Times New Roman" w:eastAsia="Times New Roman" w:hAnsi="Times New Roman"/>
          <w:sz w:val="20"/>
          <w:szCs w:val="20"/>
          <w:u w:val="single" w:color="auto"/>
          <w:color w:val="auto"/>
        </w:rPr>
        <w:t>Article 27</w:t>
      </w:r>
      <w:r>
        <w:rPr>
          <w:rFonts w:ascii="Times New Roman" w:cs="Times New Roman" w:eastAsia="Times New Roman" w:hAnsi="Times New Roman"/>
          <w:sz w:val="20"/>
          <w:szCs w:val="20"/>
          <w:color w:val="auto"/>
        </w:rPr>
        <w:t>, Landlord may enter the Premises at any time to (A) take possession due to any breach of this Lease in the manner provided herein; (B) perform any covenants of Tenant which Tenant fails to perform after required notice and cure periods have expired; and/or (C) to provide recurring services (scheduled daily or at other preset times). Landlord may make any such entries without the abatement of Rent, except as otherwise provided in this Lease, and may take such reasonable steps as required to accomplish the stated purposes. Tenant hereby waives any claims for damages or for any injuries or inconvenience to or interference with Tenant’s business, lost profits, any loss of occupancy or quiet enjoyment of the Premises, and any other loss occasioned by entry as permitted herein, provided, however that Landlord shall not unreasonably interfere with the Tenant’s business operations in the Premises and shall comply with Tenant's reasonable security measures. For each of the above purposes, Landlord shall at all times have a key with which to unlock all the doors in the Premises, excluding Tenant’s vaults, safes and special security areas designated in advance by Tenant.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TENANT PARKING</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Commencing on the Delivery Date and continuing to the end of the Lease Term, as the same may be extended, Tenant and/or its employees or visitors shall have the right, at no additional charge or fee to Tenant, to use up to the amount of unassigned parking spaces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of the Summary that are located within the Project, including the non-exclusive right to use all electrical vehicle chargers to the extent owned by Landlord (and not installed by another tenant for its exclusive use) located in the parking areas, including the existing electrical vehicle chargers in front of 3003 Tasman Drive and as provided in </w:t>
      </w:r>
      <w:r>
        <w:rPr>
          <w:rFonts w:ascii="Times New Roman" w:cs="Times New Roman" w:eastAsia="Times New Roman" w:hAnsi="Times New Roman"/>
          <w:sz w:val="20"/>
          <w:szCs w:val="20"/>
          <w:u w:val="single" w:color="auto"/>
          <w:color w:val="auto"/>
        </w:rPr>
        <w:t>Section 29.38</w:t>
      </w:r>
      <w:r>
        <w:rPr>
          <w:rFonts w:ascii="Times New Roman" w:cs="Times New Roman" w:eastAsia="Times New Roman" w:hAnsi="Times New Roman"/>
          <w:sz w:val="20"/>
          <w:szCs w:val="20"/>
          <w:color w:val="auto"/>
        </w:rPr>
        <w:t xml:space="preserve">. In addition to the unassigned parking spaces allocated to Tenant as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of the Summary, Tenant and its visitors also shall have during the Lease Term, as the same may be extended, the exclusive right to park in five (5) reserved parking stalls located near the entry to the Premises as shown on </w:t>
      </w:r>
      <w:r>
        <w:rPr>
          <w:rFonts w:ascii="Times New Roman" w:cs="Times New Roman" w:eastAsia="Times New Roman" w:hAnsi="Times New Roman"/>
          <w:sz w:val="20"/>
          <w:szCs w:val="20"/>
          <w:b w:val="1"/>
          <w:bCs w:val="1"/>
          <w:u w:val="single" w:color="auto"/>
          <w:color w:val="auto"/>
        </w:rPr>
        <w:t>Exhibit H</w:t>
      </w:r>
      <w:r>
        <w:rPr>
          <w:rFonts w:ascii="Times New Roman" w:cs="Times New Roman" w:eastAsia="Times New Roman" w:hAnsi="Times New Roman"/>
          <w:sz w:val="20"/>
          <w:szCs w:val="20"/>
          <w:color w:val="auto"/>
        </w:rPr>
        <w:t>. At Landlord's sole cost, prior to the Delivery Date, Landlord shall install signage indicating that such five (5) parking spaces are reserved for Tenant’s visitors exclusive use throughout the Lease Term, as the same may be extended; however, Landlord shall not be obligated to patrol, monitor or police such five (5) exclusive parking spaces to ensure the exclusive use of the same by Tenant and its visitors, but promptly upon Tenant's written request, shall reasonably cooperate with Tenant, at Tenant’s cost, to enforce Tenant's rights. The foregoing notwithstanding, Tenant, however, shall be responsible for the full amount of any taxes imposed by any governmental authority in connection with the use of such parking spaces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5" w:name="page156"/>
    <w:bookmarkEnd w:id="155"/>
    <w:p>
      <w:pPr>
        <w:jc w:val="both"/>
        <w:spacing w:after="0" w:line="241" w:lineRule="auto"/>
        <w:rPr>
          <w:sz w:val="20"/>
          <w:szCs w:val="20"/>
          <w:color w:val="auto"/>
        </w:rPr>
      </w:pPr>
      <w:r>
        <w:rPr>
          <w:rFonts w:ascii="Times New Roman" w:cs="Times New Roman" w:eastAsia="Times New Roman" w:hAnsi="Times New Roman"/>
          <w:sz w:val="20"/>
          <w:szCs w:val="20"/>
          <w:color w:val="auto"/>
        </w:rPr>
        <w:t>allocated to Tenant. Tenant shall abide by all reasonable, non-discriminatory rules and regulations which are prescribed from time to time for the orderly operation and use of the parking areas within the Project, including any sticker or other identification system established by Landlord, and cooperate in seeing that Tenant’s employees and visitors also comply with such rules and regulations; provided, however, (i) Tenant shall have unimpeded access to the parking area through at least one entry point on a 24 hour/7 days per week basis, including during events held at the nearby stadium, subject to full or partial closures of such parking areas, or applicable part thereof, which may be required from time to time for or due to actual or threatened emergency, governmental or quasi-governmental orders, rules, regulations or restrictions, damage or destruction or condemnation, or other events or circumstances which make it reasonably necessary to temporarily restrict or limit access) and (ii) Landlord may not lease, license or otherwise knowingly allow parking in the spaces adjacent to the Building (other than to Project occupants or tenants (and their employees and invitees) for normal use of their applicable premises or space in the Project) or that would otherwise unreasonably impede Tenant's parking rights or allow tailgating in the Project parking lot. Landlord specifically reserves the right to change the size, configuration, design, layout and all other aspects of the Project parking areas (including, without limitation, the parking structure located within the Project) at any time and Tenant acknowledges and agrees that Landlord may without incurring any liability to Tenant and without any abatement of Rent under this Lease, from time to time, close-off or restrict access to the parking areas within the Project for purposes of permitting or facilitating any such construction, alteration or improvements provided it does not result in an Adverse Event. Landlord may delegate its responsibilities hereunder to a parking operator in which case such parking operator shall have all the rights of control attributed hereby to the Landlord.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29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 PROVISIONS</w:t>
      </w:r>
    </w:p>
    <w:p>
      <w:pPr>
        <w:spacing w:after="0" w:line="216" w:lineRule="exact"/>
        <w:rPr>
          <w:sz w:val="20"/>
          <w:szCs w:val="20"/>
          <w:color w:val="auto"/>
        </w:rPr>
      </w:pPr>
    </w:p>
    <w:p>
      <w:pPr>
        <w:jc w:val="both"/>
        <w:ind w:left="100" w:firstLine="749"/>
        <w:spacing w:after="0" w:line="247" w:lineRule="auto"/>
        <w:rPr>
          <w:sz w:val="20"/>
          <w:szCs w:val="20"/>
          <w:color w:val="auto"/>
        </w:rPr>
      </w:pPr>
      <w:r>
        <w:rPr>
          <w:rFonts w:ascii="Times New Roman" w:cs="Times New Roman" w:eastAsia="Times New Roman" w:hAnsi="Times New Roman"/>
          <w:sz w:val="20"/>
          <w:szCs w:val="20"/>
          <w:color w:val="auto"/>
        </w:rPr>
        <w:t xml:space="preserve">29.1 </w:t>
      </w:r>
      <w:r>
        <w:rPr>
          <w:rFonts w:ascii="Times New Roman" w:cs="Times New Roman" w:eastAsia="Times New Roman" w:hAnsi="Times New Roman"/>
          <w:sz w:val="20"/>
          <w:szCs w:val="20"/>
          <w:b w:val="1"/>
          <w:bCs w:val="1"/>
          <w:u w:val="single" w:color="auto"/>
          <w:color w:val="auto"/>
        </w:rPr>
        <w:t>Terms; Captions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words “Landlord” and “Tenant” as used herein shall include the plural as well as the singular. The necessary grammatical changes required to make the provisions hereof apply either to corporations, limited liability companies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180" w:lineRule="exact"/>
        <w:rPr>
          <w:sz w:val="20"/>
          <w:szCs w:val="20"/>
          <w:color w:val="auto"/>
        </w:rPr>
      </w:pPr>
    </w:p>
    <w:p>
      <w:pPr>
        <w:jc w:val="both"/>
        <w:ind w:left="100" w:firstLine="749"/>
        <w:spacing w:after="0" w:line="250" w:lineRule="auto"/>
        <w:rPr>
          <w:sz w:val="20"/>
          <w:szCs w:val="20"/>
          <w:color w:val="auto"/>
        </w:rPr>
      </w:pPr>
      <w:r>
        <w:rPr>
          <w:rFonts w:ascii="Times New Roman" w:cs="Times New Roman" w:eastAsia="Times New Roman" w:hAnsi="Times New Roman"/>
          <w:sz w:val="20"/>
          <w:szCs w:val="20"/>
          <w:color w:val="auto"/>
        </w:rPr>
        <w:t xml:space="preserve">29.2 </w:t>
      </w: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successors or assigns, provided this clause shall not permit any assignment by Tenant contrary to the provisions of </w:t>
      </w:r>
      <w:r>
        <w:rPr>
          <w:rFonts w:ascii="Times New Roman" w:cs="Times New Roman" w:eastAsia="Times New Roman" w:hAnsi="Times New Roman"/>
          <w:sz w:val="20"/>
          <w:szCs w:val="20"/>
          <w:u w:val="single" w:color="auto"/>
          <w:color w:val="auto"/>
        </w:rPr>
        <w:t>Article 14</w:t>
      </w:r>
      <w:r>
        <w:rPr>
          <w:rFonts w:ascii="Times New Roman" w:cs="Times New Roman" w:eastAsia="Times New Roman" w:hAnsi="Times New Roman"/>
          <w:sz w:val="20"/>
          <w:szCs w:val="20"/>
          <w:color w:val="auto"/>
        </w:rPr>
        <w:t xml:space="preserve"> of this Lease.</w:t>
      </w:r>
    </w:p>
    <w:p>
      <w:pPr>
        <w:spacing w:after="0" w:line="176" w:lineRule="exact"/>
        <w:rPr>
          <w:sz w:val="20"/>
          <w:szCs w:val="20"/>
          <w:color w:val="auto"/>
        </w:rPr>
      </w:pPr>
    </w:p>
    <w:p>
      <w:pPr>
        <w:jc w:val="both"/>
        <w:ind w:left="100" w:firstLine="749"/>
        <w:spacing w:after="0" w:line="273" w:lineRule="auto"/>
        <w:rPr>
          <w:sz w:val="20"/>
          <w:szCs w:val="20"/>
          <w:color w:val="auto"/>
        </w:rPr>
      </w:pPr>
      <w:r>
        <w:rPr>
          <w:rFonts w:ascii="Times New Roman" w:cs="Times New Roman" w:eastAsia="Times New Roman" w:hAnsi="Times New Roman"/>
          <w:sz w:val="20"/>
          <w:szCs w:val="20"/>
          <w:color w:val="auto"/>
        </w:rPr>
        <w:t xml:space="preserve">29.3 </w:t>
      </w:r>
      <w:r>
        <w:rPr>
          <w:rFonts w:ascii="Times New Roman" w:cs="Times New Roman" w:eastAsia="Times New Roman" w:hAnsi="Times New Roman"/>
          <w:sz w:val="20"/>
          <w:szCs w:val="20"/>
          <w:b w:val="1"/>
          <w:bCs w:val="1"/>
          <w:u w:val="single" w:color="auto"/>
          <w:color w:val="auto"/>
        </w:rPr>
        <w:t>No Air Rights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No rights to any view or to light or air over any property belonging to third parties are granted to Tenant by this Lease.</w:t>
      </w:r>
    </w:p>
    <w:p>
      <w:pPr>
        <w:spacing w:after="0" w:line="152" w:lineRule="exact"/>
        <w:rPr>
          <w:sz w:val="20"/>
          <w:szCs w:val="20"/>
          <w:color w:val="auto"/>
        </w:rPr>
      </w:pPr>
    </w:p>
    <w:p>
      <w:pPr>
        <w:jc w:val="both"/>
        <w:ind w:left="100" w:firstLine="749"/>
        <w:spacing w:after="0" w:line="245" w:lineRule="auto"/>
        <w:rPr>
          <w:sz w:val="20"/>
          <w:szCs w:val="20"/>
          <w:color w:val="auto"/>
        </w:rPr>
      </w:pPr>
      <w:r>
        <w:rPr>
          <w:rFonts w:ascii="Times New Roman" w:cs="Times New Roman" w:eastAsia="Times New Roman" w:hAnsi="Times New Roman"/>
          <w:sz w:val="20"/>
          <w:szCs w:val="20"/>
          <w:color w:val="auto"/>
        </w:rPr>
        <w:t xml:space="preserve">29.4 </w:t>
      </w:r>
      <w:r>
        <w:rPr>
          <w:rFonts w:ascii="Times New Roman" w:cs="Times New Roman" w:eastAsia="Times New Roman" w:hAnsi="Times New Roman"/>
          <w:sz w:val="20"/>
          <w:szCs w:val="20"/>
          <w:b w:val="1"/>
          <w:bCs w:val="1"/>
          <w:u w:val="single" w:color="auto"/>
          <w:color w:val="auto"/>
        </w:rPr>
        <w:t>Modification of Lease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or unreasonably interfere with Tenant's use of or access to the Premises or Tenant's parking rights, then and in such event, Tenant agrees that this Lease may be so modified and agrees to execute whatever documents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(10) business days following the request therefor.</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29.5 </w:t>
      </w:r>
      <w:r>
        <w:rPr>
          <w:rFonts w:ascii="Times New Roman" w:cs="Times New Roman" w:eastAsia="Times New Roman" w:hAnsi="Times New Roman"/>
          <w:sz w:val="20"/>
          <w:szCs w:val="20"/>
          <w:b w:val="1"/>
          <w:bCs w:val="1"/>
          <w:u w:val="single" w:color="auto"/>
          <w:color w:val="auto"/>
        </w:rPr>
        <w:t>Transfer of Landlord’s Interest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acknowledges that Landlord has the right to transfer all or any portion of its interest in the Project or Building and in this Lease, and Tenant agrees that in the event of any such transfer, provided the transferee assumes all Landlord's obligations under this Lease accruing from and after the effective date of the transfer, Landlord shall automatically be released from all liability under this Lease accruing thereafter and Tenant agrees to look solely to such transferee for the performance of Landlord’s obligations hereunder accruing after the date of transfer and such transferee shall be deemed to have fully assumed and be liable for all obligations of this Lease to be performed by Landlord first accruing following the effective date of such transfer, including the return of any Security Deposit, and Tenant shall attorn to such transferee.</w:t>
      </w:r>
    </w:p>
    <w:p>
      <w:pPr>
        <w:spacing w:after="0" w:line="179" w:lineRule="exact"/>
        <w:rPr>
          <w:sz w:val="20"/>
          <w:szCs w:val="20"/>
          <w:color w:val="auto"/>
        </w:rPr>
      </w:pPr>
    </w:p>
    <w:p>
      <w:pPr>
        <w:jc w:val="both"/>
        <w:ind w:right="20" w:firstLine="749"/>
        <w:spacing w:after="0" w:line="300" w:lineRule="auto"/>
        <w:rPr>
          <w:sz w:val="20"/>
          <w:szCs w:val="20"/>
          <w:color w:val="auto"/>
        </w:rPr>
      </w:pPr>
      <w:r>
        <w:rPr>
          <w:rFonts w:ascii="Times New Roman" w:cs="Times New Roman" w:eastAsia="Times New Roman" w:hAnsi="Times New Roman"/>
          <w:sz w:val="19"/>
          <w:szCs w:val="19"/>
          <w:color w:val="auto"/>
        </w:rPr>
        <w:t xml:space="preserve">29.6 </w:t>
      </w:r>
      <w:r>
        <w:rPr>
          <w:rFonts w:ascii="Times New Roman" w:cs="Times New Roman" w:eastAsia="Times New Roman" w:hAnsi="Times New Roman"/>
          <w:sz w:val="19"/>
          <w:szCs w:val="19"/>
          <w:b w:val="1"/>
          <w:bCs w:val="1"/>
          <w:u w:val="single" w:color="auto"/>
          <w:color w:val="auto"/>
        </w:rPr>
        <w:t>Prohibition Against Recording</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Except as provided in </w:t>
      </w:r>
      <w:r>
        <w:rPr>
          <w:rFonts w:ascii="Times New Roman" w:cs="Times New Roman" w:eastAsia="Times New Roman" w:hAnsi="Times New Roman"/>
          <w:sz w:val="19"/>
          <w:szCs w:val="19"/>
          <w:u w:val="single" w:color="auto"/>
          <w:color w:val="auto"/>
        </w:rPr>
        <w:t>Section 29.4</w:t>
      </w:r>
      <w:r>
        <w:rPr>
          <w:rFonts w:ascii="Times New Roman" w:cs="Times New Roman" w:eastAsia="Times New Roman" w:hAnsi="Times New Roman"/>
          <w:sz w:val="19"/>
          <w:szCs w:val="19"/>
          <w:color w:val="auto"/>
        </w:rPr>
        <w:t xml:space="preserve"> of this Lease, neither this Lease, nor any memorandum, affidavit or other writing with respect thereto, shall be recorded by Tenant or by anyone acting through, under or on behalf of Tenant.</w:t>
      </w:r>
    </w:p>
    <w:p>
      <w:pPr>
        <w:spacing w:after="0" w:line="12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29.7 </w:t>
      </w:r>
      <w:r>
        <w:rPr>
          <w:rFonts w:ascii="Times New Roman" w:cs="Times New Roman" w:eastAsia="Times New Roman" w:hAnsi="Times New Roman"/>
          <w:sz w:val="20"/>
          <w:szCs w:val="20"/>
          <w:b w:val="1"/>
          <w:bCs w:val="1"/>
          <w:u w:val="single" w:color="auto"/>
          <w:color w:val="auto"/>
        </w:rPr>
        <w:t>Landlord’s Title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Landlord’s title is and always shall be paramount to the title of Tenant. Nothing herein contained shall empower Tenant to do any act which can, shall or may encumber the title of Landlord.</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29.8 </w:t>
      </w:r>
      <w:r>
        <w:rPr>
          <w:rFonts w:ascii="Times New Roman" w:cs="Times New Roman" w:eastAsia="Times New Roman" w:hAnsi="Times New Roman"/>
          <w:sz w:val="20"/>
          <w:szCs w:val="20"/>
          <w:b w:val="1"/>
          <w:bCs w:val="1"/>
          <w:u w:val="single" w:color="auto"/>
          <w:color w:val="auto"/>
        </w:rPr>
        <w:t>Relationship of Parties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Nothing contained in this Lease shall be deemed or construed by the parties hereto or by any third party to create the relationship of principal and agent, partnership, joint venturer or any association between Landlord and Tenant.</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29.9 </w:t>
      </w:r>
      <w:r>
        <w:rPr>
          <w:rFonts w:ascii="Times New Roman" w:cs="Times New Roman" w:eastAsia="Times New Roman" w:hAnsi="Times New Roman"/>
          <w:sz w:val="20"/>
          <w:szCs w:val="20"/>
          <w:b w:val="1"/>
          <w:bCs w:val="1"/>
          <w:u w:val="single" w:color="auto"/>
          <w:color w:val="auto"/>
        </w:rPr>
        <w:t>Application of Payments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shall have the right to apply payments received from Tenant pursuant to this Lease, regardless of Tenant’s designation of such payments, to satisfy any obligations of Tenant then due hereunder, in such order and amounts as Landlord, in its sole discretion, may elect.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29.10 </w:t>
      </w:r>
      <w:r>
        <w:rPr>
          <w:rFonts w:ascii="Times New Roman" w:cs="Times New Roman" w:eastAsia="Times New Roman" w:hAnsi="Times New Roman"/>
          <w:sz w:val="20"/>
          <w:szCs w:val="20"/>
          <w:b w:val="1"/>
          <w:bCs w:val="1"/>
          <w:u w:val="single" w:color="auto"/>
          <w:color w:val="auto"/>
        </w:rPr>
        <w:t>Time of Essence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Time is of the essence with respect to the performance of every provision of this Lease in which time of performance is a factor.</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29.11 </w:t>
      </w:r>
      <w:r>
        <w:rPr>
          <w:rFonts w:ascii="Times New Roman" w:cs="Times New Roman" w:eastAsia="Times New Roman" w:hAnsi="Times New Roman"/>
          <w:sz w:val="20"/>
          <w:szCs w:val="20"/>
          <w:b w:val="1"/>
          <w:bCs w:val="1"/>
          <w:u w:val="single" w:color="auto"/>
          <w:color w:val="auto"/>
        </w:rPr>
        <w:t>Partial Invalidity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29.12 </w:t>
      </w:r>
      <w:r>
        <w:rPr>
          <w:rFonts w:ascii="Times New Roman" w:cs="Times New Roman" w:eastAsia="Times New Roman" w:hAnsi="Times New Roman"/>
          <w:sz w:val="20"/>
          <w:szCs w:val="20"/>
          <w:b w:val="1"/>
          <w:bCs w:val="1"/>
          <w:u w:val="single" w:color="auto"/>
          <w:color w:val="auto"/>
        </w:rPr>
        <w:t>No Warranty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29.13 </w:t>
      </w:r>
      <w:r>
        <w:rPr>
          <w:rFonts w:ascii="Times New Roman" w:cs="Times New Roman" w:eastAsia="Times New Roman" w:hAnsi="Times New Roman"/>
          <w:sz w:val="20"/>
          <w:szCs w:val="20"/>
          <w:b w:val="1"/>
          <w:bCs w:val="1"/>
          <w:u w:val="single" w:color="auto"/>
          <w:color w:val="auto"/>
        </w:rPr>
        <w:t>Landlord Exculpation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lesser of the amount of (a) the interest of Landlord in that portion of the Project owned by Landlord or (b) the equity interest Landlord would have in that portion of the Project owned by Landlord if such portion of the Project were encumbered by third-party debt in an amount equal to eighty percent (80%) of the value of such portion of the Project owned by Landlord (as such value is determined in good faith by Landlord), in each case including any rental, condemnation, sales or insurance proceeds received by Landlord or the Landlord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9" w:right="339" w:bottom="1440" w:gutter="0" w:footer="0" w:header="0"/>
        </w:sectPr>
      </w:pPr>
    </w:p>
    <w:bookmarkStart w:id="157" w:name="page158"/>
    <w:bookmarkEnd w:id="157"/>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Parties in connection with the Project, Building or Premises. Neither Landlord (in excess of the amount in the preceding sentence),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Times New Roman" w:cs="Times New Roman" w:eastAsia="Times New Roman" w:hAnsi="Times New Roman"/>
          <w:sz w:val="20"/>
          <w:szCs w:val="20"/>
          <w:u w:val="single" w:color="auto"/>
          <w:color w:val="auto"/>
        </w:rPr>
        <w:t>Section 29.13</w:t>
      </w:r>
      <w:r>
        <w:rPr>
          <w:rFonts w:ascii="Times New Roman" w:cs="Times New Roman" w:eastAsia="Times New Roman" w:hAnsi="Times New Roman"/>
          <w:sz w:val="20"/>
          <w:szCs w:val="20"/>
          <w:color w:val="auto"/>
        </w:rPr>
        <w:t xml:space="preserve"> shall inure to the benefit of Landlord’s and the Landlord Parties’ present and future partners, beneficiaries, officers, directors, trustees, shareholders, members, managers, agents and employees, and their respective partners, heirs, successors and assigns. Under no circumstances shall any present or future partner or member of Landlord (if Landlord is a partnership or limited liability company), or any present or future shareholder of Landlord (if Landlord is a corporation)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any indirect, special, punitive or consequential damages or any injury or damage to, or interference with, Tenant’s business, including but not limited to, loss of profits, loss of rents or other revenues, loss of business opportunity, loss of goodwill or loss of use, in each case, however occurring.</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29.14 </w:t>
      </w: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letters of intent, term sheets,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29.15 </w:t>
      </w:r>
      <w:r>
        <w:rPr>
          <w:rFonts w:ascii="Times New Roman" w:cs="Times New Roman" w:eastAsia="Times New Roman" w:hAnsi="Times New Roman"/>
          <w:sz w:val="20"/>
          <w:szCs w:val="20"/>
          <w:b w:val="1"/>
          <w:bCs w:val="1"/>
          <w:u w:val="single" w:color="auto"/>
          <w:color w:val="auto"/>
        </w:rPr>
        <w:t>Right to Lease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29.16 </w:t>
      </w:r>
      <w:r>
        <w:rPr>
          <w:rFonts w:ascii="Times New Roman" w:cs="Times New Roman" w:eastAsia="Times New Roman" w:hAnsi="Times New Roman"/>
          <w:sz w:val="20"/>
          <w:szCs w:val="20"/>
          <w:b w:val="1"/>
          <w:bCs w:val="1"/>
          <w:u w:val="single" w:color="auto"/>
          <w:color w:val="auto"/>
        </w:rPr>
        <w:t>Force Majeure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Any prevention, delay or stoppage due to strikes, lockouts, widespread labor disputes, acts of God, acts of war, terrorist acts, inability to obtain services, labor or materials or reasonable substitutes therefor, unusual governmental actions, unusual delay in issuing any building permits for the construction of the Tenant Improvements by Landlord pursuant to the Tenant Work Letter, civil commotions, fire or other casualty, pandemic, epidemic and other similar causes beyond the reasonable control of the party obligated to perform or its agents or contractors, except with respect to the obligations imposed with regard to Rent and other charges to be paid by Tenant pursuant to this Lease (collectively, a “</w:t>
      </w:r>
      <w:r>
        <w:rPr>
          <w:rFonts w:ascii="Times New Roman" w:cs="Times New Roman" w:eastAsia="Times New Roman" w:hAnsi="Times New Roman"/>
          <w:sz w:val="20"/>
          <w:szCs w:val="20"/>
          <w:b w:val="1"/>
          <w:bCs w:val="1"/>
          <w:color w:val="auto"/>
        </w:rPr>
        <w:t>Force Majeure</w:t>
      </w:r>
      <w:r>
        <w:rPr>
          <w:rFonts w:ascii="Times New Roman" w:cs="Times New Roman" w:eastAsia="Times New Roman" w:hAnsi="Times New Roman"/>
          <w:sz w:val="20"/>
          <w:szCs w:val="20"/>
          <w:color w:val="auto"/>
        </w:rPr>
        <w:t xml:space="preserve">”),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 provided the same shall not delay any dates (other than as provided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above) after which Tenant may terminate this Lease or abate rent pursuant to any express terms of this Lease. Anything herein to the contrary notwithstanding, the occurrence of any Force Majeure event shall not excuse Tenant from paying any Rent or any other charges or sums required to be paid by Tenant under this Lease. The occurrence of any Force Majeure event shall not eliminate, modify or diminish any rent abatement provisions set forth in Sections 2.1.1, 6.4 or 19.6.1 or in Articles 11 or 13.</w:t>
      </w:r>
    </w:p>
    <w:p>
      <w:pPr>
        <w:spacing w:after="0" w:line="18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29.17</w:t>
      </w:r>
      <w:r>
        <w:rPr>
          <w:sz w:val="20"/>
          <w:szCs w:val="20"/>
          <w:color w:val="auto"/>
        </w:rPr>
        <w:tab/>
      </w:r>
      <w:r>
        <w:rPr>
          <w:rFonts w:ascii="Times New Roman" w:cs="Times New Roman" w:eastAsia="Times New Roman" w:hAnsi="Times New Roman"/>
          <w:sz w:val="19"/>
          <w:szCs w:val="19"/>
          <w:b w:val="1"/>
          <w:bCs w:val="1"/>
          <w:u w:val="single" w:color="auto"/>
          <w:color w:val="auto"/>
        </w:rPr>
        <w:t>Intentionally deleted</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13" w:right="339" w:bottom="1440" w:gutter="0" w:footer="0" w:header="0"/>
        </w:sectPr>
      </w:pPr>
    </w:p>
    <w:bookmarkStart w:id="158" w:name="page159"/>
    <w:bookmarkEnd w:id="158"/>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29.18 </w:t>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All notices, demands, statements, designations, approvals or other communications (collectively, “</w:t>
      </w: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given or required to be given by either party to the other hereunder or by law shall be in writing, shall be (A) sent by United States certified or registered mail, postage prepaid, return receipt requested (“</w:t>
      </w:r>
      <w:r>
        <w:rPr>
          <w:rFonts w:ascii="Times New Roman" w:cs="Times New Roman" w:eastAsia="Times New Roman" w:hAnsi="Times New Roman"/>
          <w:sz w:val="20"/>
          <w:szCs w:val="20"/>
          <w:b w:val="1"/>
          <w:bCs w:val="1"/>
          <w:color w:val="auto"/>
        </w:rPr>
        <w:t>Mail</w:t>
      </w:r>
      <w:r>
        <w:rPr>
          <w:rFonts w:ascii="Times New Roman" w:cs="Times New Roman" w:eastAsia="Times New Roman" w:hAnsi="Times New Roman"/>
          <w:sz w:val="20"/>
          <w:szCs w:val="20"/>
          <w:color w:val="auto"/>
        </w:rPr>
        <w:t xml:space="preserve">”), (B) delivered by a nationally recognized overnight courier, or (C) delivered personally; </w:t>
      </w:r>
      <w:r>
        <w:rPr>
          <w:rFonts w:ascii="Times New Roman" w:cs="Times New Roman" w:eastAsia="Times New Roman" w:hAnsi="Times New Roman"/>
          <w:sz w:val="20"/>
          <w:szCs w:val="20"/>
          <w:b w:val="1"/>
          <w:bCs w:val="1"/>
          <w:color w:val="auto"/>
        </w:rPr>
        <w:t xml:space="preserve">provided, however, notices to Tenant must also be sent by email to the following email address: legal-notices@ambarella.com, or such other email address as Tenant shall notify Landlord pursuant to the terms of this </w:t>
      </w:r>
      <w:r>
        <w:rPr>
          <w:rFonts w:ascii="Times New Roman" w:cs="Times New Roman" w:eastAsia="Times New Roman" w:hAnsi="Times New Roman"/>
          <w:sz w:val="20"/>
          <w:szCs w:val="20"/>
          <w:b w:val="1"/>
          <w:bCs w:val="1"/>
          <w:u w:val="single" w:color="auto"/>
          <w:color w:val="auto"/>
        </w:rPr>
        <w:t>Section 29</w:t>
      </w:r>
      <w:r>
        <w:rPr>
          <w:rFonts w:ascii="Times New Roman" w:cs="Times New Roman" w:eastAsia="Times New Roman" w:hAnsi="Times New Roman"/>
          <w:sz w:val="20"/>
          <w:szCs w:val="20"/>
          <w:color w:val="auto"/>
        </w:rPr>
        <w: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Notice shall be sent, transmitted, or delivered, as the case may be, to Tenant at the appropriate address set forth in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 (i) three (3) business days after the date it is posted if sent by Mail, or (ii) the date the overnight courier delivery is made or (iii) the date personal delivery is made. As of the date of this Lease, any Notices to Landlord must be sent, transmitted, or delivered, as the case may be, to the following addresses:</w:t>
      </w:r>
    </w:p>
    <w:p>
      <w:pPr>
        <w:spacing w:after="0" w:line="19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The Quad Santa Clara, LLC</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c/o South Bay Development Company</w:t>
      </w:r>
    </w:p>
    <w:p>
      <w:pPr>
        <w:ind w:left="2160"/>
        <w:spacing w:after="0"/>
        <w:rPr>
          <w:sz w:val="20"/>
          <w:szCs w:val="20"/>
          <w:color w:val="auto"/>
        </w:rPr>
      </w:pPr>
      <w:r>
        <w:rPr>
          <w:rFonts w:ascii="Times New Roman" w:cs="Times New Roman" w:eastAsia="Times New Roman" w:hAnsi="Times New Roman"/>
          <w:sz w:val="20"/>
          <w:szCs w:val="20"/>
          <w:color w:val="auto"/>
        </w:rPr>
        <w:t>475 Alberto Way, Suite 150</w:t>
      </w:r>
    </w:p>
    <w:p>
      <w:pPr>
        <w:ind w:left="2160"/>
        <w:spacing w:after="0"/>
        <w:rPr>
          <w:sz w:val="20"/>
          <w:szCs w:val="20"/>
          <w:color w:val="auto"/>
        </w:rPr>
      </w:pPr>
      <w:r>
        <w:rPr>
          <w:rFonts w:ascii="Times New Roman" w:cs="Times New Roman" w:eastAsia="Times New Roman" w:hAnsi="Times New Roman"/>
          <w:sz w:val="20"/>
          <w:szCs w:val="20"/>
          <w:color w:val="auto"/>
        </w:rPr>
        <w:t>Los Gatos, CA 95032</w:t>
      </w:r>
    </w:p>
    <w:p>
      <w:pPr>
        <w:ind w:left="2160"/>
        <w:spacing w:after="0"/>
        <w:rPr>
          <w:sz w:val="20"/>
          <w:szCs w:val="20"/>
          <w:color w:val="auto"/>
        </w:rPr>
      </w:pPr>
      <w:r>
        <w:rPr>
          <w:rFonts w:ascii="Times New Roman" w:cs="Times New Roman" w:eastAsia="Times New Roman" w:hAnsi="Times New Roman"/>
          <w:sz w:val="20"/>
          <w:szCs w:val="20"/>
          <w:color w:val="auto"/>
        </w:rPr>
        <w:t>Attn:</w:t>
      </w:r>
    </w:p>
    <w:p>
      <w:pPr>
        <w:spacing w:after="0" w:line="2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Berliner Cohen LLP</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color w:val="auto"/>
        </w:rPr>
        <w:t>10 Almaden Boulevard, Suite 1100</w:t>
      </w:r>
    </w:p>
    <w:p>
      <w:pPr>
        <w:ind w:left="2160"/>
        <w:spacing w:after="0"/>
        <w:rPr>
          <w:sz w:val="20"/>
          <w:szCs w:val="20"/>
          <w:color w:val="auto"/>
        </w:rPr>
      </w:pPr>
      <w:r>
        <w:rPr>
          <w:rFonts w:ascii="Times New Roman" w:cs="Times New Roman" w:eastAsia="Times New Roman" w:hAnsi="Times New Roman"/>
          <w:sz w:val="20"/>
          <w:szCs w:val="20"/>
          <w:color w:val="auto"/>
        </w:rPr>
        <w:t>San Jose, CA 95113</w:t>
      </w:r>
    </w:p>
    <w:p>
      <w:pPr>
        <w:ind w:left="2160"/>
        <w:spacing w:after="0"/>
        <w:rPr>
          <w:sz w:val="20"/>
          <w:szCs w:val="20"/>
          <w:color w:val="auto"/>
        </w:rPr>
      </w:pPr>
      <w:r>
        <w:rPr>
          <w:rFonts w:ascii="Times New Roman" w:cs="Times New Roman" w:eastAsia="Times New Roman" w:hAnsi="Times New Roman"/>
          <w:sz w:val="20"/>
          <w:szCs w:val="20"/>
          <w:color w:val="auto"/>
        </w:rPr>
        <w:t>Attn:</w:t>
      </w:r>
    </w:p>
    <w:p>
      <w:pPr>
        <w:spacing w:after="0" w:line="203"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 xml:space="preserve">29.19 </w:t>
      </w:r>
      <w:r>
        <w:rPr>
          <w:rFonts w:ascii="Times New Roman" w:cs="Times New Roman" w:eastAsia="Times New Roman" w:hAnsi="Times New Roman"/>
          <w:sz w:val="20"/>
          <w:szCs w:val="20"/>
          <w:b w:val="1"/>
          <w:bCs w:val="1"/>
          <w:u w:val="single" w:color="auto"/>
          <w:color w:val="auto"/>
        </w:rPr>
        <w:t>Joint and Several</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there is more than one Tenant, the obligations imposed upon Tenant under this Lease shall be joint and several.</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29.20 </w:t>
      </w:r>
      <w:r>
        <w:rPr>
          <w:rFonts w:ascii="Times New Roman" w:cs="Times New Roman" w:eastAsia="Times New Roman" w:hAnsi="Times New Roman"/>
          <w:sz w:val="20"/>
          <w:szCs w:val="20"/>
          <w:b w:val="1"/>
          <w:bCs w:val="1"/>
          <w:u w:val="single" w:color="auto"/>
          <w:color w:val="auto"/>
        </w:rPr>
        <w:t>Authority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Tenant is a corporation, limited liability company, trust or partnership, Tenant hereby represents and warrants that Tenant is a duly formed and existing entity qualified to do business in California and that Tenant has full right and authority to execute and deliver this Lease and that each person signing on behalf of Tenant is authorized to do so. Landlord hereby represents and warrants that Landlord has the full right and authority to execute and deliver this Lease and that each person signing on behalf of Landlord is authorized to do so</w:t>
      </w:r>
    </w:p>
    <w:p>
      <w:pPr>
        <w:spacing w:after="0" w:line="1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29.21 </w:t>
      </w:r>
      <w:r>
        <w:rPr>
          <w:rFonts w:ascii="Times New Roman" w:cs="Times New Roman" w:eastAsia="Times New Roman" w:hAnsi="Times New Roman"/>
          <w:sz w:val="20"/>
          <w:szCs w:val="20"/>
          <w:b w:val="1"/>
          <w:bCs w:val="1"/>
          <w:u w:val="single" w:color="auto"/>
          <w:color w:val="auto"/>
        </w:rPr>
        <w:t>Attorneys’ Fees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29.22 </w:t>
      </w:r>
      <w:r>
        <w:rPr>
          <w:rFonts w:ascii="Times New Roman" w:cs="Times New Roman" w:eastAsia="Times New Roman" w:hAnsi="Times New Roman"/>
          <w:sz w:val="20"/>
          <w:szCs w:val="20"/>
          <w:b w:val="1"/>
          <w:bCs w:val="1"/>
          <w:u w:val="single" w:color="auto"/>
          <w:color w:val="auto"/>
        </w:rPr>
        <w:t>Governing Law; WAIVER OF TRIAL BY JURY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TO THE EXTENT PERMITTED BY</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9" w:right="339" w:bottom="1440" w:gutter="0" w:footer="0" w:header="0"/>
        </w:sectPr>
      </w:pPr>
    </w:p>
    <w:bookmarkStart w:id="159" w:name="page160"/>
    <w:bookmarkEnd w:id="159"/>
    <w:p>
      <w:pPr>
        <w:jc w:val="both"/>
        <w:spacing w:after="0" w:line="243" w:lineRule="auto"/>
        <w:rPr>
          <w:sz w:val="20"/>
          <w:szCs w:val="20"/>
          <w:color w:val="auto"/>
        </w:rPr>
      </w:pPr>
      <w:r>
        <w:rPr>
          <w:rFonts w:ascii="Times New Roman" w:cs="Times New Roman" w:eastAsia="Times New Roman" w:hAnsi="Times New Roman"/>
          <w:sz w:val="20"/>
          <w:szCs w:val="20"/>
          <w:color w:val="auto"/>
        </w:rPr>
        <w:t>APPLICABLE LAW,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8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29.23 </w:t>
      </w:r>
      <w:r>
        <w:rPr>
          <w:rFonts w:ascii="Times New Roman" w:cs="Times New Roman" w:eastAsia="Times New Roman" w:hAnsi="Times New Roman"/>
          <w:sz w:val="20"/>
          <w:szCs w:val="20"/>
          <w:b w:val="1"/>
          <w:bCs w:val="1"/>
          <w:u w:val="single" w:color="auto"/>
          <w:color w:val="auto"/>
        </w:rPr>
        <w:t>Submission of Lease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6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29.24 </w:t>
      </w:r>
      <w:r>
        <w:rPr>
          <w:rFonts w:ascii="Times New Roman" w:cs="Times New Roman" w:eastAsia="Times New Roman" w:hAnsi="Times New Roman"/>
          <w:sz w:val="20"/>
          <w:szCs w:val="20"/>
          <w:b w:val="1"/>
          <w:bCs w:val="1"/>
          <w:u w:val="single" w:color="auto"/>
          <w:color w:val="auto"/>
        </w:rPr>
        <w:t>Brokers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of the Summary (the “</w:t>
      </w:r>
      <w:r>
        <w:rPr>
          <w:rFonts w:ascii="Times New Roman" w:cs="Times New Roman" w:eastAsia="Times New Roman" w:hAnsi="Times New Roman"/>
          <w:sz w:val="20"/>
          <w:szCs w:val="20"/>
          <w:b w:val="1"/>
          <w:bCs w:val="1"/>
          <w:color w:val="auto"/>
        </w:rPr>
        <w:t>Brokers</w:t>
      </w:r>
      <w:r>
        <w:rPr>
          <w:rFonts w:ascii="Times New Roman" w:cs="Times New Roman" w:eastAsia="Times New Roman" w:hAnsi="Times New Roman"/>
          <w:sz w:val="20"/>
          <w:szCs w:val="20"/>
          <w:color w:val="auto"/>
        </w:rPr>
        <w:t>”),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Landlord shall be responsible to pay the Brokers a commission and applicable to this transaction pursuant to a separate agreement between Landlord and the Brokers.</w:t>
      </w:r>
    </w:p>
    <w:p>
      <w:pPr>
        <w:spacing w:after="0" w:line="18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29.25 </w:t>
      </w:r>
      <w:r>
        <w:rPr>
          <w:rFonts w:ascii="Times New Roman" w:cs="Times New Roman" w:eastAsia="Times New Roman" w:hAnsi="Times New Roman"/>
          <w:sz w:val="20"/>
          <w:szCs w:val="20"/>
          <w:b w:val="1"/>
          <w:bCs w:val="1"/>
          <w:u w:val="single" w:color="auto"/>
          <w:color w:val="auto"/>
        </w:rPr>
        <w:t>Independent Covenants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 except as expressly provided </w:t>
      </w:r>
      <w:r>
        <w:rPr>
          <w:rFonts w:ascii="Times New Roman" w:cs="Times New Roman" w:eastAsia="Times New Roman" w:hAnsi="Times New Roman"/>
          <w:sz w:val="20"/>
          <w:szCs w:val="20"/>
          <w:u w:val="single" w:color="auto"/>
          <w:color w:val="auto"/>
        </w:rPr>
        <w:t>Section 19.6.1</w:t>
      </w:r>
      <w:r>
        <w:rPr>
          <w:rFonts w:ascii="Times New Roman" w:cs="Times New Roman" w:eastAsia="Times New Roman" w:hAnsi="Times New Roman"/>
          <w:sz w:val="20"/>
          <w:szCs w:val="20"/>
          <w:color w:val="auto"/>
        </w:rPr>
        <w:t xml:space="preserve"> of this Lease.</w:t>
      </w:r>
    </w:p>
    <w:p>
      <w:pPr>
        <w:spacing w:after="0" w:line="1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29.26 </w:t>
      </w:r>
      <w:r>
        <w:rPr>
          <w:rFonts w:ascii="Times New Roman" w:cs="Times New Roman" w:eastAsia="Times New Roman" w:hAnsi="Times New Roman"/>
          <w:sz w:val="20"/>
          <w:szCs w:val="20"/>
          <w:b w:val="1"/>
          <w:bCs w:val="1"/>
          <w:u w:val="single" w:color="auto"/>
          <w:color w:val="auto"/>
        </w:rPr>
        <w:t>Project or Building Name and Signage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shall have the right at any time to change the name of the Project and to install, affix and maintain any and all signs on the exterior of the Project (but not on the Building) as Landlord may, in Landlord’s reasonable discretion, desire. Tenant shall not use the words “The Quad @ Tasman” or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29.27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This Lease may be executed Amendment may be executed and delivered by PDF, email, or DocuSign signatures and in separate counterparts with the same effect as if both parties hereto had executed the same document. Both counterparts shall be construed together and shall constitute a single lease.</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29.28 </w:t>
      </w:r>
      <w:r>
        <w:rPr>
          <w:rFonts w:ascii="Times New Roman" w:cs="Times New Roman" w:eastAsia="Times New Roman" w:hAnsi="Times New Roman"/>
          <w:sz w:val="20"/>
          <w:szCs w:val="20"/>
          <w:b w:val="1"/>
          <w:bCs w:val="1"/>
          <w:u w:val="single" w:color="auto"/>
          <w:color w:val="auto"/>
        </w:rPr>
        <w:t>No Press Release.</w:t>
      </w:r>
      <w:r>
        <w:rPr>
          <w:rFonts w:ascii="Times New Roman" w:cs="Times New Roman" w:eastAsia="Times New Roman" w:hAnsi="Times New Roman"/>
          <w:sz w:val="20"/>
          <w:szCs w:val="20"/>
          <w:color w:val="auto"/>
        </w:rPr>
        <w:t xml:space="preserve"> Neither party shall issue a press release or similar public disclosure of this Lease, except as may be required by Applicable Law or court order, with the prior consent of the other party (which consent shall not be unreasonably withheld, conditioned or delayed); provided, however,</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13" w:right="339" w:bottom="1440" w:gutter="0" w:footer="0" w:header="0"/>
        </w:sectPr>
      </w:pPr>
    </w:p>
    <w:bookmarkStart w:id="160" w:name="page161"/>
    <w:bookmarkEnd w:id="160"/>
    <w:p>
      <w:pPr>
        <w:ind w:left="100"/>
        <w:spacing w:after="0"/>
        <w:rPr>
          <w:sz w:val="20"/>
          <w:szCs w:val="20"/>
          <w:color w:val="auto"/>
        </w:rPr>
      </w:pPr>
      <w:r>
        <w:rPr>
          <w:rFonts w:ascii="Times New Roman" w:cs="Times New Roman" w:eastAsia="Times New Roman" w:hAnsi="Times New Roman"/>
          <w:sz w:val="20"/>
          <w:szCs w:val="20"/>
          <w:color w:val="auto"/>
        </w:rPr>
        <w:t>such press release or other similar public disclosure shall not disclose the amount of Base Rent payable under this Lease by Tenant.</w:t>
      </w:r>
    </w:p>
    <w:p>
      <w:pPr>
        <w:spacing w:after="0" w:line="212" w:lineRule="exact"/>
        <w:rPr>
          <w:sz w:val="20"/>
          <w:szCs w:val="20"/>
          <w:color w:val="auto"/>
        </w:rPr>
      </w:pPr>
    </w:p>
    <w:p>
      <w:pPr>
        <w:ind w:left="860"/>
        <w:spacing w:after="0"/>
        <w:tabs>
          <w:tab w:leader="none" w:pos="1620" w:val="left"/>
        </w:tabs>
        <w:rPr>
          <w:sz w:val="20"/>
          <w:szCs w:val="20"/>
          <w:color w:val="auto"/>
        </w:rPr>
      </w:pPr>
      <w:r>
        <w:rPr>
          <w:rFonts w:ascii="Times New Roman" w:cs="Times New Roman" w:eastAsia="Times New Roman" w:hAnsi="Times New Roman"/>
          <w:sz w:val="20"/>
          <w:szCs w:val="20"/>
          <w:color w:val="auto"/>
        </w:rPr>
        <w:t>29.29</w:t>
      </w:r>
      <w:r>
        <w:rPr>
          <w:sz w:val="20"/>
          <w:szCs w:val="20"/>
          <w:color w:val="auto"/>
        </w:rPr>
        <w:tab/>
      </w:r>
      <w:r>
        <w:rPr>
          <w:rFonts w:ascii="Times New Roman" w:cs="Times New Roman" w:eastAsia="Times New Roman" w:hAnsi="Times New Roman"/>
          <w:sz w:val="19"/>
          <w:szCs w:val="19"/>
          <w:b w:val="1"/>
          <w:bCs w:val="1"/>
          <w:u w:val="single" w:color="auto"/>
          <w:color w:val="auto"/>
        </w:rPr>
        <w:t>Development of the Project</w:t>
      </w:r>
      <w:r>
        <w:rPr>
          <w:rFonts w:ascii="Times New Roman" w:cs="Times New Roman" w:eastAsia="Times New Roman" w:hAnsi="Times New Roman"/>
          <w:sz w:val="19"/>
          <w:szCs w:val="19"/>
          <w:b w:val="1"/>
          <w:bCs w:val="1"/>
          <w:color w:val="auto"/>
        </w:rPr>
        <w:t>.</w:t>
      </w:r>
    </w:p>
    <w:p>
      <w:pPr>
        <w:spacing w:after="0" w:line="216" w:lineRule="exact"/>
        <w:rPr>
          <w:sz w:val="20"/>
          <w:szCs w:val="20"/>
          <w:color w:val="auto"/>
        </w:rPr>
      </w:pPr>
    </w:p>
    <w:p>
      <w:pPr>
        <w:jc w:val="both"/>
        <w:ind w:right="20" w:firstLine="1497"/>
        <w:spacing w:after="0" w:line="256" w:lineRule="auto"/>
        <w:rPr>
          <w:sz w:val="20"/>
          <w:szCs w:val="20"/>
          <w:color w:val="auto"/>
        </w:rPr>
      </w:pPr>
      <w:r>
        <w:rPr>
          <w:rFonts w:ascii="Times New Roman" w:cs="Times New Roman" w:eastAsia="Times New Roman" w:hAnsi="Times New Roman"/>
          <w:sz w:val="20"/>
          <w:szCs w:val="20"/>
          <w:color w:val="auto"/>
        </w:rPr>
        <w:t xml:space="preserve">29.29.1 </w:t>
      </w:r>
      <w:r>
        <w:rPr>
          <w:rFonts w:ascii="Times New Roman" w:cs="Times New Roman" w:eastAsia="Times New Roman" w:hAnsi="Times New Roman"/>
          <w:sz w:val="20"/>
          <w:szCs w:val="20"/>
          <w:b w:val="1"/>
          <w:bCs w:val="1"/>
          <w:u w:val="single" w:color="auto"/>
          <w:color w:val="auto"/>
        </w:rPr>
        <w:t>Subdivision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Provided it does not result in an Adverse Event, Landlord reserves the right to further subdivide all or a portion of the Project. Tenant agrees to execute and deliver, upon demand by Landlord and in the form reasonably requested by Landlord, any additional documents needed to conform this Lease to the circumstances resulting from such subdivision.</w:t>
      </w:r>
    </w:p>
    <w:p>
      <w:pPr>
        <w:spacing w:after="0" w:line="169"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29.29.2 </w:t>
      </w:r>
      <w:r>
        <w:rPr>
          <w:rFonts w:ascii="Times New Roman" w:cs="Times New Roman" w:eastAsia="Times New Roman" w:hAnsi="Times New Roman"/>
          <w:sz w:val="20"/>
          <w:szCs w:val="20"/>
          <w:b w:val="1"/>
          <w:bCs w:val="1"/>
          <w:u w:val="single" w:color="auto"/>
          <w:color w:val="auto"/>
        </w:rPr>
        <w:t>The Other Improvements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If portions of the Project or property adjacent to the Project (collectively, the “</w:t>
      </w:r>
      <w:r>
        <w:rPr>
          <w:rFonts w:ascii="Times New Roman" w:cs="Times New Roman" w:eastAsia="Times New Roman" w:hAnsi="Times New Roman"/>
          <w:sz w:val="20"/>
          <w:szCs w:val="20"/>
          <w:b w:val="1"/>
          <w:bCs w:val="1"/>
          <w:color w:val="auto"/>
        </w:rPr>
        <w:t>Other Improvements</w:t>
      </w:r>
      <w:r>
        <w:rPr>
          <w:rFonts w:ascii="Times New Roman" w:cs="Times New Roman" w:eastAsia="Times New Roman" w:hAnsi="Times New Roman"/>
          <w:sz w:val="20"/>
          <w:szCs w:val="20"/>
          <w:color w:val="auto"/>
        </w:rPr>
        <w:t>”) are owned by an entity other than Landlord, provided it does not result in and Adverse Event, Landlord, at its option, may enter into an agreement with the owner or owners of any or all of the Other Improvements to provide (i) for reciprocal rights of access and/or use of the Project and the Other Improvements, (ii) for the common management, operation, maintenance, improvement and/or repair of all or any portion of the Project and the Other Improvements, provided that Tenant’s rights under this Lease are not materially impaired, (iii) for the allocation of a portion of the Direct Expenses to the Other Improvements and the operating expenses and taxes for the Other Improvements to the Project, and (iv) for the use or improvement of the Other Improvements and/or the Project in connection with the improvement, construction, and/or excavation of the Other Improvements and/or the Project. Nothing contained herein shall be deemed or construed to limit or otherwise affect Landlord’s right to convey all or any portion of the Project or any other of Landlord’s rights described in this Lease.</w:t>
      </w:r>
    </w:p>
    <w:p>
      <w:pPr>
        <w:spacing w:after="0" w:line="18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 xml:space="preserve">29.29.3 </w:t>
      </w:r>
      <w:r>
        <w:rPr>
          <w:rFonts w:ascii="Times New Roman" w:cs="Times New Roman" w:eastAsia="Times New Roman" w:hAnsi="Times New Roman"/>
          <w:sz w:val="20"/>
          <w:szCs w:val="20"/>
          <w:b w:val="1"/>
          <w:bCs w:val="1"/>
          <w:u w:val="single" w:color="auto"/>
          <w:color w:val="auto"/>
        </w:rPr>
        <w:t>Construction of Project and Other Improvements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acknowledges that portions of the Project and/or the Other Improvements may be subject to demolition or construction following Tenant’s occupancy of the Premises, and that such construction may result in levels of noise, dust, obstruction of access, etc. which are in excess of that present in a fully constructed project. Tenant hereby waives any and all rent offsets or claims of constructive eviction which may arise in connection with such demolition or construction, provided, however, that it does not result in an Adverse Event and Tenant shall at all times have a reasonable means of access to the Premises.</w:t>
      </w:r>
    </w:p>
    <w:p>
      <w:pPr>
        <w:spacing w:after="0" w:line="179" w:lineRule="exact"/>
        <w:rPr>
          <w:sz w:val="20"/>
          <w:szCs w:val="20"/>
          <w:color w:val="auto"/>
        </w:rPr>
      </w:pPr>
    </w:p>
    <w:p>
      <w:pPr>
        <w:jc w:val="both"/>
        <w:ind w:left="100" w:firstLine="749"/>
        <w:spacing w:after="0" w:line="241" w:lineRule="auto"/>
        <w:rPr>
          <w:sz w:val="20"/>
          <w:szCs w:val="20"/>
          <w:color w:val="auto"/>
        </w:rPr>
      </w:pPr>
      <w:r>
        <w:rPr>
          <w:rFonts w:ascii="Times New Roman" w:cs="Times New Roman" w:eastAsia="Times New Roman" w:hAnsi="Times New Roman"/>
          <w:sz w:val="20"/>
          <w:szCs w:val="20"/>
          <w:color w:val="auto"/>
        </w:rPr>
        <w:t xml:space="preserve">29.30 </w:t>
      </w:r>
      <w:r>
        <w:rPr>
          <w:rFonts w:ascii="Times New Roman" w:cs="Times New Roman" w:eastAsia="Times New Roman" w:hAnsi="Times New Roman"/>
          <w:sz w:val="20"/>
          <w:szCs w:val="20"/>
          <w:b w:val="1"/>
          <w:bCs w:val="1"/>
          <w:u w:val="single" w:color="auto"/>
          <w:color w:val="auto"/>
        </w:rPr>
        <w:t>Building Renovations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It is specifically understood and agreed that Landlord has no obligation and has made no promises to alter, remodel, improve, renovate, repair or decorate the Premises, Building, or any part thereof and that no representations respecting the condition of the Premises or the Building have been made by Landlord to Tenant except as specifically set forth in this Lease and/or in the Tenant Work Letter. However, Tenant hereby acknowledges that Landlord is currently renovating or may during the Lease Term renovate, improve, alter, or modify (collectively, the “</w:t>
      </w:r>
      <w:r>
        <w:rPr>
          <w:rFonts w:ascii="Times New Roman" w:cs="Times New Roman" w:eastAsia="Times New Roman" w:hAnsi="Times New Roman"/>
          <w:sz w:val="20"/>
          <w:szCs w:val="20"/>
          <w:b w:val="1"/>
          <w:bCs w:val="1"/>
          <w:color w:val="auto"/>
        </w:rPr>
        <w:t>Renovations</w:t>
      </w:r>
      <w:r>
        <w:rPr>
          <w:rFonts w:ascii="Times New Roman" w:cs="Times New Roman" w:eastAsia="Times New Roman" w:hAnsi="Times New Roman"/>
          <w:sz w:val="20"/>
          <w:szCs w:val="20"/>
          <w:color w:val="auto"/>
        </w:rPr>
        <w:t xml:space="preserve">”) portions of the Project and other buildings or premises within the Project. Tenant hereby agrees that such Renovations shall in no way constitute a constructive eviction of Tenant nor entitle Tenant to any abatement of Rent. Subject to the provisions of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above, Landlord shall have no responsibility and shall not be liable to Tenant for any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for any inconvenience or annoyance occasioned by such Renovations. Notwithstanding the foregoing, in connection with any such Renovations, Landlord shall not unreasonably interfere with Tenant's use of or access to the Premises or parking rights and shall take reasonable steps to minimize noise during normal business hours to the extent reasonably practicable under the circumstances; however, Landlord shall not be obligated to install any sound proofing materials in the Premises or in any other part of the Project nor shall Landlord be obligated to perform such Renovations at night, on weekends or during non-standard business hours.</w:t>
      </w: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29.31 </w:t>
      </w:r>
      <w:r>
        <w:rPr>
          <w:rFonts w:ascii="Times New Roman" w:cs="Times New Roman" w:eastAsia="Times New Roman" w:hAnsi="Times New Roman"/>
          <w:sz w:val="20"/>
          <w:szCs w:val="20"/>
          <w:b w:val="1"/>
          <w:bCs w:val="1"/>
          <w:u w:val="single" w:color="auto"/>
          <w:color w:val="auto"/>
        </w:rPr>
        <w:t>No Violation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29.32 </w:t>
      </w:r>
      <w:r>
        <w:rPr>
          <w:rFonts w:ascii="Times New Roman" w:cs="Times New Roman" w:eastAsia="Times New Roman" w:hAnsi="Times New Roman"/>
          <w:sz w:val="20"/>
          <w:szCs w:val="20"/>
          <w:b w:val="1"/>
          <w:bCs w:val="1"/>
          <w:u w:val="single" w:color="auto"/>
          <w:color w:val="auto"/>
        </w:rPr>
        <w:t>Communications and Computer Lines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may install, maintain, replace, remove or use any communications or computer wires and cables serving the Premises (collectively, the “</w:t>
      </w:r>
      <w:r>
        <w:rPr>
          <w:rFonts w:ascii="Times New Roman" w:cs="Times New Roman" w:eastAsia="Times New Roman" w:hAnsi="Times New Roman"/>
          <w:sz w:val="20"/>
          <w:szCs w:val="20"/>
          <w:b w:val="1"/>
          <w:bCs w:val="1"/>
          <w:color w:val="auto"/>
        </w:rPr>
        <w:t>Lines</w:t>
      </w:r>
      <w:r>
        <w:rPr>
          <w:rFonts w:ascii="Times New Roman" w:cs="Times New Roman" w:eastAsia="Times New Roman" w:hAnsi="Times New Roman"/>
          <w:sz w:val="20"/>
          <w:szCs w:val="20"/>
          <w:color w:val="auto"/>
        </w:rPr>
        <w:t xml:space="preserve">”), provided that (i) Tenant shall obtain Landlord’s prior written consent, use an experienced and qualified contractor approved in writing by Landlord, and comply with all of the other provisions of </w:t>
      </w:r>
      <w:r>
        <w:rPr>
          <w:rFonts w:ascii="Times New Roman" w:cs="Times New Roman" w:eastAsia="Times New Roman" w:hAnsi="Times New Roman"/>
          <w:sz w:val="20"/>
          <w:szCs w:val="20"/>
          <w:u w:val="single" w:color="auto"/>
          <w:color w:val="auto"/>
        </w:rPr>
        <w:t>Articles 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w:t>
      </w:r>
      <w:r>
        <w:rPr>
          <w:rFonts w:ascii="Times New Roman" w:cs="Times New Roman" w:eastAsia="Times New Roman" w:hAnsi="Times New Roman"/>
          <w:sz w:val="20"/>
          <w:szCs w:val="20"/>
          <w:color w:val="auto"/>
        </w:rPr>
        <w:t xml:space="preserve"> of this Lease, (ii) the Lines therefor (including riser cables) shall be appropriately insulated to prevent excessive electromagnetic fields or radiation, shall be surrounded by a protective conduit reasonably acceptable to Landlord, and shall be identified in accordance with the “Identification Requirements,” as that term is set forth hereinbelow, (iii) any new or existing Lines servicing the Premises shall comply with all applicable governmental laws and regulations, (iv) as a condition to permitting the installation of new Lines, Landlord may require that Tenant at the expiration or earlier termination of the Lease Term remove Lines installed by Tenant located in or serving the Premises and repair any damage in connection with such removal, and (v) Tenant shall pay all costs in connection therewith. All Lines installed by Tenant shall be clearly marked with adhesive plastic labels (or plastic tags attached to such Lines with wire) to show Tenant’s name, suite number, telephone number and the name of the person to contact in the case of an emergency (A) every four feet (4’) outside the Premises (specifically including, but not limited to, the electrical room risers and other Common Areas), and (B) at the Lines’ termination point(s) (collectively, the “</w:t>
      </w:r>
      <w:r>
        <w:rPr>
          <w:rFonts w:ascii="Times New Roman" w:cs="Times New Roman" w:eastAsia="Times New Roman" w:hAnsi="Times New Roman"/>
          <w:sz w:val="20"/>
          <w:szCs w:val="20"/>
          <w:b w:val="1"/>
          <w:bCs w:val="1"/>
          <w:color w:val="auto"/>
        </w:rPr>
        <w:t>Identification Requirements</w:t>
      </w:r>
      <w:r>
        <w:rPr>
          <w:rFonts w:ascii="Times New Roman" w:cs="Times New Roman" w:eastAsia="Times New Roman" w:hAnsi="Times New Roman"/>
          <w:sz w:val="20"/>
          <w:szCs w:val="20"/>
          <w:color w:val="auto"/>
        </w:rPr>
        <w:t>”). Upon the expiration of the Lease Term, or immediately following any earlier termination of this Lease, Tenant shall, at Tenant’s sole cost and expense, remove all Lines installed by Tenant, and repair any damage caused by such removal. In the event that Tenant fails to complete such removal and/or fails to repair any damage caused by the removal of any Lines, Landlord may do so and may charge the cost thereof to Tenant plus an administrative fee equal to five percent (5%) of the cost thereof. In addition, Landlord reserves the right at any time to require that Tenant remove any Lines located in or serving the Premises which are installed in violation of these provisions, or which are at any time in violation of any laws or represent a dangerous or potentially dangerous condition.</w:t>
      </w:r>
    </w:p>
    <w:p>
      <w:pPr>
        <w:spacing w:after="0" w:line="18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29.33 </w:t>
      </w:r>
      <w:r>
        <w:rPr>
          <w:rFonts w:ascii="Times New Roman" w:cs="Times New Roman" w:eastAsia="Times New Roman" w:hAnsi="Times New Roman"/>
          <w:sz w:val="20"/>
          <w:szCs w:val="20"/>
          <w:b w:val="1"/>
          <w:bCs w:val="1"/>
          <w:u w:val="single" w:color="auto"/>
          <w:color w:val="auto"/>
        </w:rPr>
        <w:t>Access Control Cards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Landlord shall have the right to institute and or continue the use of access control systems and/or procedures at the Building and/or Project that may include the provision of personal access control cards to individual employees of Tenant. In such event, any such cards shall be personal to each particular employee, and Tenant shall cooperate with Landlord in order to ensure that such cards are used by employees of Tenant only and are not transferred to any other persons. Tenant shall additionally comply with any other reasonable requirements instituted or already used by Landlord in connection with such systems or procedures.</w:t>
      </w:r>
    </w:p>
    <w:p>
      <w:pPr>
        <w:spacing w:after="0" w:line="1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29.34 </w:t>
      </w:r>
      <w:r>
        <w:rPr>
          <w:rFonts w:ascii="Times New Roman" w:cs="Times New Roman" w:eastAsia="Times New Roman" w:hAnsi="Times New Roman"/>
          <w:sz w:val="20"/>
          <w:szCs w:val="20"/>
          <w:b w:val="1"/>
          <w:bCs w:val="1"/>
          <w:u w:val="single" w:color="auto"/>
          <w:color w:val="auto"/>
        </w:rPr>
        <w:t>Transportation Management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shall comply with all future governmentally mandated programs intended to manage parking, transportation or traffic in and around the Project. In connection with such compliance, Tenant shall take responsible action for the transportation planning and management of all employees located at the Premises by working directly with Landlord, any governmental transportation management organization or any other transportation-related committees or entities. Landlord hereby represents to Tenant that there is not currently a transportation demand management plan for the Project.</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781685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9" w:right="339" w:bottom="1440" w:gutter="0" w:footer="0" w:header="0"/>
        </w:sectPr>
      </w:pPr>
    </w:p>
    <w:bookmarkStart w:id="162" w:name="page163"/>
    <w:bookmarkEnd w:id="162"/>
    <w:p>
      <w:pPr>
        <w:ind w:left="860"/>
        <w:spacing w:after="0"/>
        <w:tabs>
          <w:tab w:leader="none" w:pos="1620" w:val="left"/>
        </w:tabs>
        <w:rPr>
          <w:sz w:val="20"/>
          <w:szCs w:val="20"/>
          <w:color w:val="auto"/>
        </w:rPr>
      </w:pPr>
      <w:r>
        <w:rPr>
          <w:rFonts w:ascii="Times New Roman" w:cs="Times New Roman" w:eastAsia="Times New Roman" w:hAnsi="Times New Roman"/>
          <w:sz w:val="20"/>
          <w:szCs w:val="20"/>
          <w:color w:val="auto"/>
        </w:rPr>
        <w:t>29.35</w:t>
      </w:r>
      <w:r>
        <w:rPr>
          <w:sz w:val="20"/>
          <w:szCs w:val="20"/>
          <w:color w:val="auto"/>
        </w:rPr>
        <w:tab/>
      </w:r>
      <w:r>
        <w:rPr>
          <w:rFonts w:ascii="Times New Roman" w:cs="Times New Roman" w:eastAsia="Times New Roman" w:hAnsi="Times New Roman"/>
          <w:sz w:val="19"/>
          <w:szCs w:val="19"/>
          <w:b w:val="1"/>
          <w:bCs w:val="1"/>
          <w:u w:val="single" w:color="auto"/>
          <w:color w:val="auto"/>
        </w:rPr>
        <w:t>Wireless Communications</w:t>
      </w:r>
      <w:r>
        <w:rPr>
          <w:rFonts w:ascii="Times New Roman" w:cs="Times New Roman" w:eastAsia="Times New Roman" w:hAnsi="Times New Roman"/>
          <w:sz w:val="19"/>
          <w:szCs w:val="19"/>
          <w:b w:val="1"/>
          <w:bCs w:val="1"/>
          <w:color w:val="auto"/>
        </w:rPr>
        <w:t>.</w:t>
      </w:r>
    </w:p>
    <w:p>
      <w:pPr>
        <w:spacing w:after="0" w:line="216"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 xml:space="preserve">29.35.1 </w:t>
      </w:r>
      <w:r>
        <w:rPr>
          <w:rFonts w:ascii="Times New Roman" w:cs="Times New Roman" w:eastAsia="Times New Roman" w:hAnsi="Times New Roman"/>
          <w:sz w:val="20"/>
          <w:szCs w:val="20"/>
          <w:b w:val="1"/>
          <w:bCs w:val="1"/>
          <w:u w:val="single" w:color="auto"/>
          <w:color w:val="auto"/>
        </w:rPr>
        <w:t>Landlord’s Wireless Communication Equipment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acknowledges that Landlord may elect, in its sole and absolute discretion, to install and maintain (either itself or through a third party service provider) certain office and communications services (specifically including, without limitation, wireless communication equipment,) in the Project, or any portion thereof other than in the Building (“</w:t>
      </w:r>
      <w:r>
        <w:rPr>
          <w:rFonts w:ascii="Times New Roman" w:cs="Times New Roman" w:eastAsia="Times New Roman" w:hAnsi="Times New Roman"/>
          <w:sz w:val="20"/>
          <w:szCs w:val="20"/>
          <w:b w:val="1"/>
          <w:bCs w:val="1"/>
          <w:color w:val="auto"/>
        </w:rPr>
        <w:t>Landlord’s Communication Equipment</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29.35.2 </w:t>
      </w:r>
      <w:r>
        <w:rPr>
          <w:rFonts w:ascii="Times New Roman" w:cs="Times New Roman" w:eastAsia="Times New Roman" w:hAnsi="Times New Roman"/>
          <w:sz w:val="20"/>
          <w:szCs w:val="20"/>
          <w:b w:val="1"/>
          <w:bCs w:val="1"/>
          <w:u w:val="single" w:color="auto"/>
          <w:color w:val="auto"/>
        </w:rPr>
        <w:t>Tenant’s Wireless Communication Equipment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Subject to Landlord’s prior written approval, which approval shall not be unreasonably withheld, conditioned or delayed, and subject to, in accordance with, and the terms and conditions set forth in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above, and this </w:t>
      </w:r>
      <w:r>
        <w:rPr>
          <w:rFonts w:ascii="Times New Roman" w:cs="Times New Roman" w:eastAsia="Times New Roman" w:hAnsi="Times New Roman"/>
          <w:sz w:val="20"/>
          <w:szCs w:val="20"/>
          <w:u w:val="single" w:color="auto"/>
          <w:color w:val="auto"/>
        </w:rPr>
        <w:t>Section 29.35</w:t>
      </w:r>
      <w:r>
        <w:rPr>
          <w:rFonts w:ascii="Times New Roman" w:cs="Times New Roman" w:eastAsia="Times New Roman" w:hAnsi="Times New Roman"/>
          <w:sz w:val="20"/>
          <w:szCs w:val="20"/>
          <w:color w:val="auto"/>
        </w:rPr>
        <w:t xml:space="preserve">, Tenant may install and maintain, at Tenant’s sole cost and expense, wireless communication equipment within the Premises or, subject to the terms of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above and this </w:t>
      </w:r>
      <w:r>
        <w:rPr>
          <w:rFonts w:ascii="Times New Roman" w:cs="Times New Roman" w:eastAsia="Times New Roman" w:hAnsi="Times New Roman"/>
          <w:sz w:val="20"/>
          <w:szCs w:val="20"/>
          <w:u w:val="single" w:color="auto"/>
          <w:color w:val="auto"/>
        </w:rPr>
        <w:t>Section 29.35</w:t>
      </w:r>
      <w:r>
        <w:rPr>
          <w:rFonts w:ascii="Times New Roman" w:cs="Times New Roman" w:eastAsia="Times New Roman" w:hAnsi="Times New Roman"/>
          <w:sz w:val="20"/>
          <w:szCs w:val="20"/>
          <w:color w:val="auto"/>
        </w:rPr>
        <w:t>, on the roof of the Building, including antennae and satellite dishes (the “</w:t>
      </w:r>
      <w:r>
        <w:rPr>
          <w:rFonts w:ascii="Times New Roman" w:cs="Times New Roman" w:eastAsia="Times New Roman" w:hAnsi="Times New Roman"/>
          <w:sz w:val="20"/>
          <w:szCs w:val="20"/>
          <w:b w:val="1"/>
          <w:bCs w:val="1"/>
          <w:color w:val="auto"/>
        </w:rPr>
        <w:t>Wireless Communication Equipment</w:t>
      </w:r>
      <w:r>
        <w:rPr>
          <w:rFonts w:ascii="Times New Roman" w:cs="Times New Roman" w:eastAsia="Times New Roman" w:hAnsi="Times New Roman"/>
          <w:sz w:val="20"/>
          <w:szCs w:val="20"/>
          <w:color w:val="auto"/>
        </w:rPr>
        <w:t>”). Such Wireless Communication Equipment shall be used for wireless communications within the Premises only and shall be for the servicing of the operations conducted by Tenant from within the Premises. Tenant shall not be entitled to license its Wireless Communication Equipment to any third party, nor shall Tenant be permitted to receive any revenues, fees or any other consideration for the use of such Communication Equipment by any third party. Such Wireless Communication Equipment shall, in all instances, comply with applicable governmental laws, codes, rules and regulations.</w:t>
      </w:r>
    </w:p>
    <w:p>
      <w:pPr>
        <w:spacing w:after="0" w:line="18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29.35.3 </w:t>
      </w:r>
      <w:r>
        <w:rPr>
          <w:rFonts w:ascii="Times New Roman" w:cs="Times New Roman" w:eastAsia="Times New Roman" w:hAnsi="Times New Roman"/>
          <w:sz w:val="20"/>
          <w:szCs w:val="20"/>
          <w:b w:val="1"/>
          <w:bCs w:val="1"/>
          <w:u w:val="single" w:color="auto"/>
          <w:color w:val="auto"/>
        </w:rPr>
        <w:t>Use of Wireless Equipment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Tenant hereby acknowledges and agrees that its use of the Wireless Communication Equipment (i) shall not be permitted to interfere with any wireless communication equipment or other equipment of any other tenant or occupant of the Building or Project, (ii) shall not be permitted to interfere with any wireless communication equipment or other equipment of any other third-party with whom Landlord has any third-party agreement, and (iii) shall not be permitted to interfere with Landlord’s Communication Equipment. Landlord shall use commercially reasonable efforts to ensure that Landlord’s Communication Equipment does not interfere with Tenant’s Wireless Communication Equipment; provided, however, Tenant hereby acknowledges and agrees that Landlord has made no warranty or representation to Tenant with respect to the suitability of the Premises for any wireless communications, specifically including, without limitation, with respect to the quality and clarity of any receptions and transmissions to or from the Wireless Communication Equipment and the presence of any interference with such signals whether emanating from Landlord’s Communication Equipment, the Building, the Project or otherwise. In no event shall any such interference with Tenant’s Wireless Communication Equipment have any effect on this Lease or give to Tenant any offset or defense to the full and timely performance of its obligations hereunder, or entitle Tenant to any abatement of rent or additional rent or any other payment required to be made by Tenant hereunder, or constitute any accrual or constructive eviction of Tenant, or otherwise give rise to any other claim of any nature against Landlord.</w:t>
      </w:r>
    </w:p>
    <w:p>
      <w:pPr>
        <w:spacing w:after="0" w:line="182" w:lineRule="exact"/>
        <w:rPr>
          <w:sz w:val="20"/>
          <w:szCs w:val="20"/>
          <w:color w:val="auto"/>
        </w:rPr>
      </w:pPr>
    </w:p>
    <w:p>
      <w:pPr>
        <w:jc w:val="both"/>
        <w:ind w:left="100" w:firstLine="749"/>
        <w:spacing w:after="0" w:line="258" w:lineRule="auto"/>
        <w:rPr>
          <w:sz w:val="20"/>
          <w:szCs w:val="20"/>
          <w:color w:val="auto"/>
        </w:rPr>
      </w:pPr>
      <w:r>
        <w:rPr>
          <w:rFonts w:ascii="Times New Roman" w:cs="Times New Roman" w:eastAsia="Times New Roman" w:hAnsi="Times New Roman"/>
          <w:sz w:val="19"/>
          <w:szCs w:val="19"/>
          <w:color w:val="auto"/>
        </w:rPr>
        <w:t xml:space="preserve">29.36 </w:t>
      </w:r>
      <w:r>
        <w:rPr>
          <w:rFonts w:ascii="Times New Roman" w:cs="Times New Roman" w:eastAsia="Times New Roman" w:hAnsi="Times New Roman"/>
          <w:sz w:val="19"/>
          <w:szCs w:val="19"/>
          <w:b w:val="1"/>
          <w:bCs w:val="1"/>
          <w:u w:val="single" w:color="auto"/>
          <w:color w:val="auto"/>
        </w:rPr>
        <w:t>Fitness Center</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Subject to the provisions of this </w:t>
      </w:r>
      <w:r>
        <w:rPr>
          <w:rFonts w:ascii="Times New Roman" w:cs="Times New Roman" w:eastAsia="Times New Roman" w:hAnsi="Times New Roman"/>
          <w:sz w:val="19"/>
          <w:szCs w:val="19"/>
          <w:u w:val="single" w:color="auto"/>
          <w:color w:val="auto"/>
        </w:rPr>
        <w:t>Section 29.36</w:t>
      </w:r>
      <w:r>
        <w:rPr>
          <w:rFonts w:ascii="Times New Roman" w:cs="Times New Roman" w:eastAsia="Times New Roman" w:hAnsi="Times New Roman"/>
          <w:sz w:val="19"/>
          <w:szCs w:val="19"/>
          <w:color w:val="auto"/>
        </w:rPr>
        <w:t>, provided Tenant’s employees and personnel execute Landlord’s standard waiver of liability form, then Tenant’s employees and personnel (the “</w:t>
      </w:r>
      <w:r>
        <w:rPr>
          <w:rFonts w:ascii="Times New Roman" w:cs="Times New Roman" w:eastAsia="Times New Roman" w:hAnsi="Times New Roman"/>
          <w:sz w:val="19"/>
          <w:szCs w:val="19"/>
          <w:b w:val="1"/>
          <w:bCs w:val="1"/>
          <w:color w:val="auto"/>
        </w:rPr>
        <w:t>Fitness Center Users</w:t>
      </w:r>
      <w:r>
        <w:rPr>
          <w:rFonts w:ascii="Times New Roman" w:cs="Times New Roman" w:eastAsia="Times New Roman" w:hAnsi="Times New Roman"/>
          <w:sz w:val="19"/>
          <w:szCs w:val="19"/>
          <w:color w:val="auto"/>
        </w:rPr>
        <w:t>”) shall be entitled to use the fitness center in the Project (collectively, the “</w:t>
      </w:r>
      <w:r>
        <w:rPr>
          <w:rFonts w:ascii="Times New Roman" w:cs="Times New Roman" w:eastAsia="Times New Roman" w:hAnsi="Times New Roman"/>
          <w:sz w:val="19"/>
          <w:szCs w:val="19"/>
          <w:b w:val="1"/>
          <w:bCs w:val="1"/>
          <w:color w:val="auto"/>
        </w:rPr>
        <w:t>Fitness Center</w:t>
      </w:r>
      <w:r>
        <w:rPr>
          <w:rFonts w:ascii="Times New Roman" w:cs="Times New Roman" w:eastAsia="Times New Roman" w:hAnsi="Times New Roman"/>
          <w:sz w:val="19"/>
          <w:szCs w:val="19"/>
          <w:color w:val="auto"/>
        </w:rPr>
        <w:t xml:space="preserve">”) during the initial Lease Term or any extended term. The costs of operating, maintaining and supplying the Fitness Center shall be included in Operating Expenses, subject to the terms of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The use of the Fitness Center shall be subject to the reasonable rules and regulations that may be established from time to time by Landlord for the Fitness Center. Landlord and Tenant acknowledge that the use of the Fitness Center by the Fitness Center Users shall be at their own risk and that the terms and provisions of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of this Lease shall apply to Tenant and the Fitness Center Users’ use of the Fitness Center. Tenant shall not permit any Tenant Parties other than the Fitness Center Users to use the Fitness Center without the prior written approval of Landlord or Landlord’s representative. All Fitness Center Users and approved guests must have pre-authorized keycards to enter</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3" w:name="page164"/>
    <w:bookmarkEnd w:id="163"/>
    <w:p>
      <w:pPr>
        <w:jc w:val="both"/>
        <w:ind w:left="100"/>
        <w:spacing w:after="0" w:line="243" w:lineRule="auto"/>
        <w:rPr>
          <w:sz w:val="20"/>
          <w:szCs w:val="20"/>
          <w:color w:val="auto"/>
        </w:rPr>
      </w:pPr>
      <w:r>
        <w:rPr>
          <w:rFonts w:ascii="Times New Roman" w:cs="Times New Roman" w:eastAsia="Times New Roman" w:hAnsi="Times New Roman"/>
          <w:sz w:val="20"/>
          <w:szCs w:val="20"/>
          <w:color w:val="auto"/>
        </w:rPr>
        <w:t xml:space="preserve">the Fitness Center. Fitness Center Users’ keycards shall not be shared and shall only be used by the individual to whom such keycard was issued. Failure to abide by this rule may result in immediate termination of such Fitness Center User’s right to use the Fitness Center. Subject to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Landlord shall have the right, at Landlord’s sole discretion, to expand, or otherwise modify the Fitness Center. In addition, in the event Landlord no longer owns the building in which the Fitness Center is located, the rights of Tenant and the Fitness Center Users to use the Fitness Center shall continue; however, in such instance, Landlord shall have a right to relocate the Fitness Center to another building in the Project. No expansion or modification of the Fitness Center, and no termination of a Fitness Center User’s right to the Fitness Center shall entitle Tenant to an abatement or reduction in Rent (other than a reduction in Operating Costs associated with such Fitness Center), or constitute a constructive eviction, or result in an event of default by Landlord under this Lease.</w:t>
      </w:r>
    </w:p>
    <w:p>
      <w:pPr>
        <w:spacing w:after="0" w:line="185" w:lineRule="exact"/>
        <w:rPr>
          <w:sz w:val="20"/>
          <w:szCs w:val="20"/>
          <w:color w:val="auto"/>
        </w:rPr>
      </w:pPr>
    </w:p>
    <w:p>
      <w:pPr>
        <w:jc w:val="both"/>
        <w:ind w:left="100" w:firstLine="749"/>
        <w:spacing w:after="0" w:line="256" w:lineRule="auto"/>
        <w:rPr>
          <w:sz w:val="20"/>
          <w:szCs w:val="20"/>
          <w:color w:val="auto"/>
        </w:rPr>
      </w:pPr>
      <w:r>
        <w:rPr>
          <w:rFonts w:ascii="Times New Roman" w:cs="Times New Roman" w:eastAsia="Times New Roman" w:hAnsi="Times New Roman"/>
          <w:sz w:val="20"/>
          <w:szCs w:val="20"/>
          <w:color w:val="auto"/>
        </w:rPr>
        <w:t xml:space="preserve">29.37 </w:t>
      </w:r>
      <w:r>
        <w:rPr>
          <w:rFonts w:ascii="Times New Roman" w:cs="Times New Roman" w:eastAsia="Times New Roman" w:hAnsi="Times New Roman"/>
          <w:sz w:val="20"/>
          <w:szCs w:val="20"/>
          <w:b w:val="1"/>
          <w:bCs w:val="1"/>
          <w:u w:val="single" w:color="auto"/>
          <w:color w:val="auto"/>
        </w:rPr>
        <w:t>Approvals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Whenever this Lease requires an approval, consent, determination or judgement by either Landlord or Tenant, unless another standard is expressly set forth, such approval, consent, determination or judgement and any conditions imposed thereby shall be reasonable and shall not be unreasonably withheld or delayed.</w:t>
      </w:r>
    </w:p>
    <w:p>
      <w:pPr>
        <w:spacing w:after="0" w:line="169" w:lineRule="exact"/>
        <w:rPr>
          <w:sz w:val="20"/>
          <w:szCs w:val="20"/>
          <w:color w:val="auto"/>
        </w:rPr>
      </w:pPr>
    </w:p>
    <w:p>
      <w:pPr>
        <w:ind w:left="860"/>
        <w:spacing w:after="0"/>
        <w:tabs>
          <w:tab w:leader="none" w:pos="1620" w:val="left"/>
        </w:tabs>
        <w:rPr>
          <w:sz w:val="20"/>
          <w:szCs w:val="20"/>
          <w:color w:val="auto"/>
        </w:rPr>
      </w:pPr>
      <w:r>
        <w:rPr>
          <w:rFonts w:ascii="Times New Roman" w:cs="Times New Roman" w:eastAsia="Times New Roman" w:hAnsi="Times New Roman"/>
          <w:sz w:val="20"/>
          <w:szCs w:val="20"/>
          <w:color w:val="auto"/>
        </w:rPr>
        <w:t>29.38</w:t>
      </w:r>
      <w:r>
        <w:rPr>
          <w:sz w:val="20"/>
          <w:szCs w:val="20"/>
          <w:color w:val="auto"/>
        </w:rPr>
        <w:tab/>
      </w:r>
      <w:r>
        <w:rPr>
          <w:rFonts w:ascii="Times New Roman" w:cs="Times New Roman" w:eastAsia="Times New Roman" w:hAnsi="Times New Roman"/>
          <w:sz w:val="19"/>
          <w:szCs w:val="19"/>
          <w:b w:val="1"/>
          <w:bCs w:val="1"/>
          <w:u w:val="single" w:color="auto"/>
          <w:color w:val="auto"/>
        </w:rPr>
        <w:t>EV Charging Stations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29.38.1 During the Lease Term, as the same may be extended, Tenant shall be given shared access to the five (5) existing electric vehicle charging stations located in front of the parking facility situated in the Project. Such electrical vehicle charging stations shall be for Tenant and its employees’, contractors’ and visitors' non-exclusive use.</w:t>
      </w:r>
    </w:p>
    <w:p>
      <w:pPr>
        <w:spacing w:after="0" w:line="17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29.38.2 In addition to Tenant’s rights under </w:t>
      </w:r>
      <w:r>
        <w:rPr>
          <w:rFonts w:ascii="Times New Roman" w:cs="Times New Roman" w:eastAsia="Times New Roman" w:hAnsi="Times New Roman"/>
          <w:sz w:val="20"/>
          <w:szCs w:val="20"/>
          <w:u w:val="single" w:color="auto"/>
          <w:color w:val="auto"/>
        </w:rPr>
        <w:t>Section 29.38.1</w:t>
      </w:r>
      <w:r>
        <w:rPr>
          <w:rFonts w:ascii="Times New Roman" w:cs="Times New Roman" w:eastAsia="Times New Roman" w:hAnsi="Times New Roman"/>
          <w:sz w:val="20"/>
          <w:szCs w:val="20"/>
          <w:color w:val="auto"/>
        </w:rPr>
        <w:t xml:space="preserve"> above, Landlord hereby grants to Tenant the right and license, subject to the terms of this </w:t>
      </w:r>
      <w:r>
        <w:rPr>
          <w:rFonts w:ascii="Times New Roman" w:cs="Times New Roman" w:eastAsia="Times New Roman" w:hAnsi="Times New Roman"/>
          <w:sz w:val="20"/>
          <w:szCs w:val="20"/>
          <w:u w:val="single" w:color="auto"/>
          <w:color w:val="auto"/>
        </w:rPr>
        <w:t>Section 29.38.2</w:t>
      </w:r>
      <w:r>
        <w:rPr>
          <w:rFonts w:ascii="Times New Roman" w:cs="Times New Roman" w:eastAsia="Times New Roman" w:hAnsi="Times New Roman"/>
          <w:sz w:val="20"/>
          <w:szCs w:val="20"/>
          <w:color w:val="auto"/>
        </w:rPr>
        <w:t>, to install and use, at Tenant’s sole cost, up to twenty-five (25) electric vehicle charging stations, which may have dual-heads (“</w:t>
      </w:r>
      <w:r>
        <w:rPr>
          <w:rFonts w:ascii="Times New Roman" w:cs="Times New Roman" w:eastAsia="Times New Roman" w:hAnsi="Times New Roman"/>
          <w:sz w:val="20"/>
          <w:szCs w:val="20"/>
          <w:b w:val="1"/>
          <w:bCs w:val="1"/>
          <w:color w:val="auto"/>
        </w:rPr>
        <w:t>EV Charging Stations</w:t>
      </w:r>
      <w:r>
        <w:rPr>
          <w:rFonts w:ascii="Times New Roman" w:cs="Times New Roman" w:eastAsia="Times New Roman" w:hAnsi="Times New Roman"/>
          <w:sz w:val="20"/>
          <w:szCs w:val="20"/>
          <w:color w:val="auto"/>
        </w:rPr>
        <w:t>”) in a portion of the parking area identified by Landlord (the “</w:t>
      </w:r>
      <w:r>
        <w:rPr>
          <w:rFonts w:ascii="Times New Roman" w:cs="Times New Roman" w:eastAsia="Times New Roman" w:hAnsi="Times New Roman"/>
          <w:sz w:val="20"/>
          <w:szCs w:val="20"/>
          <w:b w:val="1"/>
          <w:bCs w:val="1"/>
          <w:color w:val="auto"/>
        </w:rPr>
        <w:t>EV Charging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Station Area</w:t>
      </w:r>
      <w:r>
        <w:rPr>
          <w:rFonts w:ascii="Times New Roman" w:cs="Times New Roman" w:eastAsia="Times New Roman" w:hAnsi="Times New Roman"/>
          <w:sz w:val="20"/>
          <w:szCs w:val="20"/>
          <w:color w:val="auto"/>
        </w:rPr>
        <w:t>”). Except as otherwise expressly provided in this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29.38.2</w:t>
      </w:r>
      <w:r>
        <w:rPr>
          <w:rFonts w:ascii="Times New Roman" w:cs="Times New Roman" w:eastAsia="Times New Roman" w:hAnsi="Times New Roman"/>
          <w:sz w:val="20"/>
          <w:szCs w:val="20"/>
          <w:color w:val="auto"/>
        </w:rPr>
        <w:t>, all provisions applicable to the use and maintenance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Premises under this Lease (including, without limitation, the insurance and indemnity provisions set forth in this Lease) shall apply to the EV Charging Station Area and its use by Tenant; provided, however, that the square footage of the EV Charging Station Area shall in no event be deemed to be added to the rentable square footage of the Premises and the EV Charging Station Area shall be used by Tenant and its personnel and visitors solely for the purpose of charging electric vehicles driven by Tenant’s personnel and visitors and the maintenance, operation, repair and replacement of the EV Charging Stations. The EV Charging Stations and the associated parking spaces in which such EV Charging Stations shall be located shall be for the exclusive use of Tenant's personnel and visitors; however, Landlord shall have no obligation to patrol or “police” the EV Charging Station Area to ensure that persons other than Tenant and its employees do not use the EV Charging Stations installed by Tenant as provided herein. The number of parking spaces in which such EV Charging Stations shall be located shall be deemed part of the 197 unassigned parking spaces assigned to Tenant as provided in Section 9 of the Summary.</w:t>
      </w:r>
    </w:p>
    <w:p>
      <w:pPr>
        <w:spacing w:after="0" w:line="197" w:lineRule="exact"/>
        <w:rPr>
          <w:sz w:val="20"/>
          <w:szCs w:val="20"/>
          <w:color w:val="auto"/>
        </w:rPr>
      </w:pPr>
    </w:p>
    <w:p>
      <w:pPr>
        <w:ind w:firstLine="1195"/>
        <w:spacing w:after="0" w:line="269" w:lineRule="auto"/>
        <w:tabs>
          <w:tab w:leader="none" w:pos="158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of the license referred to in Section </w:t>
      </w:r>
      <w:r>
        <w:rPr>
          <w:rFonts w:ascii="Times New Roman" w:cs="Times New Roman" w:eastAsia="Times New Roman" w:hAnsi="Times New Roman"/>
          <w:sz w:val="20"/>
          <w:szCs w:val="20"/>
          <w:u w:val="single" w:color="auto"/>
          <w:color w:val="auto"/>
        </w:rPr>
        <w:t>29.38.2</w:t>
      </w:r>
      <w:r>
        <w:rPr>
          <w:rFonts w:ascii="Times New Roman" w:cs="Times New Roman" w:eastAsia="Times New Roman" w:hAnsi="Times New Roman"/>
          <w:sz w:val="20"/>
          <w:szCs w:val="20"/>
          <w:color w:val="auto"/>
        </w:rPr>
        <w:t xml:space="preserve"> above shall be coterminous with the Term of this Lease, as it may be extended or earlier terminated, and may not be terminated by Landlord prior to the expiration or earlier termination of the Lease Term;</w:t>
      </w:r>
    </w:p>
    <w:p>
      <w:pPr>
        <w:spacing w:after="0" w:line="159" w:lineRule="exact"/>
        <w:rPr>
          <w:rFonts w:ascii="Times New Roman" w:cs="Times New Roman" w:eastAsia="Times New Roman" w:hAnsi="Times New Roman"/>
          <w:sz w:val="20"/>
          <w:szCs w:val="20"/>
          <w:color w:val="auto"/>
        </w:rPr>
      </w:pPr>
    </w:p>
    <w:p>
      <w:pPr>
        <w:jc w:val="both"/>
        <w:ind w:firstLine="1195"/>
        <w:spacing w:after="0" w:line="249" w:lineRule="auto"/>
        <w:tabs>
          <w:tab w:leader="none" w:pos="158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shall not be obligated to pay any license fee or any additional rent or expenses (in excess of Tenant’s Share of Direct Expenses and except as otherwise expressly provided in this </w:t>
      </w:r>
      <w:r>
        <w:rPr>
          <w:rFonts w:ascii="Times New Roman" w:cs="Times New Roman" w:eastAsia="Times New Roman" w:hAnsi="Times New Roman"/>
          <w:sz w:val="20"/>
          <w:szCs w:val="20"/>
          <w:u w:val="single" w:color="auto"/>
          <w:color w:val="auto"/>
        </w:rPr>
        <w:t>Section 29.38.2 (ii)</w:t>
      </w:r>
      <w:r>
        <w:rPr>
          <w:rFonts w:ascii="Times New Roman" w:cs="Times New Roman" w:eastAsia="Times New Roman" w:hAnsi="Times New Roman"/>
          <w:sz w:val="20"/>
          <w:szCs w:val="20"/>
          <w:color w:val="auto"/>
        </w:rPr>
        <w:t xml:space="preserve">) for the use of the EV Charging Station Area pursuant to this </w:t>
      </w:r>
      <w:r>
        <w:rPr>
          <w:rFonts w:ascii="Times New Roman" w:cs="Times New Roman" w:eastAsia="Times New Roman" w:hAnsi="Times New Roman"/>
          <w:sz w:val="20"/>
          <w:szCs w:val="20"/>
          <w:u w:val="single" w:color="auto"/>
          <w:color w:val="auto"/>
        </w:rPr>
        <w:t>Section 29.38.2</w:t>
      </w:r>
      <w:r>
        <w:rPr>
          <w:rFonts w:ascii="Times New Roman" w:cs="Times New Roman" w:eastAsia="Times New Roman" w:hAnsi="Times New Roman"/>
          <w:sz w:val="20"/>
          <w:szCs w:val="20"/>
          <w:color w:val="auto"/>
        </w:rPr>
        <w:t xml:space="preserve"> during the Term of this Lease, as the same may be extended or renewed. The foregoing notwithstanding, Tenant shall be obligated to pay third-party electric charges actually incurred in connection with the EV Charging</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ind w:right="20"/>
        <w:spacing w:after="0" w:line="269" w:lineRule="auto"/>
        <w:rPr>
          <w:sz w:val="20"/>
          <w:szCs w:val="20"/>
          <w:color w:val="auto"/>
        </w:rPr>
      </w:pPr>
      <w:r>
        <w:rPr>
          <w:rFonts w:ascii="Times New Roman" w:cs="Times New Roman" w:eastAsia="Times New Roman" w:hAnsi="Times New Roman"/>
          <w:sz w:val="20"/>
          <w:szCs w:val="20"/>
          <w:color w:val="auto"/>
        </w:rPr>
        <w:t>Stations to be installed within the EV Charging Station Area (and electricity used in connection with the operation of such EV Charging Stations shall be obtained from the Building).</w:t>
      </w:r>
    </w:p>
    <w:p>
      <w:pPr>
        <w:spacing w:after="0" w:line="159" w:lineRule="exact"/>
        <w:rPr>
          <w:sz w:val="20"/>
          <w:szCs w:val="20"/>
          <w:color w:val="auto"/>
        </w:rPr>
      </w:pPr>
    </w:p>
    <w:p>
      <w:pPr>
        <w:jc w:val="both"/>
        <w:ind w:firstLine="1901"/>
        <w:spacing w:after="0" w:line="245" w:lineRule="auto"/>
        <w:tabs>
          <w:tab w:leader="none" w:pos="228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shall use the EV Charging Station Area in compliance with all Applicable Laws. Tenant, at its sole cost and expense, shall be responsible for the installation, operation, maintenance, repair and replacement of the EV Charging Stations, and the necessary electrical equipment to service said EV Charging Stations. The installation of the EV Charging Stations, and all equipment and facilities related thereto (other than the existing infrastructure, if any, provided by Landlord), shall be deemed to constitute an Alteration subject to the provisions of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of this Lease, provided that Landlord shall not unreasonably withhold, condition or delay its approval of the same.</w:t>
      </w:r>
    </w:p>
    <w:p>
      <w:pPr>
        <w:spacing w:after="0" w:line="184" w:lineRule="exact"/>
        <w:rPr>
          <w:rFonts w:ascii="Times New Roman" w:cs="Times New Roman" w:eastAsia="Times New Roman" w:hAnsi="Times New Roman"/>
          <w:sz w:val="20"/>
          <w:szCs w:val="20"/>
          <w:color w:val="auto"/>
        </w:rPr>
      </w:pPr>
    </w:p>
    <w:p>
      <w:pPr>
        <w:jc w:val="both"/>
        <w:ind w:firstLine="1901"/>
        <w:spacing w:after="0" w:line="254" w:lineRule="auto"/>
        <w:tabs>
          <w:tab w:leader="none" w:pos="228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City of Santa Clara and Applicable Laws, Tenant shall be permitted to secure the EV Charging Station Area in a manner of Tenant’s choosing but subject to Landlord’s approval (such approval not to be unreasonably withheld, conditioned or delayed);</w:t>
      </w:r>
    </w:p>
    <w:p>
      <w:pPr>
        <w:spacing w:after="0" w:line="174" w:lineRule="exact"/>
        <w:rPr>
          <w:rFonts w:ascii="Times New Roman" w:cs="Times New Roman" w:eastAsia="Times New Roman" w:hAnsi="Times New Roman"/>
          <w:sz w:val="20"/>
          <w:szCs w:val="20"/>
          <w:color w:val="auto"/>
        </w:rPr>
      </w:pPr>
    </w:p>
    <w:p>
      <w:pPr>
        <w:jc w:val="both"/>
        <w:ind w:firstLine="1901"/>
        <w:spacing w:after="0" w:line="249" w:lineRule="auto"/>
        <w:tabs>
          <w:tab w:leader="none" w:pos="228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Term of this Lease, as the same may be extended, Tenant shall pay all taxes attributable to the EV Charging Stations and other equipment owned and installed by Tenant, and Tenant shall assure and provide Landlord with reasonable evidence that the EV Charging Station Area and Tenant’s use thereof are subject to the insurance coverages otherwise required to be maintained by Tenant as to the Premises pursuant to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above;</w:t>
      </w:r>
    </w:p>
    <w:p>
      <w:pPr>
        <w:spacing w:after="0" w:line="179" w:lineRule="exact"/>
        <w:rPr>
          <w:rFonts w:ascii="Times New Roman" w:cs="Times New Roman" w:eastAsia="Times New Roman" w:hAnsi="Times New Roman"/>
          <w:sz w:val="20"/>
          <w:szCs w:val="20"/>
          <w:color w:val="auto"/>
        </w:rPr>
      </w:pPr>
    </w:p>
    <w:p>
      <w:pPr>
        <w:jc w:val="both"/>
        <w:ind w:firstLine="2254"/>
        <w:spacing w:after="0" w:line="243" w:lineRule="auto"/>
        <w:tabs>
          <w:tab w:leader="none" w:pos="264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prior to the expiration or earlier termination of this Lease, Landlord elects in its sole and absolute discretion, by not less than sixty (60) days' written notice given to Tenant, that Tenant remove all or some of the EV Charging Stations and all related equipment and facilities from the EV Charging Station Area at the expiration or earlier termination of this Lease, then, at or before the expiration or earlier termination of this Lease, Tenant shall remove from the EV Charging Station Area the EV Charging Stations and all related electrical equipment installed by Tenant for the EV Charging Stations and designated for removal by Landlord, and shall restore the EV Charging Station Area and all other areas affected by such removal to their original condition, reasonable wear and tear, casualty, condemnation and Landlord’s maintenance, repair, replacement and restoration obligations excepted, all at Tenant’s sole cost and expense, except Tenant shall not be required to restore any underground infrastructure.</w:t>
      </w:r>
    </w:p>
    <w:p>
      <w:pPr>
        <w:spacing w:after="0" w:line="189" w:lineRule="exact"/>
        <w:rPr>
          <w:sz w:val="20"/>
          <w:szCs w:val="20"/>
          <w:color w:val="auto"/>
        </w:rPr>
      </w:pPr>
    </w:p>
    <w:p>
      <w:pPr>
        <w:jc w:val="both"/>
        <w:ind w:firstLine="1505"/>
        <w:spacing w:after="0" w:line="249" w:lineRule="auto"/>
        <w:tabs>
          <w:tab w:leader="none" w:pos="189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Tenant’s rights under this </w:t>
      </w:r>
      <w:r>
        <w:rPr>
          <w:rFonts w:ascii="Times New Roman" w:cs="Times New Roman" w:eastAsia="Times New Roman" w:hAnsi="Times New Roman"/>
          <w:sz w:val="20"/>
          <w:szCs w:val="20"/>
          <w:u w:val="single" w:color="auto"/>
          <w:color w:val="auto"/>
        </w:rPr>
        <w:t>Section 29.38.2</w:t>
      </w:r>
      <w:r>
        <w:rPr>
          <w:rFonts w:ascii="Times New Roman" w:cs="Times New Roman" w:eastAsia="Times New Roman" w:hAnsi="Times New Roman"/>
          <w:sz w:val="20"/>
          <w:szCs w:val="20"/>
          <w:color w:val="auto"/>
        </w:rPr>
        <w:t xml:space="preserve"> belong solely to Ambarella Corporation, and to any Permitted Assignee (as defined in </w:t>
      </w:r>
      <w:r>
        <w:rPr>
          <w:rFonts w:ascii="Times New Roman" w:cs="Times New Roman" w:eastAsia="Times New Roman" w:hAnsi="Times New Roman"/>
          <w:sz w:val="20"/>
          <w:szCs w:val="20"/>
          <w:u w:val="single" w:color="auto"/>
          <w:color w:val="auto"/>
        </w:rPr>
        <w:t>Section 14.8</w:t>
      </w:r>
      <w:r>
        <w:rPr>
          <w:rFonts w:ascii="Times New Roman" w:cs="Times New Roman" w:eastAsia="Times New Roman" w:hAnsi="Times New Roman"/>
          <w:sz w:val="20"/>
          <w:szCs w:val="20"/>
          <w:color w:val="auto"/>
        </w:rPr>
        <w:t xml:space="preserve"> above) to which this Lease is assigned or transferred, and any other attempted assignment or transfer of such rights shall be void and of no force or effect. For the avoidance of doubt, however, Tenant's subtenants in the Premises may use the EV Charging Stations installed by Tenant.</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ind w:left="360"/>
        <w:spacing w:after="0"/>
        <w:rPr>
          <w:sz w:val="20"/>
          <w:szCs w:val="20"/>
          <w:color w:val="auto"/>
        </w:rPr>
      </w:pPr>
      <w:r>
        <w:rPr>
          <w:rFonts w:ascii="Times New Roman" w:cs="Times New Roman" w:eastAsia="Times New Roman" w:hAnsi="Times New Roman"/>
          <w:sz w:val="19"/>
          <w:szCs w:val="19"/>
          <w:color w:val="auto"/>
        </w:rPr>
        <w:t>IN WITNESS WHEREOF, Landlord and Tenant have caused this Lease to be executed the day and date first above written.</w:t>
      </w:r>
    </w:p>
    <w:p>
      <w:pPr>
        <w:spacing w:after="0" w:line="22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“Landlord”:</w:t>
      </w:r>
    </w:p>
    <w:p>
      <w:pPr>
        <w:spacing w:after="0" w:line="23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THE QUAD SANTA CLARA, LLC,</w:t>
      </w:r>
    </w:p>
    <w:p>
      <w:pPr>
        <w:spacing w:after="0" w:line="2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SBCD-B Investors III, LLC,</w:t>
      </w:r>
    </w:p>
    <w:p>
      <w:pPr>
        <w:spacing w:after="0" w:line="1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ind w:left="4100"/>
        <w:spacing w:after="0"/>
        <w:rPr>
          <w:sz w:val="20"/>
          <w:szCs w:val="20"/>
          <w:color w:val="auto"/>
        </w:rPr>
      </w:pPr>
      <w:r>
        <w:rPr>
          <w:rFonts w:ascii="Times New Roman" w:cs="Times New Roman" w:eastAsia="Times New Roman" w:hAnsi="Times New Roman"/>
          <w:sz w:val="22"/>
          <w:szCs w:val="22"/>
          <w:color w:val="auto"/>
        </w:rPr>
        <w:t>its sole Member</w:t>
      </w:r>
    </w:p>
    <w:p>
      <w:pPr>
        <w:spacing w:after="0" w:line="209" w:lineRule="exact"/>
        <w:rPr>
          <w:sz w:val="20"/>
          <w:szCs w:val="20"/>
          <w:color w:val="auto"/>
        </w:rPr>
      </w:pPr>
    </w:p>
    <w:p>
      <w:pPr>
        <w:ind w:left="4100"/>
        <w:spacing w:after="0"/>
        <w:tabs>
          <w:tab w:leader="none" w:pos="49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SB The Quad Santa Clara, LLC,</w:t>
      </w:r>
    </w:p>
    <w:p>
      <w:pPr>
        <w:spacing w:after="0" w:line="1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 California limited liability company,</w:t>
      </w:r>
    </w:p>
    <w:p>
      <w:pPr>
        <w:spacing w:after="0" w:line="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its Manager</w:t>
      </w:r>
    </w:p>
    <w:p>
      <w:pPr>
        <w:spacing w:after="0" w:line="200" w:lineRule="exact"/>
        <w:rPr>
          <w:sz w:val="20"/>
          <w:szCs w:val="20"/>
          <w:color w:val="auto"/>
        </w:rPr>
      </w:pPr>
    </w:p>
    <w:p>
      <w:pPr>
        <w:spacing w:after="0" w:line="210" w:lineRule="exact"/>
        <w:rPr>
          <w:sz w:val="20"/>
          <w:szCs w:val="20"/>
          <w:color w:val="auto"/>
        </w:rPr>
      </w:pPr>
    </w:p>
    <w:p>
      <w:pPr>
        <w:ind w:left="4220"/>
        <w:spacing w:after="0"/>
        <w:tabs>
          <w:tab w:leader="none" w:pos="4740" w:val="left"/>
        </w:tabs>
        <w:rPr>
          <w:sz w:val="20"/>
          <w:szCs w:val="20"/>
          <w:color w:val="auto"/>
        </w:rPr>
      </w:pPr>
      <w:r>
        <w:rPr>
          <w:rFonts w:ascii="Times New Roman" w:cs="Times New Roman" w:eastAsia="Times New Roman" w:hAnsi="Times New Roman"/>
          <w:sz w:val="20"/>
          <w:szCs w:val="20"/>
          <w:color w:val="auto"/>
        </w:rPr>
        <w:t>By:</w:t>
        <w:tab/>
        <w:t>/s/ Mark Regoli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-10795</wp:posOffset>
            </wp:positionV>
            <wp:extent cx="16713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3">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Name: Mark Regoli</w:t>
      </w:r>
    </w:p>
    <w:p>
      <w:pPr>
        <w:ind w:left="42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“Tenant”:</w:t>
      </w:r>
    </w:p>
    <w:p>
      <w:pPr>
        <w:spacing w:after="0" w:line="23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AMBARELLA CORPORATION,</w:t>
      </w:r>
    </w:p>
    <w:p>
      <w:pPr>
        <w:spacing w:after="0" w:line="2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3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By: /s/ John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-10795</wp:posOffset>
            </wp:positionV>
            <wp:extent cx="175895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4">
                      <a:extLst>
                        <a:ext uri="{28A0092B-C50C-407E-A947-70E740481C1C}"/>
                      </a:extLst>
                    </a:blip>
                    <a:srcRect/>
                    <a:stretch>
                      <a:fillRect/>
                    </a:stretch>
                  </pic:blipFill>
                  <pic:spPr bwMode="auto">
                    <a:xfrm>
                      <a:off x="0" y="0"/>
                      <a:ext cx="1758950" cy="8890"/>
                    </a:xfrm>
                    <a:prstGeom prst="rect">
                      <a:avLst/>
                    </a:prstGeom>
                    <a:noFill/>
                  </pic:spPr>
                </pic:pic>
              </a:graphicData>
            </a:graphic>
          </wp:anchor>
        </w:drawing>
      </w:r>
    </w:p>
    <w:tbl>
      <w:tblPr>
        <w:tblLayout w:type="fixed"/>
        <w:tblInd w:w="2980" w:type="dxa"/>
        <w:tblCellMar>
          <w:top w:w="0" w:type="dxa"/>
          <w:left w:w="0" w:type="dxa"/>
          <w:bottom w:w="0" w:type="dxa"/>
          <w:right w:w="0" w:type="dxa"/>
        </w:tblCellMar>
      </w:tblPr>
      <w:tr>
        <w:trPr>
          <w:trHeight w:val="229"/>
        </w:trPr>
        <w:tc>
          <w:tcPr>
            <w:tcW w:w="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2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John Young</w:t>
            </w:r>
          </w:p>
        </w:tc>
        <w:tc>
          <w:tcPr>
            <w:tcW w:w="200" w:type="dxa"/>
            <w:vAlign w:val="bottom"/>
          </w:tcPr>
          <w:p>
            <w:pPr>
              <w:spacing w:after="0"/>
              <w:rPr>
                <w:sz w:val="19"/>
                <w:szCs w:val="19"/>
                <w:color w:val="auto"/>
              </w:rPr>
            </w:pPr>
          </w:p>
        </w:tc>
      </w:tr>
      <w:tr>
        <w:trPr>
          <w:trHeight w:val="258"/>
        </w:trPr>
        <w:tc>
          <w:tcPr>
            <w:tcW w:w="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9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Chief Financial Officer</w:t>
            </w:r>
          </w:p>
        </w:tc>
        <w:tc>
          <w:tcPr>
            <w:tcW w:w="200" w:type="dxa"/>
            <w:vAlign w:val="bottom"/>
          </w:tcPr>
          <w:p>
            <w:pPr>
              <w:spacing w:after="0"/>
              <w:rPr>
                <w:sz w:val="22"/>
                <w:szCs w:val="22"/>
                <w:color w:val="auto"/>
              </w:rPr>
            </w:pPr>
          </w:p>
        </w:tc>
      </w:tr>
      <w:tr>
        <w:trPr>
          <w:trHeight w:val="615"/>
        </w:trPr>
        <w:tc>
          <w:tcPr>
            <w:tcW w:w="3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Michael Morehead___________</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__</w:t>
            </w: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7"/>
        </w:trPr>
        <w:tc>
          <w:tcPr>
            <w:tcW w:w="62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940" w:type="dxa"/>
            <w:vAlign w:val="bottom"/>
          </w:tcPr>
          <w:p>
            <w:pPr>
              <w:ind w:left="100"/>
              <w:spacing w:after="0" w:line="228" w:lineRule="exact"/>
              <w:rPr>
                <w:sz w:val="20"/>
                <w:szCs w:val="20"/>
                <w:color w:val="auto"/>
              </w:rPr>
            </w:pPr>
            <w:r>
              <w:rPr>
                <w:rFonts w:ascii="Times New Roman" w:cs="Times New Roman" w:eastAsia="Times New Roman" w:hAnsi="Times New Roman"/>
                <w:sz w:val="20"/>
                <w:szCs w:val="20"/>
                <w:color w:val="auto"/>
              </w:rPr>
              <w:t>Michael Morehead</w:t>
            </w:r>
          </w:p>
        </w:tc>
        <w:tc>
          <w:tcPr>
            <w:tcW w:w="200" w:type="dxa"/>
            <w:vAlign w:val="bottom"/>
          </w:tcPr>
          <w:p>
            <w:pPr>
              <w:spacing w:after="0"/>
              <w:rPr>
                <w:sz w:val="19"/>
                <w:szCs w:val="19"/>
                <w:color w:val="auto"/>
              </w:rPr>
            </w:pPr>
          </w:p>
        </w:tc>
      </w:tr>
      <w:tr>
        <w:trPr>
          <w:trHeight w:val="258"/>
        </w:trPr>
        <w:tc>
          <w:tcPr>
            <w:tcW w:w="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General Counsel</w:t>
            </w:r>
          </w:p>
        </w:tc>
        <w:tc>
          <w:tcPr>
            <w:tcW w:w="2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781685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720" w:top="1413" w:right="999" w:bottom="1440" w:gutter="0" w:footer="0" w:header="0"/>
        </w:sectPr>
      </w:pPr>
    </w:p>
    <w:bookmarkStart w:id="166" w:name="page167"/>
    <w:bookmarkEnd w:id="166"/>
    <w:p>
      <w:pPr>
        <w:jc w:val="center"/>
        <w:ind w:right="-72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u w:val="single" w:color="auto"/>
          <w:color w:val="auto"/>
        </w:rPr>
        <w:t>THE QUAD @ TASMAN</w:t>
      </w:r>
    </w:p>
    <w:p>
      <w:pPr>
        <w:spacing w:after="0" w:line="229"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20"/>
          <w:szCs w:val="20"/>
          <w:b w:val="1"/>
          <w:bCs w:val="1"/>
          <w:u w:val="single" w:color="auto"/>
          <w:color w:val="auto"/>
        </w:rPr>
        <w:t>OUTLINE OF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767715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09" w:right="1440" w:bottom="1440" w:gutter="0" w:footer="0" w:header="0"/>
        </w:sectPr>
      </w:pPr>
    </w:p>
    <w:bookmarkStart w:id="167" w:name="page168"/>
    <w:bookmarkEnd w:id="167"/>
    <w:p>
      <w:pPr>
        <w:jc w:val="center"/>
        <w:ind w:right="-72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20"/>
          <w:szCs w:val="20"/>
          <w:b w:val="1"/>
          <w:bCs w:val="1"/>
          <w:u w:val="single" w:color="auto"/>
          <w:color w:val="auto"/>
        </w:rPr>
        <w:t>THE QUAD @ TASMAN</w:t>
      </w:r>
    </w:p>
    <w:p>
      <w:pPr>
        <w:spacing w:after="0" w:line="229"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20"/>
          <w:szCs w:val="20"/>
          <w:b w:val="1"/>
          <w:bCs w:val="1"/>
          <w:u w:val="single" w:color="auto"/>
          <w:color w:val="auto"/>
        </w:rPr>
        <w:t>TENANT WORK LETTER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767715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09" w:right="1440" w:bottom="1440" w:gutter="0" w:footer="0" w:header="0"/>
        </w:sectPr>
      </w:pPr>
    </w:p>
    <w:bookmarkStart w:id="168" w:name="page169"/>
    <w:bookmarkEnd w:id="168"/>
    <w:p>
      <w:pPr>
        <w:jc w:val="center"/>
        <w:ind w:right="-660"/>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2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b w:val="1"/>
          <w:bCs w:val="1"/>
          <w:color w:val="auto"/>
        </w:rPr>
        <w:t>THE QUAD @ TASMAN</w:t>
      </w:r>
    </w:p>
    <w:p>
      <w:pPr>
        <w:spacing w:after="0" w:line="229"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20"/>
          <w:szCs w:val="20"/>
          <w:b w:val="1"/>
          <w:bCs w:val="1"/>
          <w:color w:val="auto"/>
        </w:rPr>
        <w:t>NOTICE OF LEASE TERM DATES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C</w:t>
      </w: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767715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09" w:right="1440" w:bottom="1440" w:gutter="0" w:footer="0" w:header="0"/>
        </w:sectPr>
      </w:pPr>
    </w:p>
    <w:bookmarkStart w:id="169" w:name="page170"/>
    <w:bookmarkEnd w:id="169"/>
    <w:p>
      <w:pPr>
        <w:jc w:val="center"/>
        <w:ind w:right="-640"/>
        <w:spacing w:after="0"/>
        <w:rPr>
          <w:sz w:val="20"/>
          <w:szCs w:val="20"/>
          <w:color w:val="auto"/>
        </w:rPr>
      </w:pPr>
      <w:r>
        <w:rPr>
          <w:rFonts w:ascii="Times New Roman" w:cs="Times New Roman" w:eastAsia="Times New Roman" w:hAnsi="Times New Roman"/>
          <w:sz w:val="20"/>
          <w:szCs w:val="20"/>
          <w:b w:val="1"/>
          <w:bCs w:val="1"/>
          <w:u w:val="single" w:color="auto"/>
          <w:color w:val="auto"/>
        </w:rPr>
        <w:t>EXHIBIT D</w:t>
      </w:r>
    </w:p>
    <w:p>
      <w:pPr>
        <w:spacing w:after="0" w:line="22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0"/>
          <w:szCs w:val="20"/>
          <w:b w:val="1"/>
          <w:bCs w:val="1"/>
          <w:u w:val="single" w:color="auto"/>
          <w:color w:val="auto"/>
        </w:rPr>
        <w:t>THE QUAD @ TASMAN</w:t>
      </w:r>
    </w:p>
    <w:p>
      <w:pPr>
        <w:spacing w:after="0" w:line="229"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20"/>
          <w:szCs w:val="20"/>
          <w:b w:val="1"/>
          <w:bCs w:val="1"/>
          <w:u w:val="single" w:color="auto"/>
          <w:color w:val="auto"/>
        </w:rPr>
        <w:t>RULES AND REGULATIONS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767715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09" w:right="1440" w:bottom="1440" w:gutter="0" w:footer="0" w:header="0"/>
        </w:sectPr>
      </w:pPr>
    </w:p>
    <w:bookmarkStart w:id="170" w:name="page171"/>
    <w:bookmarkEnd w:id="170"/>
    <w:p>
      <w:pPr>
        <w:jc w:val="center"/>
        <w:ind w:right="-660"/>
        <w:spacing w:after="0"/>
        <w:rPr>
          <w:sz w:val="20"/>
          <w:szCs w:val="20"/>
          <w:color w:val="auto"/>
        </w:rPr>
      </w:pPr>
      <w:r>
        <w:rPr>
          <w:rFonts w:ascii="Times New Roman" w:cs="Times New Roman" w:eastAsia="Times New Roman" w:hAnsi="Times New Roman"/>
          <w:sz w:val="20"/>
          <w:szCs w:val="20"/>
          <w:b w:val="1"/>
          <w:bCs w:val="1"/>
          <w:u w:val="single" w:color="auto"/>
          <w:color w:val="auto"/>
        </w:rPr>
        <w:t>EXHIBIT E</w:t>
      </w:r>
    </w:p>
    <w:p>
      <w:pPr>
        <w:spacing w:after="0" w:line="229" w:lineRule="exact"/>
        <w:rPr>
          <w:sz w:val="20"/>
          <w:szCs w:val="20"/>
          <w:color w:val="auto"/>
        </w:rPr>
      </w:pPr>
    </w:p>
    <w:p>
      <w:pPr>
        <w:jc w:val="right"/>
        <w:ind w:right="3439"/>
        <w:spacing w:after="0"/>
        <w:rPr>
          <w:sz w:val="20"/>
          <w:szCs w:val="20"/>
          <w:color w:val="auto"/>
        </w:rPr>
      </w:pPr>
      <w:r>
        <w:rPr>
          <w:rFonts w:ascii="Times New Roman" w:cs="Times New Roman" w:eastAsia="Times New Roman" w:hAnsi="Times New Roman"/>
          <w:sz w:val="20"/>
          <w:szCs w:val="20"/>
          <w:b w:val="1"/>
          <w:bCs w:val="1"/>
          <w:u w:val="single" w:color="auto"/>
          <w:color w:val="auto"/>
        </w:rPr>
        <w:t>THE QUAD @ TASMAN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282575</wp:posOffset>
            </wp:positionV>
            <wp:extent cx="311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781685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09" w:right="1440" w:bottom="1440" w:gutter="0" w:footer="0" w:header="0"/>
        </w:sectPr>
      </w:pPr>
    </w:p>
    <w:bookmarkStart w:id="171" w:name="page172"/>
    <w:bookmarkEnd w:id="171"/>
    <w:p>
      <w:pPr>
        <w:jc w:val="center"/>
        <w:ind w:right="-720"/>
        <w:spacing w:after="0"/>
        <w:rPr>
          <w:sz w:val="20"/>
          <w:szCs w:val="20"/>
          <w:color w:val="auto"/>
        </w:rPr>
      </w:pPr>
      <w:r>
        <w:rPr>
          <w:rFonts w:ascii="Times New Roman" w:cs="Times New Roman" w:eastAsia="Times New Roman" w:hAnsi="Times New Roman"/>
          <w:sz w:val="20"/>
          <w:szCs w:val="20"/>
          <w:b w:val="1"/>
          <w:bCs w:val="1"/>
          <w:u w:val="single" w:color="auto"/>
          <w:color w:val="auto"/>
        </w:rPr>
        <w:t>EXHIBIT F</w:t>
      </w:r>
    </w:p>
    <w:p>
      <w:pPr>
        <w:spacing w:after="0" w:line="22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20"/>
          <w:szCs w:val="20"/>
          <w:b w:val="1"/>
          <w:bCs w:val="1"/>
          <w:u w:val="single" w:color="auto"/>
          <w:color w:val="auto"/>
        </w:rPr>
        <w:t>THE QUAD @ TASMAN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136525</wp:posOffset>
            </wp:positionV>
            <wp:extent cx="3111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9"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20"/>
          <w:szCs w:val="20"/>
          <w:b w:val="1"/>
          <w:bCs w:val="1"/>
          <w:u w:val="single" w:color="auto"/>
          <w:color w:val="auto"/>
        </w:rPr>
        <w:t>INITIAL HAZARDOUS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781685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09" w:right="1440" w:bottom="1440" w:gutter="0" w:footer="0" w:header="0"/>
        </w:sectPr>
      </w:pPr>
    </w:p>
    <w:bookmarkStart w:id="172" w:name="page173"/>
    <w:bookmarkEnd w:id="172"/>
    <w:p>
      <w:pPr>
        <w:jc w:val="center"/>
        <w:ind w:right="-700"/>
        <w:spacing w:after="0"/>
        <w:rPr>
          <w:sz w:val="20"/>
          <w:szCs w:val="20"/>
          <w:color w:val="auto"/>
        </w:rPr>
      </w:pPr>
      <w:r>
        <w:rPr>
          <w:rFonts w:ascii="Times New Roman" w:cs="Times New Roman" w:eastAsia="Times New Roman" w:hAnsi="Times New Roman"/>
          <w:sz w:val="20"/>
          <w:szCs w:val="20"/>
          <w:b w:val="1"/>
          <w:bCs w:val="1"/>
          <w:u w:val="single" w:color="auto"/>
          <w:color w:val="auto"/>
        </w:rPr>
        <w:t>EXHIBIT G</w:t>
      </w:r>
    </w:p>
    <w:p>
      <w:pPr>
        <w:spacing w:after="0" w:line="229"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0"/>
          <w:szCs w:val="20"/>
          <w:b w:val="1"/>
          <w:bCs w:val="1"/>
          <w:u w:val="single" w:color="auto"/>
          <w:color w:val="auto"/>
        </w:rPr>
        <w:t>APPROVED SIGNANGE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781685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09" w:right="1440" w:bottom="1440" w:gutter="0" w:footer="0" w:header="0"/>
        </w:sectPr>
      </w:pPr>
    </w:p>
    <w:bookmarkStart w:id="173" w:name="page174"/>
    <w:bookmarkEnd w:id="173"/>
    <w:p>
      <w:pPr>
        <w:spacing w:after="0" w:line="185"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20"/>
          <w:szCs w:val="20"/>
          <w:b w:val="1"/>
          <w:bCs w:val="1"/>
          <w:u w:val="single" w:color="auto"/>
          <w:color w:val="auto"/>
        </w:rPr>
        <w:t>EXHIBIT H</w:t>
      </w:r>
    </w:p>
    <w:p>
      <w:pPr>
        <w:spacing w:after="0" w:line="229"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20"/>
          <w:szCs w:val="20"/>
          <w:b w:val="1"/>
          <w:bCs w:val="1"/>
          <w:u w:val="single" w:color="auto"/>
          <w:color w:val="auto"/>
        </w:rPr>
        <w:t>DESIGNATED PARKING SPACES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781685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40" w:right="1440" w:bottom="1440" w:gutter="0" w:footer="0" w:header="0"/>
        </w:sectPr>
      </w:pPr>
    </w:p>
    <w:bookmarkStart w:id="174" w:name="page175"/>
    <w:bookmarkEnd w:id="174"/>
    <w:p>
      <w:pPr>
        <w:jc w:val="center"/>
        <w:ind w:right="-720"/>
        <w:spacing w:after="0"/>
        <w:rPr>
          <w:sz w:val="20"/>
          <w:szCs w:val="20"/>
          <w:color w:val="auto"/>
        </w:rPr>
      </w:pPr>
      <w:r>
        <w:rPr>
          <w:rFonts w:ascii="Times New Roman" w:cs="Times New Roman" w:eastAsia="Times New Roman" w:hAnsi="Times New Roman"/>
          <w:sz w:val="20"/>
          <w:szCs w:val="20"/>
          <w:b w:val="1"/>
          <w:bCs w:val="1"/>
          <w:color w:val="auto"/>
        </w:rPr>
        <w:t>EXHIBIT I</w:t>
      </w:r>
    </w:p>
    <w:p>
      <w:pPr>
        <w:spacing w:after="0" w:line="216"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20"/>
          <w:szCs w:val="20"/>
          <w:b w:val="1"/>
          <w:bCs w:val="1"/>
          <w:color w:val="auto"/>
        </w:rPr>
        <w:t>FORM OF SIGHT DRAFT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781685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09" w:right="1440" w:bottom="1440" w:gutter="0" w:footer="0" w:header="0"/>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1717675</wp:posOffset>
            </wp:positionV>
            <wp:extent cx="1499870" cy="8058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7">
                      <a:clrChange>
                        <a:clrFrom>
                          <a:srgbClr val="FFFFFF"/>
                        </a:clrFrom>
                        <a:clrTo>
                          <a:srgbClr val="FFFFFF">
                            <a:alpha val="0"/>
                          </a:srgbClr>
                        </a:clrTo>
                      </a:clrChange>
                      <a:extLst>
                        <a:ext uri="{28A0092B-C50C-407E-A947-70E740481C1C}"/>
                      </a:extLst>
                    </a:blip>
                    <a:srcRect/>
                    <a:stretch>
                      <a:fillRect/>
                    </a:stretch>
                  </pic:blipFill>
                  <pic:spPr bwMode="auto">
                    <a:xfrm>
                      <a:off x="0" y="0"/>
                      <a:ext cx="149987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AMBARELLA, INC.</w:t>
      </w:r>
    </w:p>
    <w:p>
      <w:pPr>
        <w:spacing w:after="0" w:line="204"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___________________</w:t>
      </w:r>
    </w:p>
    <w:p>
      <w:pPr>
        <w:spacing w:after="0" w:line="200"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INSIDER TRADING POLICY</w:t>
      </w:r>
    </w:p>
    <w:p>
      <w:pPr>
        <w:spacing w:after="0" w:line="94"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and</w:t>
      </w:r>
    </w:p>
    <w:p>
      <w:pPr>
        <w:spacing w:after="0" w:line="94"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Guidelines with Respect to</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Certain Transactions in Securities</w:t>
      </w:r>
    </w:p>
    <w:p>
      <w:pPr>
        <w:spacing w:after="0" w:line="196"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___________________</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amended on 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1021080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6" w:name="page177"/>
    <w:bookmarkEnd w:id="176"/>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tbl>
      <w:tblPr>
        <w:tblLayout w:type="fixed"/>
        <w:tblInd w:w="0" w:type="dxa"/>
        <w:tblCellMar>
          <w:top w:w="0" w:type="dxa"/>
          <w:left w:w="0" w:type="dxa"/>
          <w:bottom w:w="0" w:type="dxa"/>
          <w:right w:w="0" w:type="dxa"/>
        </w:tblCellMar>
      </w:tblPr>
      <w:tr>
        <w:trPr>
          <w:trHeight w:val="196"/>
        </w:trPr>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0" w:type="dxa"/>
            <w:vAlign w:val="bottom"/>
            <w:gridSpan w:val="2"/>
          </w:tcPr>
          <w:p>
            <w:pPr>
              <w:ind w:left="3920"/>
              <w:spacing w:after="0" w:line="196" w:lineRule="exact"/>
              <w:rPr>
                <w:sz w:val="20"/>
                <w:szCs w:val="20"/>
                <w:color w:val="auto"/>
              </w:rPr>
            </w:pPr>
            <w:r>
              <w:rPr>
                <w:rFonts w:ascii="Arial" w:cs="Arial" w:eastAsia="Arial" w:hAnsi="Arial"/>
                <w:sz w:val="20"/>
                <w:szCs w:val="20"/>
                <w:b w:val="1"/>
                <w:bCs w:val="1"/>
                <w:color w:val="auto"/>
                <w:w w:val="96"/>
              </w:rPr>
              <w:t>Page</w:t>
            </w:r>
          </w:p>
        </w:tc>
      </w:tr>
      <w:tr>
        <w:trPr>
          <w:trHeight w:val="417"/>
        </w:trPr>
        <w:tc>
          <w:tcPr>
            <w:tcW w:w="1760" w:type="dxa"/>
            <w:vAlign w:val="bottom"/>
          </w:tcPr>
          <w:p>
            <w:pPr>
              <w:spacing w:after="0"/>
              <w:rPr>
                <w:sz w:val="20"/>
                <w:szCs w:val="20"/>
                <w:color w:val="auto"/>
              </w:rPr>
            </w:pPr>
            <w:r>
              <w:rPr>
                <w:rFonts w:ascii="Arial" w:cs="Arial" w:eastAsia="Arial" w:hAnsi="Arial"/>
                <w:sz w:val="20"/>
                <w:szCs w:val="20"/>
                <w:color w:val="auto"/>
              </w:rPr>
              <w:t>INTRODUCTION</w:t>
            </w:r>
          </w:p>
        </w:tc>
        <w:tc>
          <w:tcPr>
            <w:tcW w:w="1160" w:type="dxa"/>
            <w:vAlign w:val="bottom"/>
          </w:tcPr>
          <w:p>
            <w:pPr>
              <w:jc w:val="right"/>
              <w:ind w:right="941"/>
              <w:spacing w:after="0"/>
              <w:rPr>
                <w:sz w:val="20"/>
                <w:szCs w:val="20"/>
                <w:color w:val="auto"/>
              </w:rPr>
            </w:pPr>
            <w:r>
              <w:rPr>
                <w:rFonts w:ascii="Arial" w:cs="Arial" w:eastAsia="Arial" w:hAnsi="Arial"/>
                <w:sz w:val="20"/>
                <w:szCs w:val="20"/>
                <w:color w:val="auto"/>
                <w:w w:val="89"/>
              </w:rPr>
              <w:t>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r>
      <w:tr>
        <w:trPr>
          <w:trHeight w:val="216"/>
        </w:trPr>
        <w:tc>
          <w:tcPr>
            <w:tcW w:w="2920" w:type="dxa"/>
            <w:vAlign w:val="bottom"/>
            <w:gridSpan w:val="2"/>
          </w:tcPr>
          <w:p>
            <w:pPr>
              <w:ind w:left="760"/>
              <w:spacing w:after="0" w:line="216" w:lineRule="exact"/>
              <w:rPr>
                <w:sz w:val="20"/>
                <w:szCs w:val="20"/>
                <w:color w:val="auto"/>
              </w:rPr>
            </w:pPr>
            <w:r>
              <w:rPr>
                <w:rFonts w:ascii="Arial" w:cs="Arial" w:eastAsia="Arial" w:hAnsi="Arial"/>
                <w:sz w:val="20"/>
                <w:szCs w:val="20"/>
                <w:color w:val="auto"/>
              </w:rPr>
              <w:t>Compliance Officer 1</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2920" w:type="dxa"/>
            <w:vAlign w:val="bottom"/>
            <w:gridSpan w:val="2"/>
          </w:tcPr>
          <w:p>
            <w:pPr>
              <w:ind w:left="760"/>
              <w:spacing w:after="0" w:line="216" w:lineRule="exact"/>
              <w:rPr>
                <w:sz w:val="20"/>
                <w:szCs w:val="20"/>
                <w:color w:val="auto"/>
              </w:rPr>
            </w:pPr>
            <w:r>
              <w:rPr>
                <w:rFonts w:ascii="Arial" w:cs="Arial" w:eastAsia="Arial" w:hAnsi="Arial"/>
                <w:sz w:val="20"/>
                <w:szCs w:val="20"/>
                <w:color w:val="auto"/>
              </w:rPr>
              <w:t>Reporting violations</w:t>
            </w:r>
          </w:p>
        </w:tc>
        <w:tc>
          <w:tcPr>
            <w:tcW w:w="380" w:type="dxa"/>
            <w:vAlign w:val="bottom"/>
          </w:tcPr>
          <w:p>
            <w:pPr>
              <w:jc w:val="right"/>
              <w:ind w:right="141"/>
              <w:spacing w:after="0" w:line="216" w:lineRule="exact"/>
              <w:rPr>
                <w:sz w:val="20"/>
                <w:szCs w:val="20"/>
                <w:color w:val="auto"/>
              </w:rPr>
            </w:pPr>
            <w:r>
              <w:rPr>
                <w:rFonts w:ascii="Arial" w:cs="Arial" w:eastAsia="Arial" w:hAnsi="Arial"/>
                <w:sz w:val="20"/>
                <w:szCs w:val="20"/>
                <w:color w:val="auto"/>
              </w:rPr>
              <w:t>1</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2920" w:type="dxa"/>
            <w:vAlign w:val="bottom"/>
            <w:gridSpan w:val="2"/>
          </w:tcPr>
          <w:p>
            <w:pPr>
              <w:ind w:left="760"/>
              <w:spacing w:after="0" w:line="216" w:lineRule="exact"/>
              <w:rPr>
                <w:sz w:val="20"/>
                <w:szCs w:val="20"/>
                <w:color w:val="auto"/>
              </w:rPr>
            </w:pPr>
            <w:r>
              <w:rPr>
                <w:rFonts w:ascii="Arial" w:cs="Arial" w:eastAsia="Arial" w:hAnsi="Arial"/>
                <w:sz w:val="20"/>
                <w:szCs w:val="20"/>
                <w:color w:val="auto"/>
              </w:rPr>
              <w:t>Personal responsibility</w:t>
            </w:r>
          </w:p>
        </w:tc>
        <w:tc>
          <w:tcPr>
            <w:tcW w:w="380" w:type="dxa"/>
            <w:vAlign w:val="bottom"/>
          </w:tcPr>
          <w:p>
            <w:pPr>
              <w:jc w:val="right"/>
              <w:ind w:right="141"/>
              <w:spacing w:after="0" w:line="216" w:lineRule="exact"/>
              <w:rPr>
                <w:sz w:val="20"/>
                <w:szCs w:val="20"/>
                <w:color w:val="auto"/>
              </w:rPr>
            </w:pPr>
            <w:r>
              <w:rPr>
                <w:rFonts w:ascii="Arial" w:cs="Arial" w:eastAsia="Arial" w:hAnsi="Arial"/>
                <w:sz w:val="20"/>
                <w:szCs w:val="20"/>
                <w:color w:val="auto"/>
              </w:rPr>
              <w:t>1</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61"/>
        </w:trPr>
        <w:tc>
          <w:tcPr>
            <w:tcW w:w="3760" w:type="dxa"/>
            <w:vAlign w:val="bottom"/>
            <w:gridSpan w:val="4"/>
          </w:tcPr>
          <w:p>
            <w:pPr>
              <w:ind w:left="760"/>
              <w:spacing w:after="0"/>
              <w:rPr>
                <w:sz w:val="20"/>
                <w:szCs w:val="20"/>
                <w:color w:val="auto"/>
              </w:rPr>
            </w:pPr>
            <w:r>
              <w:rPr>
                <w:rFonts w:ascii="Arial" w:cs="Arial" w:eastAsia="Arial" w:hAnsi="Arial"/>
                <w:sz w:val="20"/>
                <w:szCs w:val="20"/>
                <w:color w:val="auto"/>
              </w:rPr>
              <w:t>Breach and disciplinary effects</w:t>
            </w:r>
          </w:p>
        </w:tc>
        <w:tc>
          <w:tcPr>
            <w:tcW w:w="800" w:type="dxa"/>
            <w:vAlign w:val="bottom"/>
          </w:tcPr>
          <w:p>
            <w:pPr>
              <w:ind w:left="80"/>
              <w:spacing w:after="0"/>
              <w:rPr>
                <w:sz w:val="20"/>
                <w:szCs w:val="20"/>
                <w:color w:val="auto"/>
              </w:rPr>
            </w:pPr>
            <w:r>
              <w:rPr>
                <w:rFonts w:ascii="Arial" w:cs="Arial" w:eastAsia="Arial" w:hAnsi="Arial"/>
                <w:sz w:val="20"/>
                <w:szCs w:val="20"/>
                <w:color w:val="auto"/>
              </w:rPr>
              <w:t>1</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387"/>
        </w:trPr>
        <w:tc>
          <w:tcPr>
            <w:tcW w:w="6840" w:type="dxa"/>
            <w:vAlign w:val="bottom"/>
            <w:gridSpan w:val="9"/>
          </w:tcPr>
          <w:p>
            <w:pPr>
              <w:spacing w:after="0"/>
              <w:rPr>
                <w:sz w:val="20"/>
                <w:szCs w:val="20"/>
                <w:color w:val="auto"/>
              </w:rPr>
            </w:pPr>
            <w:r>
              <w:rPr>
                <w:rFonts w:ascii="Arial" w:cs="Arial" w:eastAsia="Arial" w:hAnsi="Arial"/>
                <w:sz w:val="20"/>
                <w:szCs w:val="20"/>
                <w:color w:val="auto"/>
              </w:rPr>
              <w:t>PERSONS AND TRANSACTIONS COVERED BY THIS POLICY 2</w:t>
            </w:r>
          </w:p>
        </w:tc>
        <w:tc>
          <w:tcPr>
            <w:tcW w:w="39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3760" w:type="dxa"/>
            <w:vAlign w:val="bottom"/>
            <w:gridSpan w:val="4"/>
          </w:tcPr>
          <w:p>
            <w:pPr>
              <w:ind w:left="760"/>
              <w:spacing w:after="0" w:line="216" w:lineRule="exact"/>
              <w:rPr>
                <w:sz w:val="20"/>
                <w:szCs w:val="20"/>
                <w:color w:val="auto"/>
              </w:rPr>
            </w:pPr>
            <w:r>
              <w:rPr>
                <w:rFonts w:ascii="Arial" w:cs="Arial" w:eastAsia="Arial" w:hAnsi="Arial"/>
                <w:sz w:val="20"/>
                <w:szCs w:val="20"/>
                <w:color w:val="auto"/>
              </w:rPr>
              <w:t>Persons covered by this Policy</w:t>
            </w:r>
          </w:p>
        </w:tc>
        <w:tc>
          <w:tcPr>
            <w:tcW w:w="800" w:type="dxa"/>
            <w:vAlign w:val="bottom"/>
          </w:tcPr>
          <w:p>
            <w:pPr>
              <w:ind w:left="80"/>
              <w:spacing w:after="0" w:line="216" w:lineRule="exact"/>
              <w:rPr>
                <w:sz w:val="20"/>
                <w:szCs w:val="20"/>
                <w:color w:val="auto"/>
              </w:rPr>
            </w:pPr>
            <w:r>
              <w:rPr>
                <w:rFonts w:ascii="Arial" w:cs="Arial" w:eastAsia="Arial" w:hAnsi="Arial"/>
                <w:sz w:val="20"/>
                <w:szCs w:val="20"/>
                <w:color w:val="auto"/>
              </w:rPr>
              <w:t>2</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5140" w:type="dxa"/>
            <w:vAlign w:val="bottom"/>
            <w:gridSpan w:val="6"/>
          </w:tcPr>
          <w:p>
            <w:pPr>
              <w:ind w:left="760"/>
              <w:spacing w:after="0" w:line="216" w:lineRule="exact"/>
              <w:rPr>
                <w:sz w:val="20"/>
                <w:szCs w:val="20"/>
                <w:color w:val="auto"/>
              </w:rPr>
            </w:pPr>
            <w:r>
              <w:rPr>
                <w:rFonts w:ascii="Arial" w:cs="Arial" w:eastAsia="Arial" w:hAnsi="Arial"/>
                <w:sz w:val="20"/>
                <w:szCs w:val="20"/>
                <w:color w:val="auto"/>
              </w:rPr>
              <w:t>Types of transactions covered by this Policy 2</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1240" w:type="dxa"/>
            <w:vAlign w:val="bottom"/>
            <w:gridSpan w:val="11"/>
          </w:tcPr>
          <w:p>
            <w:pPr>
              <w:ind w:left="760"/>
              <w:spacing w:after="0" w:line="216" w:lineRule="exact"/>
              <w:rPr>
                <w:sz w:val="20"/>
                <w:szCs w:val="20"/>
                <w:color w:val="auto"/>
              </w:rPr>
            </w:pPr>
            <w:r>
              <w:rPr>
                <w:rFonts w:ascii="Arial" w:cs="Arial" w:eastAsia="Arial" w:hAnsi="Arial"/>
                <w:sz w:val="20"/>
                <w:szCs w:val="20"/>
                <w:color w:val="auto"/>
              </w:rPr>
              <w:t>Responsibilities regarding the nonpublic information of other companies   2</w:t>
            </w:r>
          </w:p>
        </w:tc>
      </w:tr>
      <w:tr>
        <w:trPr>
          <w:trHeight w:val="216"/>
        </w:trPr>
        <w:tc>
          <w:tcPr>
            <w:tcW w:w="5140" w:type="dxa"/>
            <w:vAlign w:val="bottom"/>
            <w:gridSpan w:val="6"/>
          </w:tcPr>
          <w:p>
            <w:pPr>
              <w:ind w:left="760"/>
              <w:spacing w:after="0" w:line="216" w:lineRule="exact"/>
              <w:rPr>
                <w:sz w:val="20"/>
                <w:szCs w:val="20"/>
                <w:color w:val="auto"/>
              </w:rPr>
            </w:pPr>
            <w:r>
              <w:rPr>
                <w:rFonts w:ascii="Arial" w:cs="Arial" w:eastAsia="Arial" w:hAnsi="Arial"/>
                <w:sz w:val="20"/>
                <w:szCs w:val="20"/>
                <w:color w:val="auto"/>
              </w:rPr>
              <w:t>Applicability of this Policy after your departure</w:t>
            </w:r>
          </w:p>
        </w:tc>
        <w:tc>
          <w:tcPr>
            <w:tcW w:w="340" w:type="dxa"/>
            <w:vAlign w:val="bottom"/>
          </w:tcPr>
          <w:p>
            <w:pPr>
              <w:ind w:left="20"/>
              <w:spacing w:after="0" w:line="216" w:lineRule="exact"/>
              <w:rPr>
                <w:sz w:val="20"/>
                <w:szCs w:val="20"/>
                <w:color w:val="auto"/>
              </w:rPr>
            </w:pPr>
            <w:r>
              <w:rPr>
                <w:rFonts w:ascii="Arial" w:cs="Arial" w:eastAsia="Arial" w:hAnsi="Arial"/>
                <w:sz w:val="20"/>
                <w:szCs w:val="20"/>
                <w:color w:val="auto"/>
              </w:rPr>
              <w:t>2</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61"/>
        </w:trPr>
        <w:tc>
          <w:tcPr>
            <w:tcW w:w="5140" w:type="dxa"/>
            <w:vAlign w:val="bottom"/>
            <w:gridSpan w:val="6"/>
          </w:tcPr>
          <w:p>
            <w:pPr>
              <w:ind w:left="760"/>
              <w:spacing w:after="0"/>
              <w:rPr>
                <w:sz w:val="20"/>
                <w:szCs w:val="20"/>
                <w:color w:val="auto"/>
              </w:rPr>
            </w:pPr>
            <w:r>
              <w:rPr>
                <w:rFonts w:ascii="Arial" w:cs="Arial" w:eastAsia="Arial" w:hAnsi="Arial"/>
                <w:sz w:val="20"/>
                <w:szCs w:val="20"/>
                <w:color w:val="auto"/>
              </w:rPr>
              <w:t>No exceptions based on personal circumstances</w:t>
            </w:r>
          </w:p>
        </w:tc>
        <w:tc>
          <w:tcPr>
            <w:tcW w:w="340" w:type="dxa"/>
            <w:vAlign w:val="bottom"/>
          </w:tcPr>
          <w:p>
            <w:pPr>
              <w:ind w:left="20"/>
              <w:spacing w:after="0"/>
              <w:rPr>
                <w:sz w:val="20"/>
                <w:szCs w:val="20"/>
                <w:color w:val="auto"/>
              </w:rPr>
            </w:pPr>
            <w:r>
              <w:rPr>
                <w:rFonts w:ascii="Arial" w:cs="Arial" w:eastAsia="Arial" w:hAnsi="Arial"/>
                <w:sz w:val="20"/>
                <w:szCs w:val="20"/>
                <w:color w:val="auto"/>
              </w:rPr>
              <w:t>2</w:t>
            </w: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387"/>
        </w:trPr>
        <w:tc>
          <w:tcPr>
            <w:tcW w:w="3760" w:type="dxa"/>
            <w:vAlign w:val="bottom"/>
            <w:gridSpan w:val="4"/>
          </w:tcPr>
          <w:p>
            <w:pPr>
              <w:spacing w:after="0"/>
              <w:rPr>
                <w:sz w:val="20"/>
                <w:szCs w:val="20"/>
                <w:color w:val="auto"/>
              </w:rPr>
            </w:pPr>
            <w:r>
              <w:rPr>
                <w:rFonts w:ascii="Arial" w:cs="Arial" w:eastAsia="Arial" w:hAnsi="Arial"/>
                <w:sz w:val="20"/>
                <w:szCs w:val="20"/>
                <w:color w:val="auto"/>
              </w:rPr>
              <w:t>MATERIAL NONPUBLIC INFORMATION</w:t>
            </w:r>
          </w:p>
        </w:tc>
        <w:tc>
          <w:tcPr>
            <w:tcW w:w="800" w:type="dxa"/>
            <w:vAlign w:val="bottom"/>
          </w:tcPr>
          <w:p>
            <w:pPr>
              <w:ind w:left="200"/>
              <w:spacing w:after="0"/>
              <w:rPr>
                <w:sz w:val="20"/>
                <w:szCs w:val="20"/>
                <w:color w:val="auto"/>
              </w:rPr>
            </w:pPr>
            <w:r>
              <w:rPr>
                <w:rFonts w:ascii="Arial" w:cs="Arial" w:eastAsia="Arial" w:hAnsi="Arial"/>
                <w:sz w:val="20"/>
                <w:szCs w:val="20"/>
                <w:color w:val="auto"/>
              </w:rPr>
              <w:t>3</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2920" w:type="dxa"/>
            <w:vAlign w:val="bottom"/>
            <w:gridSpan w:val="2"/>
          </w:tcPr>
          <w:p>
            <w:pPr>
              <w:ind w:left="760"/>
              <w:spacing w:after="0" w:line="216" w:lineRule="exact"/>
              <w:rPr>
                <w:sz w:val="20"/>
                <w:szCs w:val="20"/>
                <w:color w:val="auto"/>
              </w:rPr>
            </w:pPr>
            <w:r>
              <w:rPr>
                <w:rFonts w:ascii="Arial" w:cs="Arial" w:eastAsia="Arial" w:hAnsi="Arial"/>
                <w:sz w:val="20"/>
                <w:szCs w:val="20"/>
                <w:color w:val="auto"/>
              </w:rPr>
              <w:t>“Material” information</w:t>
            </w:r>
          </w:p>
        </w:tc>
        <w:tc>
          <w:tcPr>
            <w:tcW w:w="380" w:type="dxa"/>
            <w:vAlign w:val="bottom"/>
          </w:tcPr>
          <w:p>
            <w:pPr>
              <w:jc w:val="right"/>
              <w:ind w:right="141"/>
              <w:spacing w:after="0" w:line="216" w:lineRule="exact"/>
              <w:rPr>
                <w:sz w:val="20"/>
                <w:szCs w:val="20"/>
                <w:color w:val="auto"/>
              </w:rPr>
            </w:pPr>
            <w:r>
              <w:rPr>
                <w:rFonts w:ascii="Arial" w:cs="Arial" w:eastAsia="Arial" w:hAnsi="Arial"/>
                <w:sz w:val="20"/>
                <w:szCs w:val="20"/>
                <w:color w:val="auto"/>
              </w:rPr>
              <w:t>3</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61"/>
        </w:trPr>
        <w:tc>
          <w:tcPr>
            <w:tcW w:w="2920" w:type="dxa"/>
            <w:vAlign w:val="bottom"/>
            <w:gridSpan w:val="2"/>
          </w:tcPr>
          <w:p>
            <w:pPr>
              <w:ind w:left="760"/>
              <w:spacing w:after="0"/>
              <w:rPr>
                <w:sz w:val="20"/>
                <w:szCs w:val="20"/>
                <w:color w:val="auto"/>
              </w:rPr>
            </w:pPr>
            <w:r>
              <w:rPr>
                <w:rFonts w:ascii="Arial" w:cs="Arial" w:eastAsia="Arial" w:hAnsi="Arial"/>
                <w:sz w:val="20"/>
                <w:szCs w:val="20"/>
                <w:color w:val="auto"/>
              </w:rPr>
              <w:t>“Nonpublic” information</w:t>
            </w: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4</w:t>
            </w: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387"/>
        </w:trPr>
        <w:tc>
          <w:tcPr>
            <w:tcW w:w="6840" w:type="dxa"/>
            <w:vAlign w:val="bottom"/>
            <w:gridSpan w:val="9"/>
          </w:tcPr>
          <w:p>
            <w:pPr>
              <w:spacing w:after="0"/>
              <w:rPr>
                <w:sz w:val="20"/>
                <w:szCs w:val="20"/>
                <w:color w:val="auto"/>
              </w:rPr>
            </w:pPr>
            <w:r>
              <w:rPr>
                <w:rFonts w:ascii="Arial" w:cs="Arial" w:eastAsia="Arial" w:hAnsi="Arial"/>
                <w:sz w:val="20"/>
                <w:szCs w:val="20"/>
                <w:color w:val="auto"/>
              </w:rPr>
              <w:t>POLICIES REGARDING MATERIAL NONPUBLIC INFORMATION   5</w:t>
            </w:r>
          </w:p>
        </w:tc>
        <w:tc>
          <w:tcPr>
            <w:tcW w:w="39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5140" w:type="dxa"/>
            <w:vAlign w:val="bottom"/>
            <w:gridSpan w:val="6"/>
          </w:tcPr>
          <w:p>
            <w:pPr>
              <w:ind w:left="760"/>
              <w:spacing w:after="0" w:line="216" w:lineRule="exact"/>
              <w:rPr>
                <w:sz w:val="20"/>
                <w:szCs w:val="20"/>
                <w:color w:val="auto"/>
              </w:rPr>
            </w:pPr>
            <w:r>
              <w:rPr>
                <w:rFonts w:ascii="Arial" w:cs="Arial" w:eastAsia="Arial" w:hAnsi="Arial"/>
                <w:sz w:val="20"/>
                <w:szCs w:val="20"/>
                <w:color w:val="auto"/>
              </w:rPr>
              <w:t>Confidentiality of nonpublic information 5</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5140" w:type="dxa"/>
            <w:vAlign w:val="bottom"/>
            <w:gridSpan w:val="6"/>
          </w:tcPr>
          <w:p>
            <w:pPr>
              <w:ind w:left="760"/>
              <w:spacing w:after="0" w:line="216" w:lineRule="exact"/>
              <w:rPr>
                <w:sz w:val="20"/>
                <w:szCs w:val="20"/>
                <w:color w:val="auto"/>
              </w:rPr>
            </w:pPr>
            <w:r>
              <w:rPr>
                <w:rFonts w:ascii="Arial" w:cs="Arial" w:eastAsia="Arial" w:hAnsi="Arial"/>
                <w:sz w:val="20"/>
                <w:szCs w:val="20"/>
                <w:color w:val="auto"/>
              </w:rPr>
              <w:t>No trading on material nonpublic information 5</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840" w:type="dxa"/>
            <w:vAlign w:val="bottom"/>
            <w:gridSpan w:val="9"/>
          </w:tcPr>
          <w:p>
            <w:pPr>
              <w:ind w:left="760"/>
              <w:spacing w:after="0" w:line="216" w:lineRule="exact"/>
              <w:rPr>
                <w:sz w:val="20"/>
                <w:szCs w:val="20"/>
                <w:color w:val="auto"/>
              </w:rPr>
            </w:pPr>
            <w:r>
              <w:rPr>
                <w:rFonts w:ascii="Arial" w:cs="Arial" w:eastAsia="Arial" w:hAnsi="Arial"/>
                <w:sz w:val="20"/>
                <w:szCs w:val="20"/>
                <w:color w:val="auto"/>
              </w:rPr>
              <w:t>No disclosing material nonpublic information for the benefit of others</w:t>
            </w:r>
          </w:p>
        </w:tc>
        <w:tc>
          <w:tcPr>
            <w:tcW w:w="3920" w:type="dxa"/>
            <w:vAlign w:val="bottom"/>
          </w:tcPr>
          <w:p>
            <w:pPr>
              <w:ind w:left="80"/>
              <w:spacing w:after="0" w:line="216" w:lineRule="exact"/>
              <w:rPr>
                <w:sz w:val="20"/>
                <w:szCs w:val="20"/>
                <w:color w:val="auto"/>
              </w:rPr>
            </w:pPr>
            <w:r>
              <w:rPr>
                <w:rFonts w:ascii="Arial" w:cs="Arial" w:eastAsia="Arial" w:hAnsi="Arial"/>
                <w:sz w:val="20"/>
                <w:szCs w:val="20"/>
                <w:color w:val="auto"/>
              </w:rPr>
              <w:t>5</w:t>
            </w:r>
          </w:p>
        </w:tc>
        <w:tc>
          <w:tcPr>
            <w:tcW w:w="480" w:type="dxa"/>
            <w:vAlign w:val="bottom"/>
          </w:tcPr>
          <w:p>
            <w:pPr>
              <w:spacing w:after="0"/>
              <w:rPr>
                <w:sz w:val="18"/>
                <w:szCs w:val="18"/>
                <w:color w:val="auto"/>
              </w:rPr>
            </w:pPr>
          </w:p>
        </w:tc>
      </w:tr>
      <w:tr>
        <w:trPr>
          <w:trHeight w:val="216"/>
        </w:trPr>
        <w:tc>
          <w:tcPr>
            <w:tcW w:w="6840" w:type="dxa"/>
            <w:vAlign w:val="bottom"/>
            <w:gridSpan w:val="9"/>
          </w:tcPr>
          <w:p>
            <w:pPr>
              <w:ind w:left="760"/>
              <w:spacing w:after="0" w:line="216" w:lineRule="exact"/>
              <w:rPr>
                <w:sz w:val="20"/>
                <w:szCs w:val="20"/>
                <w:color w:val="auto"/>
              </w:rPr>
            </w:pPr>
            <w:r>
              <w:rPr>
                <w:rFonts w:ascii="Arial" w:cs="Arial" w:eastAsia="Arial" w:hAnsi="Arial"/>
                <w:sz w:val="20"/>
                <w:szCs w:val="20"/>
                <w:color w:val="auto"/>
                <w:w w:val="99"/>
              </w:rPr>
              <w:t>Obligation to disclose material nonpublic information to the Company</w:t>
            </w:r>
          </w:p>
        </w:tc>
        <w:tc>
          <w:tcPr>
            <w:tcW w:w="3920" w:type="dxa"/>
            <w:vAlign w:val="bottom"/>
          </w:tcPr>
          <w:p>
            <w:pPr>
              <w:ind w:left="80"/>
              <w:spacing w:after="0" w:line="216" w:lineRule="exact"/>
              <w:rPr>
                <w:sz w:val="20"/>
                <w:szCs w:val="20"/>
                <w:color w:val="auto"/>
              </w:rPr>
            </w:pPr>
            <w:r>
              <w:rPr>
                <w:rFonts w:ascii="Arial" w:cs="Arial" w:eastAsia="Arial" w:hAnsi="Arial"/>
                <w:sz w:val="20"/>
                <w:szCs w:val="20"/>
                <w:color w:val="auto"/>
              </w:rPr>
              <w:t>6</w:t>
            </w:r>
          </w:p>
        </w:tc>
        <w:tc>
          <w:tcPr>
            <w:tcW w:w="480" w:type="dxa"/>
            <w:vAlign w:val="bottom"/>
          </w:tcPr>
          <w:p>
            <w:pPr>
              <w:spacing w:after="0"/>
              <w:rPr>
                <w:sz w:val="18"/>
                <w:szCs w:val="18"/>
                <w:color w:val="auto"/>
              </w:rPr>
            </w:pPr>
          </w:p>
        </w:tc>
      </w:tr>
      <w:tr>
        <w:trPr>
          <w:trHeight w:val="261"/>
        </w:trPr>
        <w:tc>
          <w:tcPr>
            <w:tcW w:w="5140" w:type="dxa"/>
            <w:vAlign w:val="bottom"/>
            <w:gridSpan w:val="6"/>
          </w:tcPr>
          <w:p>
            <w:pPr>
              <w:ind w:left="760"/>
              <w:spacing w:after="0"/>
              <w:rPr>
                <w:sz w:val="20"/>
                <w:szCs w:val="20"/>
                <w:color w:val="auto"/>
              </w:rPr>
            </w:pPr>
            <w:r>
              <w:rPr>
                <w:rFonts w:ascii="Arial" w:cs="Arial" w:eastAsia="Arial" w:hAnsi="Arial"/>
                <w:sz w:val="20"/>
                <w:szCs w:val="20"/>
                <w:color w:val="auto"/>
              </w:rPr>
              <w:t>Responding to outside inquiries for information</w:t>
            </w:r>
          </w:p>
        </w:tc>
        <w:tc>
          <w:tcPr>
            <w:tcW w:w="340" w:type="dxa"/>
            <w:vAlign w:val="bottom"/>
          </w:tcPr>
          <w:p>
            <w:pPr>
              <w:ind w:left="20"/>
              <w:spacing w:after="0"/>
              <w:rPr>
                <w:sz w:val="20"/>
                <w:szCs w:val="20"/>
                <w:color w:val="auto"/>
              </w:rPr>
            </w:pPr>
            <w:r>
              <w:rPr>
                <w:rFonts w:ascii="Arial" w:cs="Arial" w:eastAsia="Arial" w:hAnsi="Arial"/>
                <w:sz w:val="20"/>
                <w:szCs w:val="20"/>
                <w:color w:val="auto"/>
              </w:rPr>
              <w:t>6</w:t>
            </w: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387"/>
        </w:trPr>
        <w:tc>
          <w:tcPr>
            <w:tcW w:w="3300" w:type="dxa"/>
            <w:vAlign w:val="bottom"/>
            <w:gridSpan w:val="3"/>
          </w:tcPr>
          <w:p>
            <w:pPr>
              <w:spacing w:after="0"/>
              <w:rPr>
                <w:sz w:val="20"/>
                <w:szCs w:val="20"/>
                <w:color w:val="auto"/>
              </w:rPr>
            </w:pPr>
            <w:r>
              <w:rPr>
                <w:rFonts w:ascii="Arial" w:cs="Arial" w:eastAsia="Arial" w:hAnsi="Arial"/>
                <w:sz w:val="20"/>
                <w:szCs w:val="20"/>
                <w:color w:val="auto"/>
              </w:rPr>
              <w:t>TRADING BLACKOUT PERIODS 7</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3300" w:type="dxa"/>
            <w:vAlign w:val="bottom"/>
            <w:gridSpan w:val="3"/>
          </w:tcPr>
          <w:p>
            <w:pPr>
              <w:ind w:left="760"/>
              <w:spacing w:after="0" w:line="216" w:lineRule="exact"/>
              <w:rPr>
                <w:sz w:val="20"/>
                <w:szCs w:val="20"/>
                <w:color w:val="auto"/>
              </w:rPr>
            </w:pPr>
            <w:r>
              <w:rPr>
                <w:rFonts w:ascii="Arial" w:cs="Arial" w:eastAsia="Arial" w:hAnsi="Arial"/>
                <w:sz w:val="20"/>
                <w:szCs w:val="20"/>
                <w:color w:val="auto"/>
              </w:rPr>
              <w:t>Quarterly blackout periods</w:t>
            </w:r>
          </w:p>
        </w:tc>
        <w:tc>
          <w:tcPr>
            <w:tcW w:w="46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7</w:t>
            </w: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300" w:type="dxa"/>
            <w:vAlign w:val="bottom"/>
            <w:gridSpan w:val="3"/>
          </w:tcPr>
          <w:p>
            <w:pPr>
              <w:ind w:left="760"/>
              <w:spacing w:after="0" w:line="216" w:lineRule="exact"/>
              <w:rPr>
                <w:sz w:val="20"/>
                <w:szCs w:val="20"/>
                <w:color w:val="auto"/>
              </w:rPr>
            </w:pPr>
            <w:r>
              <w:rPr>
                <w:rFonts w:ascii="Arial" w:cs="Arial" w:eastAsia="Arial" w:hAnsi="Arial"/>
                <w:sz w:val="20"/>
                <w:szCs w:val="20"/>
                <w:color w:val="auto"/>
              </w:rPr>
              <w:t>Special blackout periods 7</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300" w:type="dxa"/>
            <w:vAlign w:val="bottom"/>
            <w:gridSpan w:val="3"/>
          </w:tcPr>
          <w:p>
            <w:pPr>
              <w:ind w:left="760"/>
              <w:spacing w:after="0" w:line="216" w:lineRule="exact"/>
              <w:rPr>
                <w:sz w:val="20"/>
                <w:szCs w:val="20"/>
                <w:color w:val="auto"/>
              </w:rPr>
            </w:pPr>
            <w:r>
              <w:rPr>
                <w:rFonts w:ascii="Arial" w:cs="Arial" w:eastAsia="Arial" w:hAnsi="Arial"/>
                <w:sz w:val="20"/>
                <w:szCs w:val="20"/>
                <w:color w:val="auto"/>
              </w:rPr>
              <w:t>Regulation BTR blackouts</w:t>
            </w:r>
          </w:p>
        </w:tc>
        <w:tc>
          <w:tcPr>
            <w:tcW w:w="46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8</w:t>
            </w: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61"/>
        </w:trPr>
        <w:tc>
          <w:tcPr>
            <w:tcW w:w="2920" w:type="dxa"/>
            <w:vAlign w:val="bottom"/>
            <w:gridSpan w:val="2"/>
          </w:tcPr>
          <w:p>
            <w:pPr>
              <w:ind w:left="760"/>
              <w:spacing w:after="0"/>
              <w:rPr>
                <w:sz w:val="20"/>
                <w:szCs w:val="20"/>
                <w:color w:val="auto"/>
              </w:rPr>
            </w:pPr>
            <w:r>
              <w:rPr>
                <w:rFonts w:ascii="Arial" w:cs="Arial" w:eastAsia="Arial" w:hAnsi="Arial"/>
                <w:sz w:val="20"/>
                <w:szCs w:val="20"/>
                <w:color w:val="auto"/>
              </w:rPr>
              <w:t>No “safe harbors”  8</w:t>
            </w: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432"/>
        </w:trPr>
        <w:tc>
          <w:tcPr>
            <w:tcW w:w="2920" w:type="dxa"/>
            <w:vAlign w:val="bottom"/>
            <w:gridSpan w:val="2"/>
          </w:tcPr>
          <w:p>
            <w:pPr>
              <w:spacing w:after="0"/>
              <w:rPr>
                <w:sz w:val="20"/>
                <w:szCs w:val="20"/>
                <w:color w:val="auto"/>
              </w:rPr>
            </w:pPr>
            <w:r>
              <w:rPr>
                <w:rFonts w:ascii="Arial" w:cs="Arial" w:eastAsia="Arial" w:hAnsi="Arial"/>
                <w:sz w:val="20"/>
                <w:szCs w:val="20"/>
                <w:color w:val="auto"/>
                <w:w w:val="99"/>
              </w:rPr>
              <w:t>PRE-CLEARANCE OF TRADES</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9</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87"/>
        </w:trPr>
        <w:tc>
          <w:tcPr>
            <w:tcW w:w="5140" w:type="dxa"/>
            <w:vAlign w:val="bottom"/>
            <w:gridSpan w:val="6"/>
          </w:tcPr>
          <w:p>
            <w:pPr>
              <w:spacing w:after="0"/>
              <w:rPr>
                <w:sz w:val="20"/>
                <w:szCs w:val="20"/>
                <w:color w:val="auto"/>
              </w:rPr>
            </w:pPr>
            <w:r>
              <w:rPr>
                <w:rFonts w:ascii="Arial" w:cs="Arial" w:eastAsia="Arial" w:hAnsi="Arial"/>
                <w:sz w:val="20"/>
                <w:szCs w:val="20"/>
                <w:color w:val="auto"/>
              </w:rPr>
              <w:t>ADDITIONAL RESTRICTIONS AND GUIDANCE 10</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1760" w:type="dxa"/>
            <w:vAlign w:val="bottom"/>
          </w:tcPr>
          <w:p>
            <w:pPr>
              <w:ind w:left="760"/>
              <w:spacing w:after="0" w:line="216" w:lineRule="exact"/>
              <w:rPr>
                <w:sz w:val="20"/>
                <w:szCs w:val="20"/>
                <w:color w:val="auto"/>
              </w:rPr>
            </w:pPr>
            <w:r>
              <w:rPr>
                <w:rFonts w:ascii="Arial" w:cs="Arial" w:eastAsia="Arial" w:hAnsi="Arial"/>
                <w:sz w:val="20"/>
                <w:szCs w:val="20"/>
                <w:color w:val="auto"/>
                <w:w w:val="97"/>
              </w:rPr>
              <w:t>Short sales</w:t>
            </w:r>
          </w:p>
        </w:tc>
        <w:tc>
          <w:tcPr>
            <w:tcW w:w="1160" w:type="dxa"/>
            <w:vAlign w:val="bottom"/>
          </w:tcPr>
          <w:p>
            <w:pPr>
              <w:jc w:val="right"/>
              <w:ind w:right="521"/>
              <w:spacing w:after="0" w:line="216" w:lineRule="exact"/>
              <w:rPr>
                <w:sz w:val="20"/>
                <w:szCs w:val="20"/>
                <w:color w:val="auto"/>
              </w:rPr>
            </w:pPr>
            <w:r>
              <w:rPr>
                <w:rFonts w:ascii="Arial" w:cs="Arial" w:eastAsia="Arial" w:hAnsi="Arial"/>
                <w:sz w:val="20"/>
                <w:szCs w:val="20"/>
                <w:color w:val="auto"/>
              </w:rPr>
              <w:t>10</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5140" w:type="dxa"/>
            <w:vAlign w:val="bottom"/>
            <w:gridSpan w:val="6"/>
          </w:tcPr>
          <w:p>
            <w:pPr>
              <w:ind w:left="760"/>
              <w:spacing w:after="0" w:line="216" w:lineRule="exact"/>
              <w:rPr>
                <w:sz w:val="20"/>
                <w:szCs w:val="20"/>
                <w:color w:val="auto"/>
              </w:rPr>
            </w:pPr>
            <w:r>
              <w:rPr>
                <w:rFonts w:ascii="Arial" w:cs="Arial" w:eastAsia="Arial" w:hAnsi="Arial"/>
                <w:sz w:val="20"/>
                <w:szCs w:val="20"/>
                <w:color w:val="auto"/>
              </w:rPr>
              <w:t>Derivative securities and hedging transactions</w:t>
            </w:r>
          </w:p>
        </w:tc>
        <w:tc>
          <w:tcPr>
            <w:tcW w:w="340" w:type="dxa"/>
            <w:vAlign w:val="bottom"/>
          </w:tcPr>
          <w:p>
            <w:pPr>
              <w:ind w:left="20"/>
              <w:spacing w:after="0" w:line="216" w:lineRule="exact"/>
              <w:rPr>
                <w:sz w:val="20"/>
                <w:szCs w:val="20"/>
                <w:color w:val="auto"/>
              </w:rPr>
            </w:pPr>
            <w:r>
              <w:rPr>
                <w:rFonts w:ascii="Arial" w:cs="Arial" w:eastAsia="Arial" w:hAnsi="Arial"/>
                <w:sz w:val="20"/>
                <w:szCs w:val="20"/>
                <w:color w:val="auto"/>
              </w:rPr>
              <w:t>10</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5140" w:type="dxa"/>
            <w:vAlign w:val="bottom"/>
            <w:gridSpan w:val="6"/>
          </w:tcPr>
          <w:p>
            <w:pPr>
              <w:ind w:left="760"/>
              <w:spacing w:after="0" w:line="216" w:lineRule="exact"/>
              <w:rPr>
                <w:sz w:val="20"/>
                <w:szCs w:val="20"/>
                <w:color w:val="auto"/>
              </w:rPr>
            </w:pPr>
            <w:r>
              <w:rPr>
                <w:rFonts w:ascii="Arial" w:cs="Arial" w:eastAsia="Arial" w:hAnsi="Arial"/>
                <w:sz w:val="20"/>
                <w:szCs w:val="20"/>
                <w:color w:val="auto"/>
              </w:rPr>
              <w:t>Using Company securities as collateral for loans</w:t>
            </w:r>
          </w:p>
        </w:tc>
        <w:tc>
          <w:tcPr>
            <w:tcW w:w="340" w:type="dxa"/>
            <w:vAlign w:val="bottom"/>
          </w:tcPr>
          <w:p>
            <w:pPr>
              <w:ind w:left="20"/>
              <w:spacing w:after="0" w:line="216" w:lineRule="exact"/>
              <w:rPr>
                <w:sz w:val="20"/>
                <w:szCs w:val="20"/>
                <w:color w:val="auto"/>
              </w:rPr>
            </w:pPr>
            <w:r>
              <w:rPr>
                <w:rFonts w:ascii="Arial" w:cs="Arial" w:eastAsia="Arial" w:hAnsi="Arial"/>
                <w:sz w:val="20"/>
                <w:szCs w:val="20"/>
                <w:color w:val="auto"/>
              </w:rPr>
              <w:t>10</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5140" w:type="dxa"/>
            <w:vAlign w:val="bottom"/>
            <w:gridSpan w:val="6"/>
          </w:tcPr>
          <w:p>
            <w:pPr>
              <w:ind w:left="760"/>
              <w:spacing w:after="0" w:line="216" w:lineRule="exact"/>
              <w:rPr>
                <w:sz w:val="20"/>
                <w:szCs w:val="20"/>
                <w:color w:val="auto"/>
              </w:rPr>
            </w:pPr>
            <w:r>
              <w:rPr>
                <w:rFonts w:ascii="Arial" w:cs="Arial" w:eastAsia="Arial" w:hAnsi="Arial"/>
                <w:sz w:val="20"/>
                <w:szCs w:val="20"/>
                <w:color w:val="auto"/>
              </w:rPr>
              <w:t>Holding Company securities in margin accounts</w:t>
            </w:r>
          </w:p>
        </w:tc>
        <w:tc>
          <w:tcPr>
            <w:tcW w:w="340" w:type="dxa"/>
            <w:vAlign w:val="bottom"/>
          </w:tcPr>
          <w:p>
            <w:pPr>
              <w:ind w:left="20"/>
              <w:spacing w:after="0" w:line="216" w:lineRule="exact"/>
              <w:rPr>
                <w:sz w:val="20"/>
                <w:szCs w:val="20"/>
                <w:color w:val="auto"/>
              </w:rPr>
            </w:pPr>
            <w:r>
              <w:rPr>
                <w:rFonts w:ascii="Arial" w:cs="Arial" w:eastAsia="Arial" w:hAnsi="Arial"/>
                <w:sz w:val="20"/>
                <w:szCs w:val="20"/>
                <w:color w:val="auto"/>
              </w:rPr>
              <w:t>10</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61"/>
        </w:trPr>
        <w:tc>
          <w:tcPr>
            <w:tcW w:w="3760" w:type="dxa"/>
            <w:vAlign w:val="bottom"/>
            <w:gridSpan w:val="4"/>
          </w:tcPr>
          <w:p>
            <w:pPr>
              <w:ind w:left="760"/>
              <w:spacing w:after="0"/>
              <w:rPr>
                <w:sz w:val="20"/>
                <w:szCs w:val="20"/>
                <w:color w:val="auto"/>
              </w:rPr>
            </w:pPr>
            <w:r>
              <w:rPr>
                <w:rFonts w:ascii="Arial" w:cs="Arial" w:eastAsia="Arial" w:hAnsi="Arial"/>
                <w:sz w:val="20"/>
                <w:szCs w:val="20"/>
                <w:color w:val="auto"/>
              </w:rPr>
              <w:t>Placing open orders with brokers</w:t>
            </w:r>
          </w:p>
        </w:tc>
        <w:tc>
          <w:tcPr>
            <w:tcW w:w="800" w:type="dxa"/>
            <w:vAlign w:val="bottom"/>
          </w:tcPr>
          <w:p>
            <w:pPr>
              <w:ind w:left="80"/>
              <w:spacing w:after="0"/>
              <w:rPr>
                <w:sz w:val="20"/>
                <w:szCs w:val="20"/>
                <w:color w:val="auto"/>
              </w:rPr>
            </w:pPr>
            <w:r>
              <w:rPr>
                <w:rFonts w:ascii="Arial" w:cs="Arial" w:eastAsia="Arial" w:hAnsi="Arial"/>
                <w:sz w:val="20"/>
                <w:szCs w:val="20"/>
                <w:color w:val="auto"/>
              </w:rPr>
              <w:t>10</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387"/>
        </w:trPr>
        <w:tc>
          <w:tcPr>
            <w:tcW w:w="2920" w:type="dxa"/>
            <w:vAlign w:val="bottom"/>
            <w:gridSpan w:val="2"/>
          </w:tcPr>
          <w:p>
            <w:pPr>
              <w:spacing w:after="0"/>
              <w:rPr>
                <w:sz w:val="20"/>
                <w:szCs w:val="20"/>
                <w:color w:val="auto"/>
              </w:rPr>
            </w:pPr>
            <w:r>
              <w:rPr>
                <w:rFonts w:ascii="Arial" w:cs="Arial" w:eastAsia="Arial" w:hAnsi="Arial"/>
                <w:sz w:val="20"/>
                <w:szCs w:val="20"/>
                <w:color w:val="auto"/>
              </w:rPr>
              <w:t>LIMITED EXCEPTIONS 11</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6840" w:type="dxa"/>
            <w:vAlign w:val="bottom"/>
            <w:gridSpan w:val="9"/>
          </w:tcPr>
          <w:p>
            <w:pPr>
              <w:ind w:left="760"/>
              <w:spacing w:after="0" w:line="216" w:lineRule="exact"/>
              <w:rPr>
                <w:sz w:val="20"/>
                <w:szCs w:val="20"/>
                <w:color w:val="auto"/>
              </w:rPr>
            </w:pPr>
            <w:r>
              <w:rPr>
                <w:rFonts w:ascii="Arial" w:cs="Arial" w:eastAsia="Arial" w:hAnsi="Arial"/>
                <w:sz w:val="20"/>
                <w:szCs w:val="20"/>
                <w:color w:val="auto"/>
                <w:w w:val="99"/>
              </w:rPr>
              <w:t>Transactions pursuant to a trading plan that complies with SEC rules</w:t>
            </w:r>
          </w:p>
        </w:tc>
        <w:tc>
          <w:tcPr>
            <w:tcW w:w="3920" w:type="dxa"/>
            <w:vAlign w:val="bottom"/>
          </w:tcPr>
          <w:p>
            <w:pPr>
              <w:ind w:left="80"/>
              <w:spacing w:after="0" w:line="216" w:lineRule="exact"/>
              <w:rPr>
                <w:sz w:val="20"/>
                <w:szCs w:val="20"/>
                <w:color w:val="auto"/>
              </w:rPr>
            </w:pPr>
            <w:r>
              <w:rPr>
                <w:rFonts w:ascii="Arial" w:cs="Arial" w:eastAsia="Arial" w:hAnsi="Arial"/>
                <w:sz w:val="20"/>
                <w:szCs w:val="20"/>
                <w:color w:val="auto"/>
              </w:rPr>
              <w:t>11</w:t>
            </w:r>
          </w:p>
        </w:tc>
        <w:tc>
          <w:tcPr>
            <w:tcW w:w="480" w:type="dxa"/>
            <w:vAlign w:val="bottom"/>
          </w:tcPr>
          <w:p>
            <w:pPr>
              <w:spacing w:after="0"/>
              <w:rPr>
                <w:sz w:val="18"/>
                <w:szCs w:val="18"/>
                <w:color w:val="auto"/>
              </w:rPr>
            </w:pPr>
          </w:p>
        </w:tc>
      </w:tr>
      <w:tr>
        <w:trPr>
          <w:trHeight w:val="216"/>
        </w:trPr>
        <w:tc>
          <w:tcPr>
            <w:tcW w:w="11240" w:type="dxa"/>
            <w:vAlign w:val="bottom"/>
            <w:gridSpan w:val="11"/>
          </w:tcPr>
          <w:p>
            <w:pPr>
              <w:ind w:left="760"/>
              <w:spacing w:after="0" w:line="216" w:lineRule="exact"/>
              <w:rPr>
                <w:sz w:val="20"/>
                <w:szCs w:val="20"/>
                <w:color w:val="auto"/>
              </w:rPr>
            </w:pPr>
            <w:r>
              <w:rPr>
                <w:rFonts w:ascii="Arial" w:cs="Arial" w:eastAsia="Arial" w:hAnsi="Arial"/>
                <w:sz w:val="20"/>
                <w:szCs w:val="20"/>
                <w:color w:val="auto"/>
              </w:rPr>
              <w:t>Receipt and vesting of stock options, restricted stock and stock appreciation rights   11</w:t>
            </w:r>
          </w:p>
        </w:tc>
      </w:tr>
      <w:tr>
        <w:trPr>
          <w:trHeight w:val="216"/>
        </w:trPr>
        <w:tc>
          <w:tcPr>
            <w:tcW w:w="3760" w:type="dxa"/>
            <w:vAlign w:val="bottom"/>
            <w:gridSpan w:val="4"/>
          </w:tcPr>
          <w:p>
            <w:pPr>
              <w:ind w:left="760"/>
              <w:spacing w:after="0" w:line="216" w:lineRule="exact"/>
              <w:rPr>
                <w:sz w:val="20"/>
                <w:szCs w:val="20"/>
                <w:color w:val="auto"/>
              </w:rPr>
            </w:pPr>
            <w:r>
              <w:rPr>
                <w:rFonts w:ascii="Arial" w:cs="Arial" w:eastAsia="Arial" w:hAnsi="Arial"/>
                <w:sz w:val="20"/>
                <w:szCs w:val="20"/>
                <w:color w:val="auto"/>
              </w:rPr>
              <w:t>Exercise of stock options for cash</w:t>
            </w:r>
          </w:p>
        </w:tc>
        <w:tc>
          <w:tcPr>
            <w:tcW w:w="800" w:type="dxa"/>
            <w:vAlign w:val="bottom"/>
          </w:tcPr>
          <w:p>
            <w:pPr>
              <w:ind w:left="80"/>
              <w:spacing w:after="0" w:line="216" w:lineRule="exact"/>
              <w:rPr>
                <w:sz w:val="20"/>
                <w:szCs w:val="20"/>
                <w:color w:val="auto"/>
              </w:rPr>
            </w:pPr>
            <w:r>
              <w:rPr>
                <w:rFonts w:ascii="Arial" w:cs="Arial" w:eastAsia="Arial" w:hAnsi="Arial"/>
                <w:sz w:val="20"/>
                <w:szCs w:val="20"/>
                <w:color w:val="auto"/>
              </w:rPr>
              <w:t>11</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5140" w:type="dxa"/>
            <w:vAlign w:val="bottom"/>
            <w:gridSpan w:val="6"/>
          </w:tcPr>
          <w:p>
            <w:pPr>
              <w:ind w:left="760"/>
              <w:spacing w:after="0" w:line="216" w:lineRule="exact"/>
              <w:rPr>
                <w:sz w:val="20"/>
                <w:szCs w:val="20"/>
                <w:color w:val="auto"/>
              </w:rPr>
            </w:pPr>
            <w:r>
              <w:rPr>
                <w:rFonts w:ascii="Arial" w:cs="Arial" w:eastAsia="Arial" w:hAnsi="Arial"/>
                <w:sz w:val="20"/>
                <w:szCs w:val="20"/>
                <w:color w:val="auto"/>
                <w:w w:val="98"/>
              </w:rPr>
              <w:t>Net share withholding or sell-to-cover transactions</w:t>
            </w:r>
          </w:p>
        </w:tc>
        <w:tc>
          <w:tcPr>
            <w:tcW w:w="340" w:type="dxa"/>
            <w:vAlign w:val="bottom"/>
          </w:tcPr>
          <w:p>
            <w:pPr>
              <w:spacing w:after="0"/>
              <w:rPr>
                <w:sz w:val="18"/>
                <w:szCs w:val="18"/>
                <w:color w:val="auto"/>
              </w:rPr>
            </w:pPr>
          </w:p>
        </w:tc>
        <w:tc>
          <w:tcPr>
            <w:tcW w:w="1220" w:type="dxa"/>
            <w:vAlign w:val="bottom"/>
          </w:tcPr>
          <w:p>
            <w:pPr>
              <w:jc w:val="right"/>
              <w:ind w:right="781"/>
              <w:spacing w:after="0" w:line="216" w:lineRule="exact"/>
              <w:rPr>
                <w:sz w:val="20"/>
                <w:szCs w:val="20"/>
                <w:color w:val="auto"/>
              </w:rPr>
            </w:pPr>
            <w:r>
              <w:rPr>
                <w:rFonts w:ascii="Arial" w:cs="Arial" w:eastAsia="Arial" w:hAnsi="Arial"/>
                <w:sz w:val="20"/>
                <w:szCs w:val="20"/>
                <w:color w:val="auto"/>
              </w:rPr>
              <w:t>11</w:t>
            </w: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5480" w:type="dxa"/>
            <w:vAlign w:val="bottom"/>
            <w:gridSpan w:val="7"/>
          </w:tcPr>
          <w:p>
            <w:pPr>
              <w:ind w:left="760"/>
              <w:spacing w:after="0" w:line="216" w:lineRule="exact"/>
              <w:rPr>
                <w:sz w:val="20"/>
                <w:szCs w:val="20"/>
                <w:color w:val="auto"/>
              </w:rPr>
            </w:pPr>
            <w:r>
              <w:rPr>
                <w:rFonts w:ascii="Arial" w:cs="Arial" w:eastAsia="Arial" w:hAnsi="Arial"/>
                <w:sz w:val="20"/>
                <w:szCs w:val="20"/>
                <w:color w:val="auto"/>
              </w:rPr>
              <w:t>Purchases from the employee stock purchase plan</w:t>
            </w:r>
          </w:p>
        </w:tc>
        <w:tc>
          <w:tcPr>
            <w:tcW w:w="1220" w:type="dxa"/>
            <w:vAlign w:val="bottom"/>
          </w:tcPr>
          <w:p>
            <w:pPr>
              <w:jc w:val="right"/>
              <w:ind w:right="781"/>
              <w:spacing w:after="0" w:line="216" w:lineRule="exact"/>
              <w:rPr>
                <w:sz w:val="20"/>
                <w:szCs w:val="20"/>
                <w:color w:val="auto"/>
              </w:rPr>
            </w:pPr>
            <w:r>
              <w:rPr>
                <w:rFonts w:ascii="Arial" w:cs="Arial" w:eastAsia="Arial" w:hAnsi="Arial"/>
                <w:sz w:val="20"/>
                <w:szCs w:val="20"/>
                <w:color w:val="auto"/>
              </w:rPr>
              <w:t>12</w:t>
            </w: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760" w:type="dxa"/>
            <w:vAlign w:val="bottom"/>
            <w:gridSpan w:val="4"/>
          </w:tcPr>
          <w:p>
            <w:pPr>
              <w:ind w:left="760"/>
              <w:spacing w:after="0" w:line="216" w:lineRule="exact"/>
              <w:rPr>
                <w:sz w:val="20"/>
                <w:szCs w:val="20"/>
                <w:color w:val="auto"/>
              </w:rPr>
            </w:pPr>
            <w:r>
              <w:rPr>
                <w:rFonts w:ascii="Arial" w:cs="Arial" w:eastAsia="Arial" w:hAnsi="Arial"/>
                <w:sz w:val="20"/>
                <w:szCs w:val="20"/>
                <w:color w:val="auto"/>
              </w:rPr>
              <w:t>Certain 401(k) plan transactions</w:t>
            </w:r>
          </w:p>
        </w:tc>
        <w:tc>
          <w:tcPr>
            <w:tcW w:w="800" w:type="dxa"/>
            <w:vAlign w:val="bottom"/>
          </w:tcPr>
          <w:p>
            <w:pPr>
              <w:ind w:left="80"/>
              <w:spacing w:after="0" w:line="216" w:lineRule="exact"/>
              <w:rPr>
                <w:sz w:val="20"/>
                <w:szCs w:val="20"/>
                <w:color w:val="auto"/>
              </w:rPr>
            </w:pPr>
            <w:r>
              <w:rPr>
                <w:rFonts w:ascii="Arial" w:cs="Arial" w:eastAsia="Arial" w:hAnsi="Arial"/>
                <w:sz w:val="20"/>
                <w:szCs w:val="20"/>
                <w:color w:val="auto"/>
              </w:rPr>
              <w:t>12</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61"/>
        </w:trPr>
        <w:tc>
          <w:tcPr>
            <w:tcW w:w="5480" w:type="dxa"/>
            <w:vAlign w:val="bottom"/>
            <w:gridSpan w:val="7"/>
          </w:tcPr>
          <w:p>
            <w:pPr>
              <w:ind w:left="760"/>
              <w:spacing w:after="0"/>
              <w:rPr>
                <w:sz w:val="20"/>
                <w:szCs w:val="20"/>
                <w:color w:val="auto"/>
              </w:rPr>
            </w:pPr>
            <w:r>
              <w:rPr>
                <w:rFonts w:ascii="Arial" w:cs="Arial" w:eastAsia="Arial" w:hAnsi="Arial"/>
                <w:sz w:val="20"/>
                <w:szCs w:val="20"/>
                <w:color w:val="auto"/>
              </w:rPr>
              <w:t>Stock splits, stock dividends and similar transactions</w:t>
            </w:r>
          </w:p>
        </w:tc>
        <w:tc>
          <w:tcPr>
            <w:tcW w:w="1220" w:type="dxa"/>
            <w:vAlign w:val="bottom"/>
          </w:tcPr>
          <w:p>
            <w:pPr>
              <w:jc w:val="right"/>
              <w:ind w:right="781"/>
              <w:spacing w:after="0"/>
              <w:rPr>
                <w:sz w:val="20"/>
                <w:szCs w:val="20"/>
                <w:color w:val="auto"/>
              </w:rPr>
            </w:pPr>
            <w:r>
              <w:rPr>
                <w:rFonts w:ascii="Arial" w:cs="Arial" w:eastAsia="Arial" w:hAnsi="Arial"/>
                <w:sz w:val="20"/>
                <w:szCs w:val="20"/>
                <w:color w:val="auto"/>
              </w:rPr>
              <w:t>12</w:t>
            </w:r>
          </w:p>
        </w:tc>
        <w:tc>
          <w:tcPr>
            <w:tcW w:w="1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1388"/>
        </w:trPr>
        <w:tc>
          <w:tcPr>
            <w:tcW w:w="17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w:t>
      </w: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00" w:type="dxa"/>
            <w:vAlign w:val="bottom"/>
            <w:tcBorders>
              <w:bottom w:val="single" w:sz="8" w:color="auto"/>
            </w:tcBorders>
          </w:tcPr>
          <w:p>
            <w:pPr>
              <w:spacing w:after="0" w:line="190" w:lineRule="exact"/>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431"/>
        </w:trPr>
        <w:tc>
          <w:tcPr>
            <w:tcW w:w="6980" w:type="dxa"/>
            <w:vAlign w:val="bottom"/>
            <w:gridSpan w:val="2"/>
          </w:tcPr>
          <w:p>
            <w:pPr>
              <w:ind w:left="760"/>
              <w:spacing w:after="0"/>
              <w:rPr>
                <w:sz w:val="20"/>
                <w:szCs w:val="20"/>
                <w:color w:val="auto"/>
              </w:rPr>
            </w:pPr>
            <w:r>
              <w:rPr>
                <w:rFonts w:ascii="Arial" w:cs="Arial" w:eastAsia="Arial" w:hAnsi="Arial"/>
                <w:sz w:val="20"/>
                <w:szCs w:val="20"/>
                <w:color w:val="auto"/>
                <w:w w:val="99"/>
              </w:rPr>
              <w:t>Laws of descent and distribution; changes in form of beneficial interest</w:t>
            </w:r>
          </w:p>
        </w:tc>
        <w:tc>
          <w:tcPr>
            <w:tcW w:w="3860" w:type="dxa"/>
            <w:vAlign w:val="bottom"/>
          </w:tcPr>
          <w:p>
            <w:pPr>
              <w:jc w:val="right"/>
              <w:ind w:right="3161"/>
              <w:spacing w:after="0"/>
              <w:rPr>
                <w:sz w:val="20"/>
                <w:szCs w:val="20"/>
                <w:color w:val="auto"/>
              </w:rPr>
            </w:pPr>
            <w:r>
              <w:rPr>
                <w:rFonts w:ascii="Arial" w:cs="Arial" w:eastAsia="Arial" w:hAnsi="Arial"/>
                <w:sz w:val="20"/>
                <w:szCs w:val="20"/>
                <w:color w:val="auto"/>
              </w:rPr>
              <w:t>12</w:t>
            </w:r>
          </w:p>
        </w:tc>
        <w:tc>
          <w:tcPr>
            <w:tcW w:w="400" w:type="dxa"/>
            <w:vAlign w:val="bottom"/>
          </w:tcPr>
          <w:p>
            <w:pPr>
              <w:spacing w:after="0"/>
              <w:rPr>
                <w:sz w:val="24"/>
                <w:szCs w:val="24"/>
                <w:color w:val="auto"/>
              </w:rPr>
            </w:pPr>
          </w:p>
        </w:tc>
      </w:tr>
      <w:tr>
        <w:trPr>
          <w:trHeight w:val="216"/>
        </w:trPr>
        <w:tc>
          <w:tcPr>
            <w:tcW w:w="6980" w:type="dxa"/>
            <w:vAlign w:val="bottom"/>
            <w:gridSpan w:val="2"/>
          </w:tcPr>
          <w:p>
            <w:pPr>
              <w:ind w:left="760"/>
              <w:spacing w:after="0" w:line="216" w:lineRule="exact"/>
              <w:rPr>
                <w:sz w:val="20"/>
                <w:szCs w:val="20"/>
                <w:color w:val="auto"/>
              </w:rPr>
            </w:pPr>
            <w:r>
              <w:rPr>
                <w:rFonts w:ascii="Arial" w:cs="Arial" w:eastAsia="Arial" w:hAnsi="Arial"/>
                <w:sz w:val="20"/>
                <w:szCs w:val="20"/>
                <w:color w:val="auto"/>
              </w:rPr>
              <w:t>Change in form of ownership 12</w:t>
            </w:r>
          </w:p>
        </w:tc>
        <w:tc>
          <w:tcPr>
            <w:tcW w:w="38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61"/>
        </w:trPr>
        <w:tc>
          <w:tcPr>
            <w:tcW w:w="2920" w:type="dxa"/>
            <w:vAlign w:val="bottom"/>
          </w:tcPr>
          <w:p>
            <w:pPr>
              <w:ind w:left="760"/>
              <w:spacing w:after="0"/>
              <w:rPr>
                <w:sz w:val="20"/>
                <w:szCs w:val="20"/>
                <w:color w:val="auto"/>
              </w:rPr>
            </w:pPr>
            <w:r>
              <w:rPr>
                <w:rFonts w:ascii="Arial" w:cs="Arial" w:eastAsia="Arial" w:hAnsi="Arial"/>
                <w:sz w:val="20"/>
                <w:szCs w:val="20"/>
                <w:color w:val="auto"/>
              </w:rPr>
              <w:t>Other exceptions   12</w:t>
            </w:r>
          </w:p>
        </w:tc>
        <w:tc>
          <w:tcPr>
            <w:tcW w:w="40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432"/>
        </w:trPr>
        <w:tc>
          <w:tcPr>
            <w:tcW w:w="6980" w:type="dxa"/>
            <w:vAlign w:val="bottom"/>
            <w:gridSpan w:val="2"/>
          </w:tcPr>
          <w:p>
            <w:pPr>
              <w:spacing w:after="0"/>
              <w:rPr>
                <w:sz w:val="20"/>
                <w:szCs w:val="20"/>
                <w:color w:val="auto"/>
              </w:rPr>
            </w:pPr>
            <w:r>
              <w:rPr>
                <w:rFonts w:ascii="Arial" w:cs="Arial" w:eastAsia="Arial" w:hAnsi="Arial"/>
                <w:sz w:val="20"/>
                <w:szCs w:val="20"/>
                <w:color w:val="auto"/>
              </w:rPr>
              <w:t>COMPLIANCE WITH SECTION 16 OF THE SECURITIES EXCHANGE ACT</w:t>
            </w:r>
          </w:p>
        </w:tc>
        <w:tc>
          <w:tcPr>
            <w:tcW w:w="3860" w:type="dxa"/>
            <w:vAlign w:val="bottom"/>
          </w:tcPr>
          <w:p>
            <w:pPr>
              <w:jc w:val="right"/>
              <w:ind w:right="3481"/>
              <w:spacing w:after="0"/>
              <w:rPr>
                <w:sz w:val="20"/>
                <w:szCs w:val="20"/>
                <w:color w:val="auto"/>
              </w:rPr>
            </w:pPr>
            <w:r>
              <w:rPr>
                <w:rFonts w:ascii="Arial" w:cs="Arial" w:eastAsia="Arial" w:hAnsi="Arial"/>
                <w:sz w:val="20"/>
                <w:szCs w:val="20"/>
                <w:color w:val="auto"/>
              </w:rPr>
              <w:t>13</w:t>
            </w:r>
          </w:p>
        </w:tc>
        <w:tc>
          <w:tcPr>
            <w:tcW w:w="400" w:type="dxa"/>
            <w:vAlign w:val="bottom"/>
          </w:tcPr>
          <w:p>
            <w:pPr>
              <w:spacing w:after="0"/>
              <w:rPr>
                <w:sz w:val="24"/>
                <w:szCs w:val="24"/>
                <w:color w:val="auto"/>
              </w:rPr>
            </w:pPr>
          </w:p>
        </w:tc>
      </w:tr>
      <w:tr>
        <w:trPr>
          <w:trHeight w:val="405"/>
        </w:trPr>
        <w:tc>
          <w:tcPr>
            <w:tcW w:w="2920" w:type="dxa"/>
            <w:vAlign w:val="bottom"/>
          </w:tcPr>
          <w:p>
            <w:pPr>
              <w:spacing w:after="0"/>
              <w:rPr>
                <w:sz w:val="20"/>
                <w:szCs w:val="20"/>
                <w:color w:val="auto"/>
              </w:rPr>
            </w:pPr>
            <w:r>
              <w:rPr>
                <w:rFonts w:ascii="Arial" w:cs="Arial" w:eastAsia="Arial" w:hAnsi="Arial"/>
                <w:sz w:val="20"/>
                <w:szCs w:val="20"/>
                <w:color w:val="auto"/>
              </w:rPr>
              <w:t>ADDITIONAL INFORMATION</w:t>
            </w:r>
          </w:p>
        </w:tc>
        <w:tc>
          <w:tcPr>
            <w:tcW w:w="4060" w:type="dxa"/>
            <w:vAlign w:val="bottom"/>
          </w:tcPr>
          <w:p>
            <w:pPr>
              <w:jc w:val="right"/>
              <w:ind w:right="3581"/>
              <w:spacing w:after="0"/>
              <w:rPr>
                <w:sz w:val="20"/>
                <w:szCs w:val="20"/>
                <w:color w:val="auto"/>
              </w:rPr>
            </w:pPr>
            <w:r>
              <w:rPr>
                <w:rFonts w:ascii="Arial" w:cs="Arial" w:eastAsia="Arial" w:hAnsi="Arial"/>
                <w:sz w:val="20"/>
                <w:szCs w:val="20"/>
                <w:color w:val="auto"/>
              </w:rPr>
              <w:t>14</w:t>
            </w:r>
          </w:p>
        </w:tc>
        <w:tc>
          <w:tcPr>
            <w:tcW w:w="38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ind w:left="760"/>
        <w:spacing w:after="0" w:line="237" w:lineRule="auto"/>
        <w:tabs>
          <w:tab w:leader="none" w:pos="3820" w:val="left"/>
        </w:tabs>
        <w:rPr>
          <w:sz w:val="20"/>
          <w:szCs w:val="20"/>
          <w:color w:val="auto"/>
        </w:rPr>
      </w:pPr>
      <w:r>
        <w:rPr>
          <w:rFonts w:ascii="Arial" w:cs="Arial" w:eastAsia="Arial" w:hAnsi="Arial"/>
          <w:sz w:val="20"/>
          <w:szCs w:val="20"/>
          <w:color w:val="auto"/>
        </w:rPr>
        <w:t>Protected Activity Not Prohibited</w:t>
      </w:r>
      <w:r>
        <w:rPr>
          <w:sz w:val="20"/>
          <w:szCs w:val="20"/>
          <w:color w:val="auto"/>
        </w:rPr>
        <w:tab/>
      </w:r>
      <w:r>
        <w:rPr>
          <w:rFonts w:ascii="Arial" w:cs="Arial" w:eastAsia="Arial" w:hAnsi="Arial"/>
          <w:sz w:val="19"/>
          <w:szCs w:val="19"/>
          <w:color w:val="auto"/>
        </w:rPr>
        <w:t>14</w:t>
      </w:r>
    </w:p>
    <w:p>
      <w:pPr>
        <w:ind w:left="760"/>
        <w:spacing w:after="0"/>
        <w:rPr>
          <w:sz w:val="20"/>
          <w:szCs w:val="20"/>
          <w:color w:val="auto"/>
        </w:rPr>
      </w:pPr>
      <w:r>
        <w:rPr>
          <w:rFonts w:ascii="Arial" w:cs="Arial" w:eastAsia="Arial" w:hAnsi="Arial"/>
          <w:sz w:val="20"/>
          <w:szCs w:val="20"/>
          <w:color w:val="auto"/>
        </w:rPr>
        <w:t>Amendments  14</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EXHIBIT A (Requirements for trading plans)</w:t>
      </w:r>
    </w:p>
    <w:p>
      <w:pPr>
        <w:spacing w:after="0" w:line="200" w:lineRule="exact"/>
        <w:rPr>
          <w:sz w:val="20"/>
          <w:szCs w:val="20"/>
          <w:color w:val="auto"/>
        </w:rPr>
      </w:pP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8" w:name="page179"/>
    <w:bookmarkEnd w:id="178"/>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INTRODUCTION</w:t>
      </w:r>
    </w:p>
    <w:p>
      <w:pPr>
        <w:spacing w:after="0" w:line="204" w:lineRule="exact"/>
        <w:rPr>
          <w:sz w:val="20"/>
          <w:szCs w:val="20"/>
          <w:color w:val="auto"/>
        </w:rPr>
      </w:pPr>
    </w:p>
    <w:p>
      <w:pPr>
        <w:jc w:val="both"/>
        <w:ind w:right="20" w:firstLine="749"/>
        <w:spacing w:after="0" w:line="241" w:lineRule="auto"/>
        <w:rPr>
          <w:sz w:val="20"/>
          <w:szCs w:val="20"/>
          <w:color w:val="auto"/>
        </w:rPr>
      </w:pPr>
      <w:r>
        <w:rPr>
          <w:rFonts w:ascii="Arial" w:cs="Arial" w:eastAsia="Arial" w:hAnsi="Arial"/>
          <w:sz w:val="20"/>
          <w:szCs w:val="20"/>
          <w:color w:val="auto"/>
        </w:rPr>
        <w:t>Ambarella, Inc. (together with any subsidiaries, collectively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adopted this Insider Trading Policy (the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to help you comply with the federal and state securities laws and regulations that govern trading in securities and to help the Company minimize its own legal and reputational risk.</w:t>
      </w:r>
    </w:p>
    <w:p>
      <w:pPr>
        <w:spacing w:after="0" w:line="171"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Officer</w:t>
      </w:r>
    </w:p>
    <w:p>
      <w:pPr>
        <w:spacing w:after="0" w:line="204"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20"/>
          <w:szCs w:val="20"/>
          <w:color w:val="auto"/>
        </w:rPr>
        <w:t>Please direct any questions, requests or reports as to any of the matters discussed in this Policy to the Company’s General Counsel (the “</w:t>
      </w:r>
      <w:r>
        <w:rPr>
          <w:rFonts w:ascii="Arial" w:cs="Arial" w:eastAsia="Arial" w:hAnsi="Arial"/>
          <w:sz w:val="20"/>
          <w:szCs w:val="20"/>
          <w:b w:val="1"/>
          <w:bCs w:val="1"/>
          <w:i w:val="1"/>
          <w:iCs w:val="1"/>
          <w:color w:val="auto"/>
        </w:rPr>
        <w:t>Compliance Officer</w:t>
      </w:r>
      <w:r>
        <w:rPr>
          <w:rFonts w:ascii="Arial" w:cs="Arial" w:eastAsia="Arial" w:hAnsi="Arial"/>
          <w:sz w:val="20"/>
          <w:szCs w:val="20"/>
          <w:color w:val="auto"/>
        </w:rPr>
        <w:t>”). The Compliance Officer is generally responsible for the administration of this Policy. The Compliance Officer may select others to assist with the execution of his or her duties.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violations</w:t>
      </w:r>
    </w:p>
    <w:p>
      <w:pPr>
        <w:spacing w:after="0" w:line="204" w:lineRule="exact"/>
        <w:rPr>
          <w:sz w:val="20"/>
          <w:szCs w:val="20"/>
          <w:color w:val="auto"/>
        </w:rPr>
      </w:pPr>
    </w:p>
    <w:p>
      <w:pPr>
        <w:jc w:val="both"/>
        <w:ind w:right="20" w:firstLine="374"/>
        <w:spacing w:after="0" w:line="241" w:lineRule="auto"/>
        <w:rPr>
          <w:sz w:val="20"/>
          <w:szCs w:val="20"/>
          <w:color w:val="auto"/>
        </w:rPr>
      </w:pPr>
      <w:r>
        <w:rPr>
          <w:rFonts w:ascii="Arial" w:cs="Arial" w:eastAsia="Arial" w:hAnsi="Arial"/>
          <w:sz w:val="20"/>
          <w:szCs w:val="20"/>
          <w:color w:val="auto"/>
        </w:rPr>
        <w:t>It is your responsibility to help enforce this Policy. You should be alert to possible violations and promptly report violations or suspected violations of this Policy to the Compliance Officer, or, if the Compliance Officer is implicated in your report, then you should report it in accordance with the Company’s Whistleblower Policy.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Personal responsibility</w:t>
      </w:r>
    </w:p>
    <w:p>
      <w:pPr>
        <w:spacing w:after="0" w:line="204"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20"/>
          <w:szCs w:val="20"/>
          <w:color w:val="auto"/>
        </w:rPr>
        <w:t>The ultimate responsibility for complying with this Policy and applicable laws and regulations rests with you. You should use your best judgment at all times and consult with your legal and financial advisors, as needed. We advise you to seek assistance if you have any questions at all. The rules relating to insider trading can be complex, and a violation of insider trading laws can carry severe consequences.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Breach and disciplinary effects</w:t>
      </w:r>
    </w:p>
    <w:p>
      <w:pPr>
        <w:spacing w:after="0" w:line="204"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The provisions of this Policy are binding on the employees of Ambarella, Inc. and its worldwide subsidiaries and are considered an addition to any applicable disciplinary code.</w:t>
      </w: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54" w:lineRule="exact"/>
        <w:rPr>
          <w:sz w:val="20"/>
          <w:szCs w:val="20"/>
          <w:color w:val="auto"/>
        </w:rPr>
      </w:pPr>
    </w:p>
    <w:p>
      <w:pPr>
        <w:ind w:right="2740" w:firstLine="2747"/>
        <w:spacing w:after="0" w:line="444" w:lineRule="auto"/>
        <w:rPr>
          <w:sz w:val="20"/>
          <w:szCs w:val="20"/>
          <w:color w:val="auto"/>
        </w:rPr>
      </w:pPr>
      <w:r>
        <w:rPr>
          <w:rFonts w:ascii="Arial" w:cs="Arial" w:eastAsia="Arial" w:hAnsi="Arial"/>
          <w:sz w:val="20"/>
          <w:szCs w:val="20"/>
          <w:b w:val="1"/>
          <w:bCs w:val="1"/>
          <w:color w:val="auto"/>
        </w:rPr>
        <w:t>PERSONS AND TRANSACTIONS COVERED BY THIS POLICY Persons covered by this Policy</w:t>
      </w:r>
    </w:p>
    <w:p>
      <w:pPr>
        <w:spacing w:after="0" w:line="2"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This Policy applies to all directors, officers, employees, consultants, contractors and advisors of the Company. References in this Policy to “you” (as well as general references to directors, officers, employees, consultants, contractors and advisors of the Company) should also be understood to include members of your immediate family, persons with whom you share a household, persons that are your economic dependents and any other individuals or entities whose transactions in securities you influence, direct or control (including, for example, a venture or other investment fund, if you influence, direct or control transactions by the fund). You are responsible for making sure that these other individuals and entities comply with this Policy.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Types of transactions covered by this Policy</w:t>
      </w:r>
    </w:p>
    <w:p>
      <w:pPr>
        <w:spacing w:after="0" w:line="189" w:lineRule="exact"/>
        <w:rPr>
          <w:sz w:val="20"/>
          <w:szCs w:val="20"/>
          <w:color w:val="auto"/>
        </w:rPr>
      </w:pPr>
    </w:p>
    <w:p>
      <w:pPr>
        <w:jc w:val="both"/>
        <w:ind w:firstLine="374"/>
        <w:spacing w:after="0" w:line="222" w:lineRule="exact"/>
        <w:rPr>
          <w:sz w:val="20"/>
          <w:szCs w:val="20"/>
          <w:color w:val="auto"/>
        </w:rPr>
      </w:pPr>
      <w:r>
        <w:rPr>
          <w:rFonts w:ascii="Arial" w:cs="Arial" w:eastAsia="Arial" w:hAnsi="Arial"/>
          <w:sz w:val="20"/>
          <w:szCs w:val="20"/>
          <w:color w:val="auto"/>
        </w:rPr>
        <w:t>Except as discussed in the section entitled “</w:t>
      </w:r>
      <w:r>
        <w:rPr>
          <w:rFonts w:ascii="Arial" w:cs="Arial" w:eastAsia="Arial" w:hAnsi="Arial"/>
          <w:sz w:val="20"/>
          <w:szCs w:val="20"/>
          <w:b w:val="1"/>
          <w:bCs w:val="1"/>
          <w:color w:val="auto"/>
        </w:rPr>
        <w:t>Limited Exceptions</w:t>
      </w:r>
      <w:r>
        <w:rPr>
          <w:rFonts w:ascii="Arial" w:cs="Arial" w:eastAsia="Arial" w:hAnsi="Arial"/>
          <w:sz w:val="20"/>
          <w:szCs w:val="20"/>
          <w:color w:val="auto"/>
        </w:rPr>
        <w:t xml:space="preserve">”, this Policy applies to </w:t>
      </w:r>
      <w:r>
        <w:rPr>
          <w:rFonts w:ascii="Arial" w:cs="Arial" w:eastAsia="Arial" w:hAnsi="Arial"/>
          <w:sz w:val="20"/>
          <w:szCs w:val="20"/>
          <w:i w:val="1"/>
          <w:iCs w:val="1"/>
          <w:color w:val="auto"/>
        </w:rPr>
        <w:t>all</w:t>
      </w:r>
      <w:r>
        <w:rPr>
          <w:rFonts w:ascii="Arial" w:cs="Arial" w:eastAsia="Arial" w:hAnsi="Arial"/>
          <w:sz w:val="20"/>
          <w:szCs w:val="20"/>
          <w:color w:val="auto"/>
        </w:rPr>
        <w:t xml:space="preserve"> transactions </w:t>
      </w:r>
      <w:r>
        <w:rPr>
          <w:rFonts w:ascii="Arial" w:cs="Arial" w:eastAsia="Arial" w:hAnsi="Arial"/>
          <w:sz w:val="20"/>
          <w:szCs w:val="20"/>
          <w:i w:val="1"/>
          <w:iCs w:val="1"/>
          <w:color w:val="auto"/>
        </w:rPr>
        <w:t>involving</w:t>
      </w:r>
      <w:r>
        <w:rPr>
          <w:rFonts w:ascii="Arial" w:cs="Arial" w:eastAsia="Arial" w:hAnsi="Arial"/>
          <w:sz w:val="20"/>
          <w:szCs w:val="20"/>
          <w:color w:val="auto"/>
        </w:rPr>
        <w:t xml:space="preserve"> the securities of the Company or the securities of other companies as to which you possess material nonpublic information obtained in the course of your service with the Company. This Policy therefore applies to purchases, sales, loans and other transfers of common stock, options, warrants, preferred stock, debt securities (such as debentures, bonds and notes) and other securities, and any offer to engage in the foregoing transactions. This Policy also applies to any arrangements that affect economic exposure to changes in the prices of these securities and any offer to engage in such transactions. These arrangements may include, among other things, transactions in derivative securities (such as exchange</w:t>
      </w:r>
      <w:r>
        <w:rPr>
          <w:rFonts w:ascii="MS PGothic" w:cs="MS PGothic" w:eastAsia="MS PGothic" w:hAnsi="MS PGothic"/>
          <w:sz w:val="20"/>
          <w:szCs w:val="20"/>
          <w:color w:val="auto"/>
        </w:rPr>
        <w:t>‑</w:t>
      </w:r>
      <w:r>
        <w:rPr>
          <w:rFonts w:ascii="Arial" w:cs="Arial" w:eastAsia="Arial" w:hAnsi="Arial"/>
          <w:sz w:val="20"/>
          <w:szCs w:val="20"/>
          <w:color w:val="auto"/>
        </w:rPr>
        <w:t>traded put or call options, swaps, caps and collars), hedging and pledging transactions, short sales and certain decisions with respect to participation in benefit plans. This Policy further applies to any disposition in the form of a gift of any securities of the Company and any distribution to holders of interests in an entity if the entity is subject to this Policy. You should note that there are no exceptions from insider trading laws or this Policy based on the size of the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Responsibilities regarding the nonpublic information of other companies</w:t>
      </w:r>
    </w:p>
    <w:p>
      <w:pPr>
        <w:spacing w:after="0" w:line="177"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20"/>
          <w:szCs w:val="20"/>
          <w:color w:val="auto"/>
        </w:rPr>
        <w:t>Material nonpublic information about another company that you learn through your service with the Company is subject to the same restrictions around disclosure and trading and you cannot use that information to trade securities. Any such action will be deemed a violation of this Policy. .</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Applicability of this Policy after your departure</w:t>
      </w:r>
    </w:p>
    <w:p>
      <w:pPr>
        <w:spacing w:after="0" w:line="191"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20"/>
          <w:szCs w:val="20"/>
          <w:color w:val="auto"/>
        </w:rPr>
        <w:t xml:space="preserve">You are expected to comply with this Policy until such time as you are no longer affiliated with the Company </w:t>
      </w:r>
      <w:r>
        <w:rPr>
          <w:rFonts w:ascii="Arial" w:cs="Arial" w:eastAsia="Arial" w:hAnsi="Arial"/>
          <w:sz w:val="20"/>
          <w:szCs w:val="20"/>
          <w:i w:val="1"/>
          <w:iCs w:val="1"/>
          <w:color w:val="auto"/>
        </w:rPr>
        <w:t>and</w:t>
      </w:r>
      <w:r>
        <w:rPr>
          <w:rFonts w:ascii="Arial" w:cs="Arial" w:eastAsia="Arial" w:hAnsi="Arial"/>
          <w:sz w:val="20"/>
          <w:szCs w:val="20"/>
          <w:color w:val="auto"/>
        </w:rPr>
        <w:t xml:space="preserve"> you no longer possess any material nonpublic information subject to this Policy. In addition, if you are subject to a trading blackout under this Policy at the time you cease to be affiliated with the Company, you are expected to abide by the applicable trading restrictions until at least the end of the relevant blackout period.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exceptions based on personal circumstances</w:t>
      </w:r>
    </w:p>
    <w:p>
      <w:pPr>
        <w:spacing w:after="0" w:line="204"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20"/>
          <w:szCs w:val="20"/>
          <w:color w:val="auto"/>
        </w:rPr>
        <w:t>There may be instances where you suffer financial harm or other hardship or are otherwise required to forego a planned transaction because of the restrictions imposed by this Policy. Personal financial emergency or other personal circumstances are not mitigating factors under securities laws and will not excuse a failure to comply with this Policy.</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MATERIAL NONPUBLIC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“Material” information</w:t>
      </w:r>
    </w:p>
    <w:p>
      <w:pPr>
        <w:spacing w:after="0" w:line="204"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20"/>
          <w:szCs w:val="20"/>
          <w:color w:val="auto"/>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spacing w:after="0" w:line="172"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It is not possible to define all categories of “material” information. However, some examples of information that would often be regarded as material include, but are not limited to:</w:t>
      </w:r>
    </w:p>
    <w:p>
      <w:pPr>
        <w:spacing w:after="0" w:line="47" w:lineRule="exact"/>
        <w:rPr>
          <w:sz w:val="20"/>
          <w:szCs w:val="20"/>
          <w:color w:val="auto"/>
        </w:rPr>
      </w:pPr>
    </w:p>
    <w:p>
      <w:pPr>
        <w:ind w:left="1500" w:hanging="369"/>
        <w:spacing w:after="0" w:line="256" w:lineRule="auto"/>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results, key metrics, financial condition, earnings pre-announcements, guidance, projections or forecasts, particularly if inconsistent with the expectations of the investment community;</w:t>
      </w:r>
    </w:p>
    <w:p>
      <w:pPr>
        <w:spacing w:after="0" w:line="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Restatements of financial results, or material impairments, write-offs or restructurings;</w:t>
      </w:r>
    </w:p>
    <w:p>
      <w:pPr>
        <w:spacing w:after="0" w:line="106"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independent auditors, or notification that the Company may no longer rely on an audit report;</w:t>
      </w:r>
    </w:p>
    <w:p>
      <w:pPr>
        <w:spacing w:after="0" w:line="106"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Business plans or budgets;</w:t>
      </w:r>
    </w:p>
    <w:p>
      <w:pPr>
        <w:spacing w:after="0" w:line="106" w:lineRule="exact"/>
        <w:rPr>
          <w:rFonts w:ascii="Times New Roman" w:cs="Times New Roman" w:eastAsia="Times New Roman" w:hAnsi="Times New Roman"/>
          <w:sz w:val="20"/>
          <w:szCs w:val="20"/>
          <w:color w:val="auto"/>
        </w:rPr>
      </w:pPr>
    </w:p>
    <w:p>
      <w:pPr>
        <w:ind w:left="1500" w:hanging="369"/>
        <w:spacing w:after="0" w:line="256" w:lineRule="auto"/>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Creation of significant financial obligations, or any significant default under or acceleration of any financial obligation;</w:t>
      </w:r>
    </w:p>
    <w:p>
      <w:pPr>
        <w:spacing w:after="0" w:line="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Impending bankruptcy or financial liquidity problems;</w:t>
      </w:r>
    </w:p>
    <w:p>
      <w:pPr>
        <w:spacing w:after="0" w:line="106" w:lineRule="exact"/>
        <w:rPr>
          <w:rFonts w:ascii="Times New Roman" w:cs="Times New Roman" w:eastAsia="Times New Roman" w:hAnsi="Times New Roman"/>
          <w:sz w:val="20"/>
          <w:szCs w:val="20"/>
          <w:color w:val="auto"/>
        </w:rPr>
      </w:pPr>
    </w:p>
    <w:p>
      <w:pPr>
        <w:jc w:val="both"/>
        <w:ind w:left="1500" w:hanging="369"/>
        <w:spacing w:after="0" w:line="241" w:lineRule="auto"/>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62" w:lineRule="exact"/>
        <w:rPr>
          <w:rFonts w:ascii="Times New Roman" w:cs="Times New Roman" w:eastAsia="Times New Roman" w:hAnsi="Times New Roman"/>
          <w:sz w:val="20"/>
          <w:szCs w:val="20"/>
          <w:color w:val="auto"/>
        </w:rPr>
      </w:pPr>
    </w:p>
    <w:p>
      <w:pPr>
        <w:ind w:left="1500" w:hanging="369"/>
        <w:spacing w:after="0" w:line="256" w:lineRule="auto"/>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Product introductions, modifications, defects or recalls or significant pricing changes or other product announcements of a significant nature;</w:t>
      </w:r>
    </w:p>
    <w:p>
      <w:pPr>
        <w:spacing w:after="0" w:line="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developments in research and development or relating to intellectual property;</w:t>
      </w:r>
    </w:p>
    <w:p>
      <w:pPr>
        <w:spacing w:after="0" w:line="106" w:lineRule="exact"/>
        <w:rPr>
          <w:rFonts w:ascii="Times New Roman" w:cs="Times New Roman" w:eastAsia="Times New Roman" w:hAnsi="Times New Roman"/>
          <w:sz w:val="20"/>
          <w:szCs w:val="20"/>
          <w:color w:val="auto"/>
        </w:rPr>
      </w:pPr>
    </w:p>
    <w:p>
      <w:pPr>
        <w:ind w:left="1500" w:hanging="369"/>
        <w:spacing w:after="0" w:line="256" w:lineRule="auto"/>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legal or regulatory developments, whether positive or negative, actual or threatened, including litigation or resolving litigation;</w:t>
      </w:r>
    </w:p>
    <w:p>
      <w:pPr>
        <w:spacing w:after="0" w:line="48" w:lineRule="exact"/>
        <w:rPr>
          <w:rFonts w:ascii="Times New Roman" w:cs="Times New Roman" w:eastAsia="Times New Roman" w:hAnsi="Times New Roman"/>
          <w:sz w:val="20"/>
          <w:szCs w:val="20"/>
          <w:color w:val="auto"/>
        </w:rPr>
      </w:pPr>
    </w:p>
    <w:p>
      <w:pPr>
        <w:jc w:val="both"/>
        <w:ind w:left="1500" w:hanging="369"/>
        <w:spacing w:after="0" w:line="241" w:lineRule="auto"/>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62" w:lineRule="exact"/>
        <w:rPr>
          <w:rFonts w:ascii="Times New Roman" w:cs="Times New Roman" w:eastAsia="Times New Roman" w:hAnsi="Times New Roman"/>
          <w:sz w:val="20"/>
          <w:szCs w:val="20"/>
          <w:color w:val="auto"/>
        </w:rPr>
      </w:pPr>
    </w:p>
    <w:p>
      <w:pPr>
        <w:jc w:val="both"/>
        <w:ind w:left="1500" w:hanging="369"/>
        <w:spacing w:after="0" w:line="241" w:lineRule="auto"/>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62"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Major personnel changes, such as changes in senior management or lay-offs;</w:t>
      </w:r>
    </w:p>
    <w:p>
      <w:pPr>
        <w:spacing w:after="0" w:line="106"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Data breaches or other cybersecurity events;</w:t>
      </w:r>
    </w:p>
    <w:p>
      <w:pPr>
        <w:spacing w:after="0" w:line="106"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Updates regarding any prior material disclosure that has materially changed; and</w:t>
      </w:r>
    </w:p>
    <w:p>
      <w:pPr>
        <w:spacing w:after="0" w:line="3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ind w:left="1500" w:hanging="369"/>
        <w:spacing w:after="0"/>
        <w:tabs>
          <w:tab w:leader="none" w:pos="1500" w:val="left"/>
        </w:tabs>
        <w:numPr>
          <w:ilvl w:val="0"/>
          <w:numId w:val="60"/>
        </w:numPr>
        <w:rPr>
          <w:rFonts w:ascii="Times New Roman" w:cs="Times New Roman" w:eastAsia="Times New Roman" w:hAnsi="Times New Roman"/>
          <w:sz w:val="20"/>
          <w:szCs w:val="20"/>
          <w:color w:val="auto"/>
        </w:rPr>
      </w:pPr>
      <w:r>
        <w:rPr>
          <w:rFonts w:ascii="Arial" w:cs="Arial" w:eastAsia="Arial" w:hAnsi="Arial"/>
          <w:sz w:val="20"/>
          <w:szCs w:val="20"/>
          <w:color w:val="auto"/>
        </w:rPr>
        <w:t>The existence of a special blackout period.</w:t>
      </w:r>
    </w:p>
    <w:p>
      <w:pPr>
        <w:spacing w:after="0" w:line="215"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20"/>
          <w:szCs w:val="20"/>
          <w:color w:val="auto"/>
        </w:rPr>
        <w:t>If you have any questions as to whether information should be considered “material”, you should consult with the Compliance Officer. In general, it is advisable to resolve any close questions as to the materiality of any information by assuming that the information is material.</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“Nonpublic” information</w:t>
      </w:r>
    </w:p>
    <w:p>
      <w:pPr>
        <w:spacing w:after="0" w:line="204"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 xml:space="preserve">Information is considered nonpublic if the information is not generally known or made available to the public. Even if information is widely known throughout the Company, it may still be nonpublic. As a general rule, information should be considered nonpublic until at least two </w:t>
      </w:r>
      <w:r>
        <w:rPr>
          <w:rFonts w:ascii="Arial" w:cs="Arial" w:eastAsia="Arial" w:hAnsi="Arial"/>
          <w:sz w:val="20"/>
          <w:szCs w:val="20"/>
          <w:b w:val="1"/>
          <w:bCs w:val="1"/>
          <w:i w:val="1"/>
          <w:iCs w:val="1"/>
          <w:color w:val="auto"/>
        </w:rPr>
        <w:t>full trading days</w:t>
      </w:r>
      <w:r>
        <w:rPr>
          <w:rFonts w:ascii="Arial" w:cs="Arial" w:eastAsia="Arial" w:hAnsi="Arial"/>
          <w:sz w:val="20"/>
          <w:szCs w:val="20"/>
          <w:color w:val="auto"/>
        </w:rPr>
        <w:t xml:space="preserve"> have elapsed after the information is broadly distributed to the public in a press release, a public filing with the Securities and Exchange Commission (the “</w:t>
      </w:r>
      <w:r>
        <w:rPr>
          <w:rFonts w:ascii="Arial" w:cs="Arial" w:eastAsia="Arial" w:hAnsi="Arial"/>
          <w:sz w:val="20"/>
          <w:szCs w:val="20"/>
          <w:b w:val="1"/>
          <w:bCs w:val="1"/>
          <w:i w:val="1"/>
          <w:iCs w:val="1"/>
          <w:color w:val="auto"/>
        </w:rPr>
        <w:t>SEC</w:t>
      </w:r>
      <w:r>
        <w:rPr>
          <w:rFonts w:ascii="Arial" w:cs="Arial" w:eastAsia="Arial" w:hAnsi="Arial"/>
          <w:sz w:val="20"/>
          <w:szCs w:val="20"/>
          <w:color w:val="auto"/>
        </w:rPr>
        <w:t>”), a pre-announced public webcast or another broad, non-exclusionary form of public communication. However, depending upon the form of the announcement and the nature of the information, it is possible that information may not be fully absorbed by the marketplace until a later time. Any questions as to whether information is nonpublic should be directed to the Compliance Officer.</w:t>
      </w:r>
    </w:p>
    <w:p>
      <w:pPr>
        <w:spacing w:after="0" w:line="172"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20"/>
          <w:szCs w:val="20"/>
          <w:color w:val="auto"/>
        </w:rPr>
        <w:t>The term “</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means a day on which national stock exchanges and the National Association of Securities Dealers, Inc. Automated Quotation System are open for trading. A “</w:t>
      </w:r>
      <w:r>
        <w:rPr>
          <w:rFonts w:ascii="Arial" w:cs="Arial" w:eastAsia="Arial" w:hAnsi="Arial"/>
          <w:sz w:val="20"/>
          <w:szCs w:val="20"/>
          <w:b w:val="1"/>
          <w:bCs w:val="1"/>
          <w:i w:val="1"/>
          <w:iCs w:val="1"/>
          <w:color w:val="auto"/>
        </w:rPr>
        <w:t>full</w:t>
      </w:r>
      <w:r>
        <w:rPr>
          <w:rFonts w:ascii="Arial" w:cs="Arial" w:eastAsia="Arial" w:hAnsi="Arial"/>
          <w:sz w:val="20"/>
          <w:szCs w:val="20"/>
          <w:color w:val="auto"/>
        </w:rPr>
        <w:t>” trading day has elapsed when, after the public disclosure, trading in the relevant security has opened and then closed.</w:t>
      </w: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82" w:name="page183"/>
    <w:bookmarkEnd w:id="182"/>
    <w:p>
      <w:pPr>
        <w:spacing w:after="0" w:line="54" w:lineRule="exact"/>
        <w:rPr>
          <w:sz w:val="20"/>
          <w:szCs w:val="20"/>
          <w:color w:val="auto"/>
        </w:rPr>
      </w:pPr>
    </w:p>
    <w:p>
      <w:pPr>
        <w:ind w:right="2640" w:firstLine="2643"/>
        <w:spacing w:after="0" w:line="451" w:lineRule="auto"/>
        <w:rPr>
          <w:sz w:val="20"/>
          <w:szCs w:val="20"/>
          <w:color w:val="auto"/>
        </w:rPr>
      </w:pPr>
      <w:r>
        <w:rPr>
          <w:rFonts w:ascii="Arial" w:cs="Arial" w:eastAsia="Arial" w:hAnsi="Arial"/>
          <w:sz w:val="20"/>
          <w:szCs w:val="20"/>
          <w:b w:val="1"/>
          <w:bCs w:val="1"/>
          <w:color w:val="auto"/>
        </w:rPr>
        <w:t>POLICIES REGARDING MATERIAL NONPUBLIC INFORMATION Confidentiality of nonpublic information</w:t>
      </w:r>
    </w:p>
    <w:p>
      <w:pPr>
        <w:spacing w:after="0" w:line="2"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other obligations that the Company has with them, and the use of any such nonpublic information should be limited to the purpose for which it was disclosed.</w:t>
      </w:r>
    </w:p>
    <w:p>
      <w:pPr>
        <w:spacing w:after="0" w:line="175"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You must use all reasonable efforts to safeguard nonpublic information in the Company’s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an appropriate nondisclosure agreement that restricts the disclosure and use of the information, if applicable). This restriction also applies to internal communications within the Company and to communications with agents of the Company. In cases where disclosing nonpublic information to third parties is required, you should coordinate with the Legal Department.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trading on material nonpublic information</w:t>
      </w:r>
    </w:p>
    <w:p>
      <w:pPr>
        <w:spacing w:after="0" w:line="202"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20"/>
          <w:szCs w:val="20"/>
          <w:color w:val="auto"/>
        </w:rPr>
        <w:t>Except as discussed in the section entitled “</w:t>
      </w:r>
      <w:r>
        <w:rPr>
          <w:rFonts w:ascii="Arial" w:cs="Arial" w:eastAsia="Arial" w:hAnsi="Arial"/>
          <w:sz w:val="20"/>
          <w:szCs w:val="20"/>
          <w:b w:val="1"/>
          <w:bCs w:val="1"/>
          <w:color w:val="auto"/>
        </w:rPr>
        <w:t>Limited Exceptions</w:t>
      </w:r>
      <w:r>
        <w:rPr>
          <w:rFonts w:ascii="Arial" w:cs="Arial" w:eastAsia="Arial" w:hAnsi="Arial"/>
          <w:sz w:val="20"/>
          <w:szCs w:val="20"/>
          <w:color w:val="auto"/>
        </w:rPr>
        <w:t xml:space="preserve">”, you may not, directly or indirectly through others, engage, or offer to engage, in any transaction involving the Company’s securities </w:t>
      </w:r>
      <w:r>
        <w:rPr>
          <w:rFonts w:ascii="Arial" w:cs="Arial" w:eastAsia="Arial" w:hAnsi="Arial"/>
          <w:sz w:val="20"/>
          <w:szCs w:val="20"/>
          <w:i w:val="1"/>
          <w:iCs w:val="1"/>
          <w:color w:val="auto"/>
        </w:rPr>
        <w:t>while aware of</w:t>
      </w:r>
      <w:r>
        <w:rPr>
          <w:rFonts w:ascii="Arial" w:cs="Arial" w:eastAsia="Arial" w:hAnsi="Arial"/>
          <w:sz w:val="20"/>
          <w:szCs w:val="20"/>
          <w:color w:val="auto"/>
        </w:rPr>
        <w:t xml:space="preserve"> material nonpublic information relating to the Company. It is not an excuse that you did not “use” the information in your transaction.</w:t>
      </w:r>
    </w:p>
    <w:p>
      <w:pPr>
        <w:spacing w:after="0" w:line="170" w:lineRule="exact"/>
        <w:rPr>
          <w:sz w:val="20"/>
          <w:szCs w:val="20"/>
          <w:color w:val="auto"/>
        </w:rPr>
      </w:pPr>
    </w:p>
    <w:p>
      <w:pPr>
        <w:jc w:val="both"/>
        <w:ind w:firstLine="374"/>
        <w:spacing w:after="0" w:line="231" w:lineRule="auto"/>
        <w:rPr>
          <w:sz w:val="20"/>
          <w:szCs w:val="20"/>
          <w:color w:val="auto"/>
        </w:rPr>
      </w:pPr>
      <w:r>
        <w:rPr>
          <w:rFonts w:ascii="Arial" w:cs="Arial" w:eastAsia="Arial" w:hAnsi="Arial"/>
          <w:sz w:val="20"/>
          <w:szCs w:val="20"/>
          <w:color w:val="auto"/>
        </w:rPr>
        <w:t>Similarly, you may not engage, or offer to engage, in transactions involving the securities of any other company if you are aware of material nonpublic information about that company (except to the extent the transactions are analogous to those presented in the section entitled “</w:t>
      </w:r>
      <w:r>
        <w:rPr>
          <w:rFonts w:ascii="Arial" w:cs="Arial" w:eastAsia="Arial" w:hAnsi="Arial"/>
          <w:sz w:val="20"/>
          <w:szCs w:val="20"/>
          <w:b w:val="1"/>
          <w:bCs w:val="1"/>
          <w:color w:val="auto"/>
        </w:rPr>
        <w:t>Limited Exceptions</w:t>
      </w:r>
      <w:r>
        <w:rPr>
          <w:rFonts w:ascii="Arial" w:cs="Arial" w:eastAsia="Arial" w:hAnsi="Arial"/>
          <w:sz w:val="20"/>
          <w:szCs w:val="20"/>
          <w:color w:val="auto"/>
        </w:rPr>
        <w:t>”). For example, you may be involved in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It is important to note that “materiality” is different for different companies. Information that is not material to the Company may be material to another company.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disclosing material nonpublic information</w:t>
      </w:r>
    </w:p>
    <w:p>
      <w:pPr>
        <w:spacing w:after="0" w:line="204"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You may not disclose material nonpublic information concerning the Company or any other company to friends, family members or any other person or entity not authorized to receive such information, except directly to the SEC in compliance with the Company’s Whistleblower Policy. In addition, you may not make recommendations or express opinions on the basis of material nonpublic information as to trading in the securities of companies to which such information relates. In particular, you may not participate, in any manner other than passive observation, in any message board or social media platform messaging relating to the Company’s securities. You are prohibited from engaging in these actions whether or not you derive any profit or personal benefit from doing so.</w:t>
      </w:r>
    </w:p>
    <w:p>
      <w:pPr>
        <w:spacing w:after="0" w:line="2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Obligation to disclose material nonpublic information to the Company</w:t>
      </w:r>
    </w:p>
    <w:p>
      <w:pPr>
        <w:spacing w:after="0" w:line="202" w:lineRule="exact"/>
        <w:rPr>
          <w:sz w:val="20"/>
          <w:szCs w:val="20"/>
          <w:color w:val="auto"/>
        </w:rPr>
      </w:pPr>
    </w:p>
    <w:p>
      <w:pPr>
        <w:jc w:val="both"/>
        <w:ind w:firstLine="374"/>
        <w:spacing w:after="0" w:line="235" w:lineRule="auto"/>
        <w:rPr>
          <w:sz w:val="20"/>
          <w:szCs w:val="20"/>
          <w:color w:val="auto"/>
        </w:rPr>
      </w:pPr>
      <w:r>
        <w:rPr>
          <w:rFonts w:ascii="Arial" w:cs="Arial" w:eastAsia="Arial" w:hAnsi="Arial"/>
          <w:sz w:val="20"/>
          <w:szCs w:val="20"/>
          <w:color w:val="auto"/>
        </w:rPr>
        <w:t>You may not enter into any transaction, including those discussed in the section entitled “</w:t>
      </w:r>
      <w:r>
        <w:rPr>
          <w:rFonts w:ascii="Arial" w:cs="Arial" w:eastAsia="Arial" w:hAnsi="Arial"/>
          <w:sz w:val="20"/>
          <w:szCs w:val="20"/>
          <w:b w:val="1"/>
          <w:bCs w:val="1"/>
          <w:color w:val="auto"/>
        </w:rPr>
        <w:t>Limited Exceptions</w:t>
      </w:r>
      <w:r>
        <w:rPr>
          <w:rFonts w:ascii="Arial" w:cs="Arial" w:eastAsia="Arial" w:hAnsi="Arial"/>
          <w:sz w:val="20"/>
          <w:szCs w:val="20"/>
          <w:color w:val="auto"/>
        </w:rPr>
        <w:t>”, unless you have disclosed any material nonpublic information that you become aware of in the course of your service with the Company, and that senior management is not aware of, to the Compliance Officer. If you are a member of senior management, the information must be disclosed to the Chief Executive Officer, and if you are the Chief Executive Officer or a director, you must disclose the information to the board of directors, before any transaction is permissible.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Responding to outside inquiries for information</w:t>
      </w:r>
    </w:p>
    <w:p>
      <w:pPr>
        <w:spacing w:after="0" w:line="204" w:lineRule="exact"/>
        <w:rPr>
          <w:sz w:val="20"/>
          <w:szCs w:val="20"/>
          <w:color w:val="auto"/>
        </w:rPr>
      </w:pPr>
    </w:p>
    <w:p>
      <w:pPr>
        <w:jc w:val="both"/>
        <w:ind w:firstLine="374"/>
        <w:spacing w:after="0" w:line="231" w:lineRule="auto"/>
        <w:rPr>
          <w:sz w:val="20"/>
          <w:szCs w:val="20"/>
          <w:color w:val="auto"/>
        </w:rPr>
      </w:pPr>
      <w:r>
        <w:rPr>
          <w:rFonts w:ascii="Arial" w:cs="Arial" w:eastAsia="Arial" w:hAnsi="Arial"/>
          <w:sz w:val="20"/>
          <w:szCs w:val="20"/>
          <w:color w:val="auto"/>
        </w:rPr>
        <w:t>In the event you receive an inquiry from someone outside of the Company, such as a stock analyst, for information, you should refer the inquiry to the Chief Financial Officer.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Please consult the Company’s External Communications Policy for more details.</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TRADING BLACKOUT PERIODS</w:t>
      </w:r>
    </w:p>
    <w:p>
      <w:pPr>
        <w:spacing w:after="0" w:line="204"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To limit the likelihood of trading at times when there is a significant risk of insider trading exposure, the Company has instituted quarterly trading blackout periods and may institute special trading blackout periods from time to time. In addition, to comply with applicable legal requirements, the Company may also institute blackout periods that prevent directors and officers from trading in Company securities at a time when employees are prevented from trading Company securities in the Company’s 401(k) plan.</w:t>
      </w:r>
    </w:p>
    <w:p>
      <w:pPr>
        <w:spacing w:after="0" w:line="175"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It is important to note that whether or not you are subject to blackout periods, you remain subject to the prohibitions on trading on the basis of material nonpublic information and any other applicable restrictions in this Policy.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blackout periods</w:t>
      </w:r>
    </w:p>
    <w:p>
      <w:pPr>
        <w:spacing w:after="0" w:line="202" w:lineRule="exact"/>
        <w:rPr>
          <w:sz w:val="20"/>
          <w:szCs w:val="20"/>
          <w:color w:val="auto"/>
        </w:rPr>
      </w:pPr>
    </w:p>
    <w:p>
      <w:pPr>
        <w:jc w:val="both"/>
        <w:ind w:firstLine="374"/>
        <w:spacing w:after="0" w:line="235" w:lineRule="auto"/>
        <w:rPr>
          <w:sz w:val="20"/>
          <w:szCs w:val="20"/>
          <w:color w:val="auto"/>
        </w:rPr>
      </w:pPr>
      <w:r>
        <w:rPr>
          <w:rFonts w:ascii="Arial" w:cs="Arial" w:eastAsia="Arial" w:hAnsi="Arial"/>
          <w:sz w:val="20"/>
          <w:szCs w:val="20"/>
          <w:color w:val="auto"/>
        </w:rPr>
        <w:t>Except as discussed in the section entitled “</w:t>
      </w:r>
      <w:r>
        <w:rPr>
          <w:rFonts w:ascii="Arial" w:cs="Arial" w:eastAsia="Arial" w:hAnsi="Arial"/>
          <w:sz w:val="20"/>
          <w:szCs w:val="20"/>
          <w:b w:val="1"/>
          <w:bCs w:val="1"/>
          <w:color w:val="auto"/>
        </w:rPr>
        <w:t>Limited Exceptions</w:t>
      </w:r>
      <w:r>
        <w:rPr>
          <w:rFonts w:ascii="Arial" w:cs="Arial" w:eastAsia="Arial" w:hAnsi="Arial"/>
          <w:sz w:val="20"/>
          <w:szCs w:val="20"/>
          <w:color w:val="auto"/>
        </w:rPr>
        <w:t>”, all directors and executive officers, and those other employees, consultants, contractors and advisors identified by the Company must refrain from conducting transactions involving the Company’s securities during quarterly blackout periods.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72"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Quarterly blackout periods begin at the end of the day on the fifteenth day of the third month of each fiscal quarter and end at the start of the third full trading day following the date of public disclosure of the financial results for that fiscal quarter. This period is a particularly sensitive time for transactions involving the Company’s securities from the perspective of compliance with applicable securities laws due to the fact that, during this period, individuals may often possess or have access to material nonpublic information relevant to the expected financial results for the quarter.</w:t>
      </w:r>
    </w:p>
    <w:p>
      <w:pPr>
        <w:spacing w:after="0" w:line="175" w:lineRule="exact"/>
        <w:rPr>
          <w:sz w:val="20"/>
          <w:szCs w:val="20"/>
          <w:color w:val="auto"/>
        </w:rPr>
      </w:pPr>
    </w:p>
    <w:p>
      <w:pPr>
        <w:jc w:val="both"/>
        <w:ind w:firstLine="374"/>
        <w:spacing w:after="0" w:line="235" w:lineRule="auto"/>
        <w:rPr>
          <w:sz w:val="20"/>
          <w:szCs w:val="20"/>
          <w:color w:val="auto"/>
        </w:rPr>
      </w:pPr>
      <w:r>
        <w:rPr>
          <w:rFonts w:ascii="Arial" w:cs="Arial" w:eastAsia="Arial" w:hAnsi="Arial"/>
          <w:sz w:val="20"/>
          <w:szCs w:val="20"/>
          <w:color w:val="auto"/>
        </w:rPr>
        <w:t>Individuals subject to quarterly blackout periods will be informed by the Compliance Officer that they are listed on the covered persons list maintained by the Compliance Officer (the “</w:t>
      </w:r>
      <w:r>
        <w:rPr>
          <w:rFonts w:ascii="Arial" w:cs="Arial" w:eastAsia="Arial" w:hAnsi="Arial"/>
          <w:sz w:val="20"/>
          <w:szCs w:val="20"/>
          <w:b w:val="1"/>
          <w:bCs w:val="1"/>
          <w:color w:val="auto"/>
        </w:rPr>
        <w:t>Covered Persons List</w:t>
      </w:r>
      <w:r>
        <w:rPr>
          <w:rFonts w:ascii="Arial" w:cs="Arial" w:eastAsia="Arial" w:hAnsi="Arial"/>
          <w:sz w:val="20"/>
          <w:szCs w:val="20"/>
          <w:color w:val="auto"/>
        </w:rPr>
        <w:t>”). From time to time, the Company may identify other persons who should be subject to quarterly blackout periods, and the Compliance Officer may update and revise the Covered Persons List as appropriate. To the extent applicable to you, quarterly blackout periods also cover your immediate family members, persons with whom you share a household, persons who are your economic dependents and any entity whose transactions in securities you influence, direct or control.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blackout periods</w:t>
      </w:r>
    </w:p>
    <w:p>
      <w:pPr>
        <w:spacing w:after="0" w:line="204"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From time to time, the Company may also prohibit directors, officers, employees, consultants, contractors and advisors from engaging in transactions involving the Company’s securities when, in the judgment of the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interim earnings guidance or a significant transaction or business development. However, special blackout periods may be declared for any reason.</w:t>
      </w:r>
    </w:p>
    <w:p>
      <w:pPr>
        <w:spacing w:after="0" w:line="172" w:lineRule="exact"/>
        <w:rPr>
          <w:sz w:val="20"/>
          <w:szCs w:val="20"/>
          <w:color w:val="auto"/>
        </w:rPr>
      </w:pPr>
    </w:p>
    <w:p>
      <w:pPr>
        <w:jc w:val="both"/>
        <w:ind w:right="20" w:firstLine="374"/>
        <w:spacing w:after="0" w:line="257" w:lineRule="auto"/>
        <w:rPr>
          <w:sz w:val="20"/>
          <w:szCs w:val="20"/>
          <w:color w:val="auto"/>
        </w:rPr>
      </w:pPr>
      <w:r>
        <w:rPr>
          <w:rFonts w:ascii="Arial" w:cs="Arial" w:eastAsia="Arial" w:hAnsi="Arial"/>
          <w:sz w:val="20"/>
          <w:szCs w:val="20"/>
          <w:color w:val="auto"/>
        </w:rPr>
        <w:t>The Company will notify in writing or via email those persons subject a special blackout period. Each person who has been so identified and notified by the Company may not engage, or offer</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5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to engage, in any transaction involving the Company’s securities until instructed otherwise by the Compliance Officer, and should not disclose to others the fact of such suspension of trading. To the extent applicable to you, special blackout periods also cover your immediate family members, persons with whom you share a household, persons who are your economic dependents and any entity whose transactions in securities you influence, direct or control.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 BTR blackouts</w:t>
      </w:r>
    </w:p>
    <w:p>
      <w:pPr>
        <w:spacing w:after="0" w:line="204"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Directors and executive officers may also be subject to trading blackouts pursuant to Regulation Blackout Trading Restriction, or Regulation BTR, under U.S. federal securities laws. In general, Regulation BTR prohibits any director or executive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Company will notify directors and officers if they are subject to a blackout trading restriction under Regulation BTR.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Failure to comply with an applicable trading blackout in accordance with Regulation BTR is a violation of law and this Policy.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“safe harbors”</w:t>
      </w:r>
    </w:p>
    <w:p>
      <w:pPr>
        <w:spacing w:after="0" w:line="204"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2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PRE-CLEARANCE OF TRADES</w:t>
      </w:r>
    </w:p>
    <w:p>
      <w:pPr>
        <w:spacing w:after="0" w:line="202" w:lineRule="exact"/>
        <w:rPr>
          <w:sz w:val="20"/>
          <w:szCs w:val="20"/>
          <w:color w:val="auto"/>
        </w:rPr>
      </w:pPr>
    </w:p>
    <w:p>
      <w:pPr>
        <w:jc w:val="both"/>
        <w:ind w:firstLine="374"/>
        <w:spacing w:after="0" w:line="225" w:lineRule="exact"/>
        <w:rPr>
          <w:sz w:val="20"/>
          <w:szCs w:val="20"/>
          <w:color w:val="auto"/>
        </w:rPr>
      </w:pPr>
      <w:r>
        <w:rPr>
          <w:rFonts w:ascii="Arial" w:cs="Arial" w:eastAsia="Arial" w:hAnsi="Arial"/>
          <w:sz w:val="20"/>
          <w:szCs w:val="20"/>
          <w:color w:val="auto"/>
        </w:rPr>
        <w:t>Except as discussed in the section entitled “</w:t>
      </w:r>
      <w:r>
        <w:rPr>
          <w:rFonts w:ascii="Arial" w:cs="Arial" w:eastAsia="Arial" w:hAnsi="Arial"/>
          <w:sz w:val="20"/>
          <w:szCs w:val="20"/>
          <w:b w:val="1"/>
          <w:bCs w:val="1"/>
          <w:color w:val="auto"/>
        </w:rPr>
        <w:t>Limited Exceptions</w:t>
      </w:r>
      <w:r>
        <w:rPr>
          <w:rFonts w:ascii="Arial" w:cs="Arial" w:eastAsia="Arial" w:hAnsi="Arial"/>
          <w:sz w:val="20"/>
          <w:szCs w:val="20"/>
          <w:color w:val="auto"/>
        </w:rPr>
        <w:t>”, directors and executive officers should refrain from engaging in any transaction involving the Company’s securities without first obtaining pre</w:t>
      </w:r>
      <w:r>
        <w:rPr>
          <w:rFonts w:ascii="MS PGothic" w:cs="MS PGothic" w:eastAsia="MS PGothic" w:hAnsi="MS PGothic"/>
          <w:sz w:val="20"/>
          <w:szCs w:val="20"/>
          <w:color w:val="auto"/>
          <w:strike w:val="1"/>
        </w:rPr>
        <w:t>‑</w:t>
      </w:r>
      <w:r>
        <w:rPr>
          <w:rFonts w:ascii="Arial" w:cs="Arial" w:eastAsia="Arial" w:hAnsi="Arial"/>
          <w:sz w:val="20"/>
          <w:szCs w:val="20"/>
          <w:color w:val="auto"/>
        </w:rPr>
        <w:t>clearance of the transaction from the Compliance Officer. In addition, the Company has determined that certain other employees and agents of the Company that may have regular or special access to material nonpublic information should refrain from engaging in any transaction involving the Company’s securities without first obtaining pre</w:t>
      </w:r>
      <w:r>
        <w:rPr>
          <w:rFonts w:ascii="MS PGothic" w:cs="MS PGothic" w:eastAsia="MS PGothic" w:hAnsi="MS PGothic"/>
          <w:sz w:val="20"/>
          <w:szCs w:val="20"/>
          <w:color w:val="auto"/>
          <w:strike w:val="1"/>
        </w:rPr>
        <w:t>‑</w:t>
      </w:r>
      <w:r>
        <w:rPr>
          <w:rFonts w:ascii="Arial" w:cs="Arial" w:eastAsia="Arial" w:hAnsi="Arial"/>
          <w:sz w:val="20"/>
          <w:szCs w:val="20"/>
          <w:color w:val="auto"/>
        </w:rPr>
        <w:t>clearance of the transaction from the Compliance Officer. Accordingly, the Company’s directors and officers and any other persons identified on the Covered Persons List as being subject to pre-clearance requirements must obtain pre-clearance prior to trading the Company’s securities. The pre-clearance request must be made on the form provided by the Compliance Officer. The Compliance Officer may not engage in a transaction involving the Company’s securities unless the Chief Financial Officer has pre</w:t>
      </w:r>
      <w:r>
        <w:rPr>
          <w:rFonts w:ascii="MS PGothic" w:cs="MS PGothic" w:eastAsia="MS PGothic" w:hAnsi="MS PGothic"/>
          <w:sz w:val="20"/>
          <w:szCs w:val="20"/>
          <w:color w:val="auto"/>
        </w:rPr>
        <w:t>‑</w:t>
      </w:r>
      <w:r>
        <w:rPr>
          <w:rFonts w:ascii="Arial" w:cs="Arial" w:eastAsia="Arial" w:hAnsi="Arial"/>
          <w:sz w:val="20"/>
          <w:szCs w:val="20"/>
          <w:color w:val="auto"/>
        </w:rPr>
        <w:t>cleared the transaction. All trades must be executed within four business days of any pre-clearance. From time to time, the Company may identify other persons who should be subject to the pre</w:t>
      </w:r>
      <w:r>
        <w:rPr>
          <w:rFonts w:ascii="MS PGothic" w:cs="MS PGothic" w:eastAsia="MS PGothic" w:hAnsi="MS PGothic"/>
          <w:sz w:val="20"/>
          <w:szCs w:val="20"/>
          <w:color w:val="auto"/>
          <w:strike w:val="1"/>
        </w:rPr>
        <w:t>‑</w:t>
      </w:r>
      <w:r>
        <w:rPr>
          <w:rFonts w:ascii="Arial" w:cs="Arial" w:eastAsia="Arial" w:hAnsi="Arial"/>
          <w:sz w:val="20"/>
          <w:szCs w:val="20"/>
          <w:color w:val="auto"/>
        </w:rPr>
        <w:t>clearance requirements set forth above, and the Compliance Officer may update and revise the Covered Persons List as appropriate.</w:t>
      </w:r>
    </w:p>
    <w:p>
      <w:pPr>
        <w:spacing w:after="0" w:line="173" w:lineRule="exact"/>
        <w:rPr>
          <w:sz w:val="20"/>
          <w:szCs w:val="20"/>
          <w:color w:val="auto"/>
        </w:rPr>
      </w:pPr>
    </w:p>
    <w:p>
      <w:pPr>
        <w:jc w:val="both"/>
        <w:ind w:firstLine="374"/>
        <w:spacing w:after="0" w:line="228" w:lineRule="exact"/>
        <w:rPr>
          <w:sz w:val="20"/>
          <w:szCs w:val="20"/>
          <w:color w:val="auto"/>
        </w:rPr>
      </w:pPr>
      <w:r>
        <w:rPr>
          <w:rFonts w:ascii="Arial" w:cs="Arial" w:eastAsia="Arial" w:hAnsi="Arial"/>
          <w:sz w:val="20"/>
          <w:szCs w:val="20"/>
          <w:color w:val="auto"/>
        </w:rPr>
        <w:t>These pre-clearance procedures are intended to decrease insider trading risks associated with transactions by individuals with regular or special access to material nonpublic information. In addition, requiring pre</w:t>
      </w:r>
      <w:r>
        <w:rPr>
          <w:rFonts w:ascii="MS PGothic" w:cs="MS PGothic" w:eastAsia="MS PGothic" w:hAnsi="MS PGothic"/>
          <w:sz w:val="20"/>
          <w:szCs w:val="20"/>
          <w:i w:val="1"/>
          <w:iCs w:val="1"/>
          <w:color w:val="auto"/>
        </w:rPr>
        <w:t>‑</w:t>
      </w:r>
      <w:r>
        <w:rPr>
          <w:rFonts w:ascii="Arial" w:cs="Arial" w:eastAsia="Arial" w:hAnsi="Arial"/>
          <w:sz w:val="20"/>
          <w:szCs w:val="20"/>
          <w:color w:val="auto"/>
        </w:rPr>
        <w:t>clearance of transactions by directors and officers facilitates compliance with Rule 144 resale restrictions under the Securities Act, the liability and reporting provisions of Section 16 under the Exchange Act and Regulation BTR. Pre-clearance of a trade, however, is not a defense to a claim of insider trading and does not excuse you from otherwise complying with insider trading laws or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4988560</wp:posOffset>
            </wp:positionH>
            <wp:positionV relativeFrom="paragraph">
              <wp:posOffset>-506730</wp:posOffset>
            </wp:positionV>
            <wp:extent cx="67945" cy="406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0">
                      <a:extLst>
                        <a:ext uri="{28A0092B-C50C-407E-A947-70E740481C1C}"/>
                      </a:extLst>
                    </a:blip>
                    <a:srcRect/>
                    <a:stretch>
                      <a:fillRect/>
                    </a:stretch>
                  </pic:blipFill>
                  <pic:spPr bwMode="auto">
                    <a:xfrm>
                      <a:off x="0" y="0"/>
                      <a:ext cx="67945" cy="40640"/>
                    </a:xfrm>
                    <a:prstGeom prst="rect">
                      <a:avLst/>
                    </a:prstGeom>
                    <a:noFill/>
                  </pic:spPr>
                </pic:pic>
              </a:graphicData>
            </a:graphic>
          </wp:anchor>
        </w:drawing>
      </w:r>
    </w:p>
    <w:p>
      <w:pPr>
        <w:spacing w:after="0" w:line="154"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20"/>
          <w:szCs w:val="20"/>
          <w:color w:val="auto"/>
        </w:rPr>
        <w:t>Even after pre-clearance, a person may not trade the Company’s securities if they become subject to a blackout period or aware of material nonpublic information prior to the trade being executed.</w:t>
      </w:r>
    </w:p>
    <w:p>
      <w:pPr>
        <w:spacing w:after="0" w:line="109" w:lineRule="exact"/>
        <w:rPr>
          <w:sz w:val="20"/>
          <w:szCs w:val="20"/>
          <w:color w:val="auto"/>
        </w:rPr>
      </w:pPr>
    </w:p>
    <w:p>
      <w:pPr>
        <w:jc w:val="both"/>
        <w:ind w:right="20" w:firstLine="374"/>
        <w:spacing w:after="0" w:line="262" w:lineRule="exact"/>
        <w:rPr>
          <w:sz w:val="20"/>
          <w:szCs w:val="20"/>
          <w:color w:val="auto"/>
        </w:rPr>
      </w:pPr>
      <w:r>
        <w:rPr>
          <w:rFonts w:ascii="Arial" w:cs="Arial" w:eastAsia="Arial" w:hAnsi="Arial"/>
          <w:sz w:val="20"/>
          <w:szCs w:val="20"/>
          <w:color w:val="auto"/>
        </w:rPr>
        <w:t>The Compliance Officer is under no obligation to approve a transaction submitted for pre</w:t>
      </w:r>
      <w:r>
        <w:rPr>
          <w:rFonts w:ascii="MS PGothic" w:cs="MS PGothic" w:eastAsia="MS PGothic" w:hAnsi="MS PGothic"/>
          <w:sz w:val="20"/>
          <w:szCs w:val="20"/>
          <w:color w:val="auto"/>
        </w:rPr>
        <w:t>‑</w:t>
      </w:r>
      <w:r>
        <w:rPr>
          <w:rFonts w:ascii="Arial" w:cs="Arial" w:eastAsia="Arial" w:hAnsi="Arial"/>
          <w:sz w:val="20"/>
          <w:szCs w:val="20"/>
          <w:color w:val="auto"/>
        </w:rPr>
        <w:t>clearance, and may determine not to permit the transaction.</w:t>
      </w:r>
    </w:p>
    <w:p>
      <w:pPr>
        <w:spacing w:after="0" w:line="2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RESTRICTIONS AND GUIDANCE</w:t>
      </w:r>
    </w:p>
    <w:p>
      <w:pPr>
        <w:spacing w:after="0" w:line="204"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This section addresses certain types of transactions that may expose you and the Company to significant risks. You may not engage in any of the following types of transactions other than as noted below, regardless of whether you have material nonpublic information.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blackout periods, to the extent applicable.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 sales</w:t>
      </w:r>
    </w:p>
    <w:p>
      <w:pPr>
        <w:spacing w:after="0" w:line="204"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Short sales (</w:t>
      </w:r>
      <w:r>
        <w:rPr>
          <w:rFonts w:ascii="Arial" w:cs="Arial" w:eastAsia="Arial" w:hAnsi="Arial"/>
          <w:sz w:val="20"/>
          <w:szCs w:val="20"/>
          <w:i w:val="1"/>
          <w:iCs w:val="1"/>
          <w:color w:val="auto"/>
        </w:rPr>
        <w:t>i.e.,</w:t>
      </w:r>
      <w:r>
        <w:rPr>
          <w:rFonts w:ascii="Arial" w:cs="Arial" w:eastAsia="Arial" w:hAnsi="Arial"/>
          <w:sz w:val="20"/>
          <w:szCs w:val="20"/>
          <w:color w:val="auto"/>
        </w:rPr>
        <w:t xml:space="preserve"> the sale of a security that must be borrowed to make delivery) and “selling short against the box” (</w:t>
      </w:r>
      <w:r>
        <w:rPr>
          <w:rFonts w:ascii="Arial" w:cs="Arial" w:eastAsia="Arial" w:hAnsi="Arial"/>
          <w:sz w:val="20"/>
          <w:szCs w:val="20"/>
          <w:i w:val="1"/>
          <w:iCs w:val="1"/>
          <w:color w:val="auto"/>
        </w:rPr>
        <w:t>i.e.,</w:t>
      </w:r>
      <w:r>
        <w:rPr>
          <w:rFonts w:ascii="Arial" w:cs="Arial" w:eastAsia="Arial" w:hAnsi="Arial"/>
          <w:sz w:val="20"/>
          <w:szCs w:val="20"/>
          <w:color w:val="auto"/>
        </w:rPr>
        <w:t xml:space="preserve"> a sale with a delayed delivery) with respect to Company securities are prohibited under this Policy.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securities and hedging transactions</w:t>
      </w:r>
    </w:p>
    <w:p>
      <w:pPr>
        <w:spacing w:after="0" w:line="204"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If you are required to comply with the blackout periods or pre-clearance requirements under this Policy (</w:t>
      </w:r>
      <w:r>
        <w:rPr>
          <w:rFonts w:ascii="Arial" w:cs="Arial" w:eastAsia="Arial" w:hAnsi="Arial"/>
          <w:sz w:val="20"/>
          <w:szCs w:val="20"/>
          <w:i w:val="1"/>
          <w:iCs w:val="1"/>
          <w:color w:val="auto"/>
        </w:rPr>
        <w:t>i.e.,</w:t>
      </w:r>
      <w:r>
        <w:rPr>
          <w:rFonts w:ascii="Arial" w:cs="Arial" w:eastAsia="Arial" w:hAnsi="Arial"/>
          <w:sz w:val="20"/>
          <w:szCs w:val="20"/>
          <w:color w:val="auto"/>
        </w:rPr>
        <w:t xml:space="preserve"> if you are listed on the Covered Persons List), you are prohibited from engaging in transactions in publicly-traded options, such as puts and calls, and other derivative securities with respect to the Company’s securities. Stock options, stock appreciation rights and other securities issued pursuant to Company benefit plans or other compensatory arrangements with the Company are not subject to this prohibition. You are also prohibited from purchasing financial instruments (including prepaid variable forward contracts, equity swaps, collars and exchange funds), or otherwise engage in transactions, that hedge or offset, or are designed to hedge or offset, any decrease in the market value of Company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Using Company securities as collateral for loans</w:t>
      </w:r>
    </w:p>
    <w:p>
      <w:pPr>
        <w:spacing w:after="0" w:line="204" w:lineRule="exact"/>
        <w:rPr>
          <w:sz w:val="20"/>
          <w:szCs w:val="20"/>
          <w:color w:val="auto"/>
        </w:rPr>
      </w:pPr>
    </w:p>
    <w:p>
      <w:pPr>
        <w:jc w:val="both"/>
        <w:ind w:right="20" w:firstLine="374"/>
        <w:spacing w:after="0" w:line="241" w:lineRule="auto"/>
        <w:rPr>
          <w:sz w:val="20"/>
          <w:szCs w:val="20"/>
          <w:color w:val="auto"/>
        </w:rPr>
      </w:pPr>
      <w:r>
        <w:rPr>
          <w:rFonts w:ascii="Arial" w:cs="Arial" w:eastAsia="Arial" w:hAnsi="Arial"/>
          <w:sz w:val="20"/>
          <w:szCs w:val="20"/>
          <w:color w:val="auto"/>
        </w:rPr>
        <w:t>If you are required to comply with the blackout periods or pre-clearance requirements under this Policy (</w:t>
      </w:r>
      <w:r>
        <w:rPr>
          <w:rFonts w:ascii="Arial" w:cs="Arial" w:eastAsia="Arial" w:hAnsi="Arial"/>
          <w:sz w:val="20"/>
          <w:szCs w:val="20"/>
          <w:i w:val="1"/>
          <w:iCs w:val="1"/>
          <w:color w:val="auto"/>
        </w:rPr>
        <w:t>i.e.,</w:t>
      </w:r>
      <w:r>
        <w:rPr>
          <w:rFonts w:ascii="Arial" w:cs="Arial" w:eastAsia="Arial" w:hAnsi="Arial"/>
          <w:sz w:val="20"/>
          <w:szCs w:val="20"/>
          <w:color w:val="auto"/>
        </w:rPr>
        <w:t xml:space="preserve"> if you are listed on the Covered Persons List), you may not pledge Company securities as collateral for loans or as part of any other pledging transaction.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Holding Company securities in margin accounts</w:t>
      </w:r>
    </w:p>
    <w:p>
      <w:pPr>
        <w:spacing w:after="0" w:line="204" w:lineRule="exact"/>
        <w:rPr>
          <w:sz w:val="20"/>
          <w:szCs w:val="20"/>
          <w:color w:val="auto"/>
        </w:rPr>
      </w:pPr>
    </w:p>
    <w:p>
      <w:pPr>
        <w:jc w:val="both"/>
        <w:ind w:right="20" w:firstLine="374"/>
        <w:spacing w:after="0" w:line="257" w:lineRule="auto"/>
        <w:rPr>
          <w:sz w:val="20"/>
          <w:szCs w:val="20"/>
          <w:color w:val="auto"/>
        </w:rPr>
      </w:pPr>
      <w:r>
        <w:rPr>
          <w:rFonts w:ascii="Arial" w:cs="Arial" w:eastAsia="Arial" w:hAnsi="Arial"/>
          <w:sz w:val="20"/>
          <w:szCs w:val="20"/>
          <w:color w:val="auto"/>
        </w:rPr>
        <w:t>If you are required to comply with the blackout periods or pre-clearance requirements under this Policy (</w:t>
      </w:r>
      <w:r>
        <w:rPr>
          <w:rFonts w:ascii="Arial" w:cs="Arial" w:eastAsia="Arial" w:hAnsi="Arial"/>
          <w:sz w:val="20"/>
          <w:szCs w:val="20"/>
          <w:i w:val="1"/>
          <w:iCs w:val="1"/>
          <w:color w:val="auto"/>
        </w:rPr>
        <w:t>i.e.,</w:t>
      </w:r>
      <w:r>
        <w:rPr>
          <w:rFonts w:ascii="Arial" w:cs="Arial" w:eastAsia="Arial" w:hAnsi="Arial"/>
          <w:sz w:val="20"/>
          <w:szCs w:val="20"/>
          <w:color w:val="auto"/>
        </w:rPr>
        <w:t xml:space="preserve"> if you are listed on the Covered Persons List), you may not hold Company securities in margin accounts.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Placing open orders with brokers</w:t>
      </w:r>
    </w:p>
    <w:p>
      <w:pPr>
        <w:spacing w:after="0" w:line="204" w:lineRule="exact"/>
        <w:rPr>
          <w:sz w:val="20"/>
          <w:szCs w:val="20"/>
          <w:color w:val="auto"/>
        </w:rPr>
      </w:pPr>
    </w:p>
    <w:p>
      <w:pPr>
        <w:jc w:val="both"/>
        <w:ind w:firstLine="374"/>
        <w:spacing w:after="0" w:line="232" w:lineRule="auto"/>
        <w:rPr>
          <w:sz w:val="20"/>
          <w:szCs w:val="20"/>
          <w:color w:val="auto"/>
        </w:rPr>
      </w:pPr>
      <w:r>
        <w:rPr>
          <w:rFonts w:ascii="Arial" w:cs="Arial" w:eastAsia="Arial" w:hAnsi="Arial"/>
          <w:sz w:val="20"/>
          <w:szCs w:val="20"/>
          <w:color w:val="auto"/>
        </w:rPr>
        <w:t>Except in accordance with an approved trading plan (as discussed below),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Company securities, which may result in inadvertent insider trading violations, Section 16 and Reg. BTR violations (for officers and directors), violations of this Policy and unfavorable publicity for you and the Company. If you are subject to blackout periods or pre-clearance requirements, you should so inform any broker with whom you place any open order at the time it is placed.</w:t>
      </w:r>
    </w:p>
    <w:p>
      <w:pPr>
        <w:spacing w:after="0" w:line="2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EXCEPTIONS</w:t>
      </w:r>
    </w:p>
    <w:p>
      <w:pPr>
        <w:spacing w:after="0" w:line="204"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20"/>
          <w:szCs w:val="20"/>
          <w:color w:val="auto"/>
        </w:rPr>
        <w:t>The following are certain limited exceptions to the quarterly and special blackout period restrictions and pre-clearance requirements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to the extent applicable. You are responsible for complying with applicable law at all times.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Transactions pursuant to a trading plan that complies with SEC rules</w:t>
      </w:r>
    </w:p>
    <w:p>
      <w:pPr>
        <w:spacing w:after="0" w:line="204"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9"/>
          <w:szCs w:val="19"/>
          <w:color w:val="auto"/>
        </w:rPr>
        <w:t xml:space="preserve">The trading restrictions under this policy do not apply to transactions made pursuant to a valid 10b5-1 trading plan approved by the Company. The Company permits its directors, officers and employees to adopt written 10b5-1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10b5-1 trading plan adopted by a director, officer or employee must be submitted to the Compliance Officer for approval and comply with the requirements set forth in the Requirements for Trading Plans attached as </w:t>
      </w:r>
      <w:r>
        <w:rPr>
          <w:rFonts w:ascii="Arial" w:cs="Arial" w:eastAsia="Arial" w:hAnsi="Arial"/>
          <w:sz w:val="19"/>
          <w:szCs w:val="19"/>
          <w:b w:val="1"/>
          <w:bCs w:val="1"/>
          <w:color w:val="auto"/>
        </w:rPr>
        <w:t>Exhibit A</w:t>
      </w:r>
      <w:r>
        <w:rPr>
          <w:rFonts w:ascii="Arial" w:cs="Arial" w:eastAsia="Arial" w:hAnsi="Arial"/>
          <w:sz w:val="19"/>
          <w:szCs w:val="19"/>
          <w:color w:val="auto"/>
        </w:rPr>
        <w:t>. If the Compliance Officer is the requester, then the Company’s Chief Financial Officer, or their delegate, must approve the written 10b5-1 trading plan.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Receipt and vesting of stock options, restricted stock units, restricted stock and stock appreciation rights</w:t>
      </w:r>
    </w:p>
    <w:p>
      <w:pPr>
        <w:spacing w:after="0" w:line="204"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The trading restrictions under this Policy do not apply to the receipt or vesting of stock options, restricted stock units, restricted stock or stock appreciation rights or other equity compensation awards from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Exercise of stock options for cash</w:t>
      </w:r>
    </w:p>
    <w:p>
      <w:pPr>
        <w:spacing w:after="0" w:line="204"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The trading restrictions under this Policy do not apply to the exercise of stock options where the purchase price of such stock options is paid in cash and there is no other associated market activity.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share withholding or sell-to-cover transactions</w:t>
      </w:r>
    </w:p>
    <w:p>
      <w:pPr>
        <w:spacing w:after="0" w:line="204" w:lineRule="exact"/>
        <w:rPr>
          <w:sz w:val="20"/>
          <w:szCs w:val="20"/>
          <w:color w:val="auto"/>
        </w:rPr>
      </w:pPr>
    </w:p>
    <w:p>
      <w:pPr>
        <w:jc w:val="both"/>
        <w:ind w:firstLine="374"/>
        <w:spacing w:after="0" w:line="230" w:lineRule="auto"/>
        <w:rPr>
          <w:sz w:val="20"/>
          <w:szCs w:val="20"/>
          <w:color w:val="auto"/>
        </w:rPr>
      </w:pPr>
      <w:r>
        <w:rPr>
          <w:rFonts w:ascii="Arial" w:cs="Arial" w:eastAsia="Arial" w:hAnsi="Arial"/>
          <w:sz w:val="20"/>
          <w:szCs w:val="20"/>
          <w:color w:val="auto"/>
        </w:rPr>
        <w:t>The trading restrictions under this Policy do not apply to net share withholding with respect to equity awards where shares are withheld by the Company in order to satisfy tax withholding requirements, (x) as required by either the Company’s board of directors (or a committee thereof) or the award agreement governing such equity award or (y) as you elect, if permitted by the Company, so long as the election is irrevocable and made in writing at a time when a trading blackout is not in place and you are not in possession of material nonpublic information. Likewise, the trading restriction under this policy do not apply to sell to cover transactions where shares are sold on your behalf upon vesting of equity awards and sold in order to satisfy tax withholding requirements, (x) as required by either the Company’s board of directors (or a committee thereof) or the award agreement governing such equity award or (y) as you elect, if permitted by the Company, so long as the election is irrevocable and made in writing at a time when a trading blackout is not in place and you are not in possession of material nonpublic information; however,</w:t>
      </w:r>
    </w:p>
    <w:p>
      <w:pPr>
        <w:spacing w:after="0" w:line="2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this exception does not apply to any other market sale for the purposes of paying required withholding.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from the employee stock purchase plan</w:t>
      </w:r>
    </w:p>
    <w:p>
      <w:pPr>
        <w:spacing w:after="0" w:line="204"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20"/>
          <w:szCs w:val="20"/>
          <w:color w:val="auto"/>
        </w:rPr>
        <w:t>The trading restrictions in this Policy do not apply to elections with respect to participation in the Company’s employee stock purchase plan or to purchases of securities under the plan. However, the trading restrictions do apply to any subsequent sales of any such securities.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401(k) plan transactions</w:t>
      </w:r>
    </w:p>
    <w:p>
      <w:pPr>
        <w:spacing w:after="0" w:line="204" w:lineRule="exact"/>
        <w:rPr>
          <w:sz w:val="20"/>
          <w:szCs w:val="20"/>
          <w:color w:val="auto"/>
        </w:rPr>
      </w:pPr>
    </w:p>
    <w:p>
      <w:pPr>
        <w:jc w:val="both"/>
        <w:ind w:firstLine="374"/>
        <w:spacing w:after="0" w:line="224" w:lineRule="exact"/>
        <w:rPr>
          <w:sz w:val="20"/>
          <w:szCs w:val="20"/>
          <w:color w:val="auto"/>
        </w:rPr>
      </w:pPr>
      <w:r>
        <w:rPr>
          <w:rFonts w:ascii="Arial" w:cs="Arial" w:eastAsia="Arial" w:hAnsi="Arial"/>
          <w:sz w:val="20"/>
          <w:szCs w:val="20"/>
          <w:color w:val="auto"/>
        </w:rPr>
        <w:t>The trading restrictions in this Policy do not apply to purchases of Company stock in the 401(k) plan resulting from periodic contributions to the plan based on your payroll contribution election. The trading restrictions do apply, however, to elections you make under the 401(k) plan to (i) increase or decrease the amount of your contributions under the 401(k) plan if such increase or decrease will increase or decrease the amount of your contributions that will be allocated to a Company stock fund, (ii) increase or decrease the percentage of your contributions that will be allocated to a Company stock fund, (iii) move balances into or out of a Company stock fund, (iv) borrow money against your 401(k) plan account if the loan will result in liquidation of some or all of your Company stock fund balance, and (v) pre</w:t>
      </w:r>
      <w:r>
        <w:rPr>
          <w:rFonts w:ascii="MS PGothic" w:cs="MS PGothic" w:eastAsia="MS PGothic" w:hAnsi="MS PGothic"/>
          <w:sz w:val="20"/>
          <w:szCs w:val="20"/>
          <w:color w:val="auto"/>
        </w:rPr>
        <w:t>‑</w:t>
      </w:r>
      <w:r>
        <w:rPr>
          <w:rFonts w:ascii="Arial" w:cs="Arial" w:eastAsia="Arial" w:hAnsi="Arial"/>
          <w:sz w:val="20"/>
          <w:szCs w:val="20"/>
          <w:color w:val="auto"/>
        </w:rPr>
        <w:t>pay a plan loan if the pre</w:t>
      </w:r>
      <w:r>
        <w:rPr>
          <w:rFonts w:ascii="MS PGothic" w:cs="MS PGothic" w:eastAsia="MS PGothic" w:hAnsi="MS PGothic"/>
          <w:sz w:val="20"/>
          <w:szCs w:val="20"/>
          <w:color w:val="auto"/>
        </w:rPr>
        <w:t>‑</w:t>
      </w:r>
      <w:r>
        <w:rPr>
          <w:rFonts w:ascii="Arial" w:cs="Arial" w:eastAsia="Arial" w:hAnsi="Arial"/>
          <w:sz w:val="20"/>
          <w:szCs w:val="20"/>
          <w:color w:val="auto"/>
        </w:rPr>
        <w:t>payment will result in the allocation of loan proceeds to a Company stock fund.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splits, stock dividends and similar transactions</w:t>
      </w:r>
    </w:p>
    <w:p>
      <w:pPr>
        <w:spacing w:after="0" w:line="204"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The trading restrictions under this Policy do not apply to a change in the number of securities held as a result of a stock split or stock dividend applying equally to all securities of a class, or similar transactions.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Laws of descent and distribution; changes in form of beneficial interest</w:t>
      </w:r>
    </w:p>
    <w:p>
      <w:pPr>
        <w:spacing w:after="0" w:line="204"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20"/>
          <w:szCs w:val="20"/>
          <w:color w:val="auto"/>
        </w:rPr>
        <w:t>The trading restrictions under this Policy do not apply to transfers by will or the laws of descent and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exceptions</w:t>
      </w:r>
    </w:p>
    <w:p>
      <w:pPr>
        <w:spacing w:after="0" w:line="204"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color w:val="auto"/>
        </w:rPr>
        <w:t>Any other exception from this Policy must be approved by the Compliance Officer, in consultation with the Board of Directors or an independent committee of the Board of Directors.</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COMPLIANCE WITH SECTION 16 OF THE SECURITIES EXCHANGE ACT</w:t>
      </w:r>
    </w:p>
    <w:p>
      <w:pPr>
        <w:spacing w:after="0" w:line="204"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20"/>
          <w:szCs w:val="20"/>
          <w:color w:val="auto"/>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172" w:lineRule="exact"/>
        <w:rPr>
          <w:sz w:val="20"/>
          <w:szCs w:val="20"/>
          <w:color w:val="auto"/>
        </w:rPr>
      </w:pPr>
    </w:p>
    <w:p>
      <w:pPr>
        <w:jc w:val="both"/>
        <w:ind w:firstLine="374"/>
        <w:spacing w:after="0" w:line="241" w:lineRule="auto"/>
        <w:rPr>
          <w:sz w:val="20"/>
          <w:szCs w:val="20"/>
          <w:color w:val="auto"/>
        </w:rPr>
      </w:pPr>
      <w:r>
        <w:rPr>
          <w:rFonts w:ascii="Arial" w:cs="Arial" w:eastAsia="Arial" w:hAnsi="Arial"/>
          <w:sz w:val="20"/>
          <w:szCs w:val="20"/>
          <w:color w:val="auto"/>
        </w:rPr>
        <w:t>To ensure transactions subject to Section 16 requirements are reported on time, each person subject to these requirements must provide the Company with detailed information (for example, trade date, number of shares, exact price, etc.) about his or her transactions involving the Company’s securities.</w:t>
      </w:r>
    </w:p>
    <w:p>
      <w:pPr>
        <w:spacing w:after="0" w:line="171" w:lineRule="exact"/>
        <w:rPr>
          <w:sz w:val="20"/>
          <w:szCs w:val="20"/>
          <w:color w:val="auto"/>
        </w:rPr>
      </w:pPr>
    </w:p>
    <w:p>
      <w:pPr>
        <w:jc w:val="both"/>
        <w:ind w:right="20" w:firstLine="374"/>
        <w:spacing w:after="0" w:line="257" w:lineRule="auto"/>
        <w:rPr>
          <w:sz w:val="20"/>
          <w:szCs w:val="20"/>
          <w:color w:val="auto"/>
        </w:rPr>
      </w:pPr>
      <w:r>
        <w:rPr>
          <w:rFonts w:ascii="Arial" w:cs="Arial" w:eastAsia="Arial" w:hAnsi="Arial"/>
          <w:sz w:val="20"/>
          <w:szCs w:val="20"/>
          <w:color w:val="auto"/>
        </w:rPr>
        <w:t>The Company is available to assist in filing Section 16 reports, but the obligation to comply with Section 16 is personal. If you have any questions, you should check with the Compliance Officer.</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ADDITIONAL </w:t>
      </w:r>
      <w:r>
        <w:rPr>
          <w:rFonts w:ascii="Arial" w:cs="Arial" w:eastAsia="Arial" w:hAnsi="Arial"/>
          <w:sz w:val="20"/>
          <w:szCs w:val="20"/>
          <w:b w:val="1"/>
          <w:bCs w:val="1"/>
          <w:color w:val="auto"/>
        </w:rPr>
        <w:t>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Protected Activity Not Prohibited</w:t>
      </w:r>
    </w:p>
    <w:p>
      <w:pPr>
        <w:spacing w:after="0" w:line="218" w:lineRule="exact"/>
        <w:rPr>
          <w:sz w:val="20"/>
          <w:szCs w:val="20"/>
          <w:color w:val="auto"/>
        </w:rPr>
      </w:pPr>
    </w:p>
    <w:p>
      <w:pPr>
        <w:jc w:val="both"/>
        <w:ind w:right="20" w:firstLine="749"/>
        <w:spacing w:after="0" w:line="241" w:lineRule="auto"/>
        <w:rPr>
          <w:sz w:val="20"/>
          <w:szCs w:val="20"/>
          <w:color w:val="auto"/>
        </w:rPr>
      </w:pPr>
      <w:r>
        <w:rPr>
          <w:rFonts w:ascii="Arial" w:cs="Arial" w:eastAsia="Arial" w:hAnsi="Arial"/>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Amendments</w:t>
      </w:r>
    </w:p>
    <w:p>
      <w:pPr>
        <w:spacing w:after="0" w:line="204"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20"/>
          <w:szCs w:val="20"/>
          <w:color w:val="auto"/>
        </w:rPr>
        <w:t>We are committed to continuously reviewing and updating our policies and procedures. The Company therefore reserves the right to amend, alter or terminate this Policy at any time and for any reason, subject to applicable law. Unless otherwise permitted by this Policy, any amendments must be approved by the Board of Directors of the Company. A current copy of the Company’s policies regarding insider trading may be obtained by contacting the Compliance Officer.</w:t>
      </w:r>
    </w:p>
    <w:p>
      <w:pPr>
        <w:spacing w:after="0" w:line="172" w:lineRule="exact"/>
        <w:rPr>
          <w:sz w:val="20"/>
          <w:szCs w:val="20"/>
          <w:color w:val="auto"/>
        </w:rPr>
      </w:pPr>
    </w:p>
    <w:p>
      <w:pPr>
        <w:jc w:val="center"/>
        <w:ind w:right="-19"/>
        <w:spacing w:after="0"/>
        <w:tabs>
          <w:tab w:leader="none" w:pos="240" w:val="left"/>
          <w:tab w:leader="none" w:pos="260" w:val="left"/>
        </w:tabs>
        <w:rPr>
          <w:sz w:val="20"/>
          <w:szCs w:val="20"/>
          <w:color w:val="auto"/>
        </w:rPr>
      </w:pPr>
      <w:r>
        <w:rPr>
          <w:rFonts w:ascii="Arial" w:cs="Arial" w:eastAsia="Arial" w:hAnsi="Arial"/>
          <w:sz w:val="20"/>
          <w:szCs w:val="20"/>
          <w:color w:val="auto"/>
        </w:rPr>
        <w:t>*</w:t>
        <w:tab/>
        <w:t>*</w:t>
        <w:tab/>
        <w:t>*</w:t>
      </w:r>
    </w:p>
    <w:p>
      <w:pPr>
        <w:spacing w:after="0" w:line="202"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i w:val="1"/>
          <w:iCs w:val="1"/>
          <w:color w:val="auto"/>
        </w:rPr>
        <w:t>Nothing in this Insider Trading Policy creates or implies an employment contract or term of employment. Employment at the Company is employment at-will. Employment at-will may be terminated with or without cause and with or without notice at any time by the employee or the Company. Nothing in this Insider Trading Policy shall limit the right to terminate employment at-will. No employee of the Company has any authority to enter into any agreement for employment for a specified period of time or to make any agreement or representation contrary to the Company’s policy of employment at-will. Only the Chief Executive Officer of the Company has the authority to make any such agreement, which must be in writing.</w:t>
      </w:r>
    </w:p>
    <w:p>
      <w:pPr>
        <w:spacing w:after="0" w:line="172"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20"/>
          <w:szCs w:val="20"/>
          <w:i w:val="1"/>
          <w:iCs w:val="1"/>
          <w:color w:val="auto"/>
        </w:rPr>
        <w:t>The policies in this Insider Trading Policy do not constitute a complete list of Company policies or a complete list of the types of conduct that can result in discipline, up to and including discharge.</w:t>
      </w:r>
    </w:p>
    <w:p>
      <w:pPr>
        <w:spacing w:after="0" w:line="200" w:lineRule="exact"/>
        <w:rPr>
          <w:sz w:val="20"/>
          <w:szCs w:val="20"/>
          <w:color w:val="auto"/>
        </w:rPr>
      </w:pPr>
    </w:p>
    <w:p>
      <w:pPr>
        <w:spacing w:after="0" w:line="2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REQUIREMENTS FOR TRADING PLANS</w:t>
      </w:r>
    </w:p>
    <w:p>
      <w:pPr>
        <w:spacing w:after="0" w:line="202" w:lineRule="exact"/>
        <w:rPr>
          <w:sz w:val="20"/>
          <w:szCs w:val="20"/>
          <w:color w:val="auto"/>
        </w:rPr>
      </w:pPr>
    </w:p>
    <w:p>
      <w:pPr>
        <w:jc w:val="both"/>
        <w:ind w:firstLine="374"/>
        <w:spacing w:after="0" w:line="229" w:lineRule="exact"/>
        <w:rPr>
          <w:sz w:val="20"/>
          <w:szCs w:val="20"/>
          <w:color w:val="auto"/>
        </w:rPr>
      </w:pPr>
      <w:r>
        <w:rPr>
          <w:rFonts w:ascii="Arial" w:cs="Arial" w:eastAsia="Arial" w:hAnsi="Arial"/>
          <w:sz w:val="20"/>
          <w:szCs w:val="20"/>
          <w:color w:val="auto"/>
        </w:rPr>
        <w:t>For transactions under a trading plan to be exempt from (A) the prohibitions in the Insider Trading Policy (the “</w:t>
      </w:r>
      <w:r>
        <w:rPr>
          <w:rFonts w:ascii="Arial" w:cs="Arial" w:eastAsia="Arial" w:hAnsi="Arial"/>
          <w:sz w:val="20"/>
          <w:szCs w:val="20"/>
          <w:b w:val="1"/>
          <w:bCs w:val="1"/>
          <w:color w:val="auto"/>
        </w:rPr>
        <w:t>Policy</w:t>
      </w:r>
      <w:r>
        <w:rPr>
          <w:rFonts w:ascii="Arial" w:cs="Arial" w:eastAsia="Arial" w:hAnsi="Arial"/>
          <w:sz w:val="20"/>
          <w:szCs w:val="20"/>
          <w:color w:val="auto"/>
        </w:rPr>
        <w:t>”) of Ambarella, Inc. (together with any subsidiaries, collectively the “</w:t>
      </w:r>
      <w:r>
        <w:rPr>
          <w:rFonts w:ascii="Arial" w:cs="Arial" w:eastAsia="Arial" w:hAnsi="Arial"/>
          <w:sz w:val="20"/>
          <w:szCs w:val="20"/>
          <w:b w:val="1"/>
          <w:bCs w:val="1"/>
          <w:color w:val="auto"/>
        </w:rPr>
        <w:t>Company</w:t>
      </w:r>
      <w:r>
        <w:rPr>
          <w:rFonts w:ascii="Arial" w:cs="Arial" w:eastAsia="Arial" w:hAnsi="Arial"/>
          <w:sz w:val="20"/>
          <w:szCs w:val="20"/>
          <w:color w:val="auto"/>
        </w:rPr>
        <w:t>”) with respect to transactions made while aware of material nonpublic information and (B) the pre-clearance procedures and blackout periods established under the Policy, the trading plan must comply with the affirmative defense set forth in Exchange Act Rule 10b5</w:t>
      </w:r>
      <w:r>
        <w:rPr>
          <w:rFonts w:ascii="MS PGothic" w:cs="MS PGothic" w:eastAsia="MS PGothic" w:hAnsi="MS PGothic"/>
          <w:sz w:val="20"/>
          <w:szCs w:val="20"/>
          <w:color w:val="auto"/>
        </w:rPr>
        <w:t>‑</w:t>
      </w:r>
      <w:r>
        <w:rPr>
          <w:rFonts w:ascii="Arial" w:cs="Arial" w:eastAsia="Arial" w:hAnsi="Arial"/>
          <w:sz w:val="20"/>
          <w:szCs w:val="20"/>
          <w:color w:val="auto"/>
        </w:rPr>
        <w:t>1 and must meet the following requirements:</w:t>
      </w:r>
    </w:p>
    <w:p>
      <w:pPr>
        <w:spacing w:after="0" w:line="171" w:lineRule="exact"/>
        <w:rPr>
          <w:sz w:val="20"/>
          <w:szCs w:val="20"/>
          <w:color w:val="auto"/>
        </w:rPr>
      </w:pPr>
    </w:p>
    <w:p>
      <w:pPr>
        <w:ind w:left="1020" w:hanging="263"/>
        <w:spacing w:after="0"/>
        <w:tabs>
          <w:tab w:leader="none" w:pos="10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trading plan must be in writing and signed by the person adopting the trading plan.</w:t>
      </w:r>
    </w:p>
    <w:p>
      <w:pPr>
        <w:spacing w:after="0" w:line="202" w:lineRule="exact"/>
        <w:rPr>
          <w:rFonts w:ascii="Arial" w:cs="Arial" w:eastAsia="Arial" w:hAnsi="Arial"/>
          <w:sz w:val="20"/>
          <w:szCs w:val="20"/>
          <w:color w:val="auto"/>
        </w:rPr>
      </w:pPr>
    </w:p>
    <w:p>
      <w:pPr>
        <w:ind w:left="1020" w:hanging="263"/>
        <w:spacing w:after="0"/>
        <w:tabs>
          <w:tab w:leader="none" w:pos="10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trading plan must be adopted at a time when:</w:t>
      </w:r>
    </w:p>
    <w:p>
      <w:pPr>
        <w:spacing w:after="0" w:line="202" w:lineRule="exact"/>
        <w:rPr>
          <w:rFonts w:ascii="Arial" w:cs="Arial" w:eastAsia="Arial" w:hAnsi="Arial"/>
          <w:sz w:val="20"/>
          <w:szCs w:val="20"/>
          <w:color w:val="auto"/>
        </w:rPr>
      </w:pPr>
    </w:p>
    <w:p>
      <w:pPr>
        <w:ind w:left="1880" w:hanging="749"/>
        <w:spacing w:after="0"/>
        <w:tabs>
          <w:tab w:leader="none" w:pos="1880"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person adopting the trading plan is not aware of any material nonpublic information; and</w:t>
      </w:r>
    </w:p>
    <w:p>
      <w:pPr>
        <w:spacing w:after="0" w:line="202" w:lineRule="exact"/>
        <w:rPr>
          <w:rFonts w:ascii="Arial" w:cs="Arial" w:eastAsia="Arial" w:hAnsi="Arial"/>
          <w:sz w:val="20"/>
          <w:szCs w:val="20"/>
          <w:color w:val="auto"/>
        </w:rPr>
      </w:pPr>
    </w:p>
    <w:p>
      <w:pPr>
        <w:ind w:left="1880" w:hanging="749"/>
        <w:spacing w:after="0"/>
        <w:tabs>
          <w:tab w:leader="none" w:pos="1880"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there is no quarterly, special or other trading blackout in effect with respect to the person adopting the plan.</w:t>
      </w:r>
    </w:p>
    <w:p>
      <w:pPr>
        <w:spacing w:after="0" w:line="213" w:lineRule="exact"/>
        <w:rPr>
          <w:rFonts w:ascii="Arial" w:cs="Arial" w:eastAsia="Arial" w:hAnsi="Arial"/>
          <w:sz w:val="19"/>
          <w:szCs w:val="19"/>
          <w:color w:val="auto"/>
        </w:rPr>
      </w:pPr>
    </w:p>
    <w:p>
      <w:pPr>
        <w:ind w:right="20" w:firstLine="757"/>
        <w:spacing w:after="0" w:line="258" w:lineRule="exact"/>
        <w:tabs>
          <w:tab w:leader="none" w:pos="1018"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trading plan must be entered in good faith and not as part of a plan or scheme to evade the prohibitions of Rule 10b5</w:t>
      </w:r>
      <w:r>
        <w:rPr>
          <w:rFonts w:ascii="MS PGothic" w:cs="MS PGothic" w:eastAsia="MS PGothic" w:hAnsi="MS PGothic"/>
          <w:sz w:val="20"/>
          <w:szCs w:val="20"/>
          <w:color w:val="auto"/>
        </w:rPr>
        <w:t>‑</w:t>
      </w:r>
      <w:r>
        <w:rPr>
          <w:rFonts w:ascii="Arial" w:cs="Arial" w:eastAsia="Arial" w:hAnsi="Arial"/>
          <w:sz w:val="20"/>
          <w:szCs w:val="20"/>
          <w:color w:val="auto"/>
        </w:rPr>
        <w:t>1, and the person adopting the trading plan must act in good faith with respect to the trading plan.</w:t>
      </w:r>
    </w:p>
    <w:p>
      <w:pPr>
        <w:spacing w:after="0" w:line="145" w:lineRule="exact"/>
        <w:rPr>
          <w:rFonts w:ascii="Arial" w:cs="Arial" w:eastAsia="Arial" w:hAnsi="Arial"/>
          <w:sz w:val="20"/>
          <w:szCs w:val="20"/>
          <w:color w:val="auto"/>
        </w:rPr>
      </w:pPr>
    </w:p>
    <w:p>
      <w:pPr>
        <w:ind w:firstLine="757"/>
        <w:spacing w:after="0" w:line="257" w:lineRule="auto"/>
        <w:tabs>
          <w:tab w:leader="none" w:pos="1018"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trading plan must include representations that, on the date of adoption of the trading plan, the person adopting the trading plan:</w:t>
      </w:r>
    </w:p>
    <w:p>
      <w:pPr>
        <w:spacing w:after="0" w:line="155" w:lineRule="exact"/>
        <w:rPr>
          <w:sz w:val="20"/>
          <w:szCs w:val="20"/>
          <w:color w:val="auto"/>
        </w:rPr>
      </w:pPr>
    </w:p>
    <w:p>
      <w:pPr>
        <w:ind w:left="1500" w:hanging="369"/>
        <w:spacing w:after="0"/>
        <w:tabs>
          <w:tab w:leader="none" w:pos="1500" w:val="left"/>
        </w:tabs>
        <w:numPr>
          <w:ilvl w:val="1"/>
          <w:numId w:val="62"/>
        </w:numPr>
        <w:rPr>
          <w:rFonts w:ascii="Times New Roman" w:cs="Times New Roman" w:eastAsia="Times New Roman" w:hAnsi="Times New Roman"/>
          <w:sz w:val="20"/>
          <w:szCs w:val="20"/>
          <w:color w:val="auto"/>
        </w:rPr>
      </w:pPr>
      <w:r>
        <w:rPr>
          <w:rFonts w:ascii="Arial" w:cs="Arial" w:eastAsia="Arial" w:hAnsi="Arial"/>
          <w:sz w:val="20"/>
          <w:szCs w:val="20"/>
          <w:color w:val="auto"/>
        </w:rPr>
        <w:t>is not aware of material nonpublic information about the securities or the Company; and</w:t>
      </w:r>
    </w:p>
    <w:p>
      <w:pPr>
        <w:spacing w:after="0" w:line="214" w:lineRule="exact"/>
        <w:rPr>
          <w:rFonts w:ascii="Times New Roman" w:cs="Times New Roman" w:eastAsia="Times New Roman" w:hAnsi="Times New Roman"/>
          <w:sz w:val="20"/>
          <w:szCs w:val="20"/>
          <w:color w:val="auto"/>
        </w:rPr>
      </w:pPr>
    </w:p>
    <w:p>
      <w:pPr>
        <w:ind w:left="1500" w:hanging="369"/>
        <w:spacing w:after="0" w:line="256" w:lineRule="auto"/>
        <w:tabs>
          <w:tab w:leader="none" w:pos="1500" w:val="left"/>
        </w:tabs>
        <w:numPr>
          <w:ilvl w:val="1"/>
          <w:numId w:val="62"/>
        </w:numPr>
        <w:rPr>
          <w:rFonts w:ascii="Times New Roman" w:cs="Times New Roman" w:eastAsia="Times New Roman" w:hAnsi="Times New Roman"/>
          <w:sz w:val="20"/>
          <w:szCs w:val="20"/>
          <w:color w:val="auto"/>
        </w:rPr>
      </w:pPr>
      <w:r>
        <w:rPr>
          <w:rFonts w:ascii="Arial" w:cs="Arial" w:eastAsia="Arial" w:hAnsi="Arial"/>
          <w:sz w:val="20"/>
          <w:szCs w:val="20"/>
          <w:color w:val="auto"/>
        </w:rPr>
        <w:t>is adopting the trading plan in good faith and not as part of a plan or scheme to evade the prohibitions of Rule 10b5-1.</w:t>
      </w:r>
    </w:p>
    <w:p>
      <w:pPr>
        <w:spacing w:after="0" w:line="156"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71" w:lineRule="exact"/>
        <w:rPr>
          <w:rFonts w:ascii="Arial" w:cs="Arial" w:eastAsia="Arial" w:hAnsi="Arial"/>
          <w:sz w:val="20"/>
          <w:szCs w:val="20"/>
          <w:color w:val="auto"/>
        </w:rPr>
      </w:pPr>
    </w:p>
    <w:p>
      <w:pPr>
        <w:jc w:val="both"/>
        <w:ind w:firstLine="757"/>
        <w:spacing w:after="0" w:line="237" w:lineRule="auto"/>
        <w:tabs>
          <w:tab w:leader="none" w:pos="1018"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first trade under the trading plan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spacing w:after="0" w:line="171" w:lineRule="exact"/>
        <w:rPr>
          <w:rFonts w:ascii="Arial" w:cs="Arial" w:eastAsia="Arial" w:hAnsi="Arial"/>
          <w:sz w:val="20"/>
          <w:szCs w:val="20"/>
          <w:color w:val="auto"/>
        </w:rPr>
      </w:pPr>
    </w:p>
    <w:p>
      <w:pPr>
        <w:ind w:left="1020" w:hanging="263"/>
        <w:spacing w:after="0"/>
        <w:tabs>
          <w:tab w:leader="none" w:pos="10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trading plan must have a minimum term of one year (starting from date of adoption of the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3" w:name="page194"/>
    <w:bookmarkEnd w:id="193"/>
    <w:p>
      <w:pPr>
        <w:spacing w:after="0" w:line="189" w:lineRule="exact"/>
        <w:rPr>
          <w:sz w:val="20"/>
          <w:szCs w:val="20"/>
          <w:color w:val="auto"/>
        </w:rPr>
      </w:pPr>
    </w:p>
    <w:p>
      <w:pPr>
        <w:jc w:val="both"/>
        <w:ind w:firstLine="757"/>
        <w:spacing w:after="0" w:line="230" w:lineRule="auto"/>
        <w:tabs>
          <w:tab w:leader="none" w:pos="1018" w:val="left"/>
        </w:tabs>
        <w:numPr>
          <w:ilvl w:val="0"/>
          <w:numId w:val="63"/>
        </w:numPr>
        <w:rPr>
          <w:rFonts w:ascii="Arial" w:cs="Arial" w:eastAsia="Arial" w:hAnsi="Arial"/>
          <w:sz w:val="20"/>
          <w:szCs w:val="20"/>
          <w:color w:val="auto"/>
        </w:rPr>
      </w:pPr>
      <w:r>
        <w:rPr>
          <w:rFonts w:ascii="Arial" w:cs="Arial" w:eastAsia="Arial" w:hAnsi="Arial"/>
          <w:sz w:val="20"/>
          <w:szCs w:val="20"/>
          <w:color w:val="auto"/>
        </w:rPr>
        <w:t>All transactions during the term of the trading plan (except for the “</w:t>
      </w:r>
      <w:r>
        <w:rPr>
          <w:rFonts w:ascii="Arial" w:cs="Arial" w:eastAsia="Arial" w:hAnsi="Arial"/>
          <w:sz w:val="20"/>
          <w:szCs w:val="20"/>
          <w:b w:val="1"/>
          <w:bCs w:val="1"/>
          <w:color w:val="auto"/>
        </w:rPr>
        <w:t>Limited Exceptions</w:t>
      </w:r>
      <w:r>
        <w:rPr>
          <w:rFonts w:ascii="Arial" w:cs="Arial" w:eastAsia="Arial" w:hAnsi="Arial"/>
          <w:sz w:val="20"/>
          <w:szCs w:val="20"/>
          <w:color w:val="auto"/>
        </w:rPr>
        <w:t xml:space="preserve">” identified in the Policy and </w:t>
      </w:r>
      <w:r>
        <w:rPr>
          <w:rFonts w:ascii="Arial" w:cs="Arial" w:eastAsia="Arial" w:hAnsi="Arial"/>
          <w:sz w:val="20"/>
          <w:szCs w:val="20"/>
          <w:i w:val="1"/>
          <w:iCs w:val="1"/>
          <w:color w:val="auto"/>
        </w:rPr>
        <w:t xml:space="preserve">bona fide </w:t>
      </w:r>
      <w:r>
        <w:rPr>
          <w:rFonts w:ascii="Arial" w:cs="Arial" w:eastAsia="Arial" w:hAnsi="Arial"/>
          <w:sz w:val="20"/>
          <w:szCs w:val="20"/>
          <w:color w:val="auto"/>
        </w:rPr>
        <w:t>gifts) must be conducted through the trading plan. In addition, the person adopting the trading plan may not have an</w:t>
      </w:r>
      <w:r>
        <w:rPr>
          <w:rFonts w:ascii="Arial" w:cs="Arial" w:eastAsia="Arial" w:hAnsi="Arial"/>
          <w:sz w:val="20"/>
          <w:szCs w:val="20"/>
          <w:i w:val="1"/>
          <w:iCs w:val="1"/>
          <w:color w:val="auto"/>
        </w:rPr>
        <w:t xml:space="preserve"> </w:t>
      </w:r>
      <w:r>
        <w:rPr>
          <w:rFonts w:ascii="Arial" w:cs="Arial" w:eastAsia="Arial" w:hAnsi="Arial"/>
          <w:sz w:val="20"/>
          <w:szCs w:val="20"/>
          <w:color w:val="auto"/>
        </w:rPr>
        <w:t>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as advised to exercise caution and consult with the Compliance Officer prior to the early termination of an existing trading plan.</w:t>
      </w:r>
    </w:p>
    <w:p>
      <w:pPr>
        <w:spacing w:after="0" w:line="178" w:lineRule="exact"/>
        <w:rPr>
          <w:rFonts w:ascii="Arial" w:cs="Arial" w:eastAsia="Arial" w:hAnsi="Arial"/>
          <w:sz w:val="20"/>
          <w:szCs w:val="20"/>
          <w:color w:val="auto"/>
        </w:rPr>
      </w:pPr>
    </w:p>
    <w:p>
      <w:pPr>
        <w:jc w:val="both"/>
        <w:ind w:firstLine="757"/>
        <w:spacing w:after="0" w:line="241" w:lineRule="auto"/>
        <w:tabs>
          <w:tab w:leader="none" w:pos="1018"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modification or change to the amount, price or timing of transactions under the trading plan is deemed the termination of the trading plan, and the adoption of a new trading plan (“</w:t>
      </w:r>
      <w:r>
        <w:rPr>
          <w:rFonts w:ascii="Arial" w:cs="Arial" w:eastAsia="Arial" w:hAnsi="Arial"/>
          <w:sz w:val="20"/>
          <w:szCs w:val="20"/>
          <w:b w:val="1"/>
          <w:bCs w:val="1"/>
          <w:color w:val="auto"/>
        </w:rPr>
        <w:t>Modification</w:t>
      </w:r>
      <w:r>
        <w:rPr>
          <w:rFonts w:ascii="Arial" w:cs="Arial" w:eastAsia="Arial" w:hAnsi="Arial"/>
          <w:sz w:val="20"/>
          <w:szCs w:val="20"/>
          <w:color w:val="auto"/>
        </w:rPr>
        <w:t>”). Therefore, a Modification is subject to the same conditions as a new trading plan as set forth in Sections 1 through 8 herein.</w:t>
      </w:r>
    </w:p>
    <w:p>
      <w:pPr>
        <w:spacing w:after="0" w:line="171"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20"/>
          <w:szCs w:val="20"/>
          <w:color w:val="auto"/>
        </w:rPr>
        <w:t>10.Within the one year preceding the adoption or a Modification of a trading plan, a person may not have otherwise adopted or done a Modification to a plan more than once.</w:t>
      </w:r>
    </w:p>
    <w:p>
      <w:pPr>
        <w:spacing w:after="0" w:line="15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11.A person may adopt a trading plan designed to cover a single trade only once in any consecutive 12-month period except as permitted by Rule 10b5-1.</w:t>
      </w:r>
    </w:p>
    <w:p>
      <w:pPr>
        <w:spacing w:after="0" w:line="155"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12.If the person that adopted the trading plan terminates the plan prior to its stated duration, he or she may not trade in the Company’s securities until after the expiration of 30 calendar days following termination, and then only in accordance with the Policy.</w:t>
      </w:r>
    </w:p>
    <w:p>
      <w:pPr>
        <w:spacing w:after="0" w:line="17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13.The Company must be promptly notified of any Modification or termination of the trading plan, including any suspension of trading under the trading plan.</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14.The Company must have authority to require the suspension or cancellation of the trading plan at any time.</w:t>
      </w:r>
    </w:p>
    <w:p>
      <w:pPr>
        <w:spacing w:after="0" w:line="2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15.If the trading plan grants discretion to a stockbroker or other person with respect to the execution of trades under the trading plan:</w:t>
      </w:r>
    </w:p>
    <w:p>
      <w:pPr>
        <w:spacing w:after="0" w:line="155" w:lineRule="exact"/>
        <w:rPr>
          <w:sz w:val="20"/>
          <w:szCs w:val="20"/>
          <w:color w:val="auto"/>
        </w:rPr>
      </w:pPr>
    </w:p>
    <w:p>
      <w:pPr>
        <w:ind w:left="1880" w:hanging="749"/>
        <w:spacing w:after="0" w:line="257" w:lineRule="auto"/>
        <w:tabs>
          <w:tab w:leader="none" w:pos="18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trades made under the trading plan must be executed by someone other than the stockbroker or other person that executes trades in other securities for the person adopting the trading plan;</w:t>
      </w:r>
    </w:p>
    <w:p>
      <w:pPr>
        <w:spacing w:after="0" w:line="155" w:lineRule="exact"/>
        <w:rPr>
          <w:rFonts w:ascii="Arial" w:cs="Arial" w:eastAsia="Arial" w:hAnsi="Arial"/>
          <w:sz w:val="20"/>
          <w:szCs w:val="20"/>
          <w:color w:val="auto"/>
        </w:rPr>
      </w:pPr>
    </w:p>
    <w:p>
      <w:pPr>
        <w:ind w:left="1880" w:right="20" w:hanging="749"/>
        <w:spacing w:after="0" w:line="257" w:lineRule="auto"/>
        <w:tabs>
          <w:tab w:leader="none" w:pos="18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person adopting the trading plan may not confer with the person administering the trading plan regarding the Company or its securities; and</w:t>
      </w:r>
    </w:p>
    <w:p>
      <w:pPr>
        <w:spacing w:after="0" w:line="155" w:lineRule="exact"/>
        <w:rPr>
          <w:rFonts w:ascii="Arial" w:cs="Arial" w:eastAsia="Arial" w:hAnsi="Arial"/>
          <w:sz w:val="20"/>
          <w:szCs w:val="20"/>
          <w:color w:val="auto"/>
        </w:rPr>
      </w:pPr>
    </w:p>
    <w:p>
      <w:pPr>
        <w:ind w:left="1880" w:hanging="749"/>
        <w:spacing w:after="0" w:line="257" w:lineRule="auto"/>
        <w:tabs>
          <w:tab w:leader="none" w:pos="18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person administering the trading plan must provide prompt notice to the Company of the execution of a transaction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16.All transactions under the trading plan must be in accordance with applicable law.</w:t>
      </w:r>
    </w:p>
    <w:p>
      <w:pPr>
        <w:spacing w:after="0" w:line="202" w:lineRule="exact"/>
        <w:rPr>
          <w:sz w:val="20"/>
          <w:szCs w:val="20"/>
          <w:color w:val="auto"/>
        </w:rPr>
      </w:pPr>
    </w:p>
    <w:p>
      <w:pPr>
        <w:ind w:firstLine="749"/>
        <w:spacing w:after="0" w:line="257" w:lineRule="auto"/>
        <w:rPr>
          <w:sz w:val="20"/>
          <w:szCs w:val="20"/>
          <w:color w:val="auto"/>
        </w:rPr>
      </w:pPr>
      <w:r>
        <w:rPr>
          <w:rFonts w:ascii="Arial" w:cs="Arial" w:eastAsia="Arial" w:hAnsi="Arial"/>
          <w:sz w:val="20"/>
          <w:szCs w:val="20"/>
          <w:color w:val="auto"/>
        </w:rPr>
        <w:t>17.The trading plan (including any Modification) must meet such other requirements as the Compliance Officer (as defined in the Policy)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5" w:name="page196"/>
    <w:bookmarkEnd w:id="195"/>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333-261243, 333-261244, 333-184506, 333-187730, 333-195078, 333-203094, 333-210405, 333-217037, 333-224052, 333-230603, 333-237439, 333-254945, and 333-283667) of Ambarella, Inc. of our report dated March 28, 2025 relating to the financial statements and the effectiveness of internal control over financial reporting, which appears in this Form 10-K.</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6" w:name="page197"/>
    <w:bookmarkEnd w:id="196"/>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Ambarella, Inc.;</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20" w:firstLine="517"/>
        <w:spacing w:after="0" w:line="266" w:lineRule="auto"/>
        <w:tabs>
          <w:tab w:leader="none" w:pos="75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firstLine="517"/>
        <w:spacing w:after="0" w:line="266" w:lineRule="auto"/>
        <w:tabs>
          <w:tab w:leader="none" w:pos="76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20" w:firstLine="517"/>
        <w:spacing w:after="0" w:line="282" w:lineRule="auto"/>
        <w:tabs>
          <w:tab w:leader="none" w:pos="75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180" w:firstLine="517"/>
        <w:spacing w:after="0" w:line="266" w:lineRule="auto"/>
        <w:tabs>
          <w:tab w:leader="none" w:pos="76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40" w:firstLine="517"/>
        <w:spacing w:after="0" w:line="282" w:lineRule="auto"/>
        <w:tabs>
          <w:tab w:leader="none" w:pos="75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517"/>
        <w:spacing w:after="0" w:line="282" w:lineRule="auto"/>
        <w:tabs>
          <w:tab w:leader="none" w:pos="76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2025</w:t>
      </w:r>
    </w:p>
    <w:p>
      <w:pPr>
        <w:spacing w:after="0" w:line="200" w:lineRule="exact"/>
        <w:rPr>
          <w:sz w:val="20"/>
          <w:szCs w:val="20"/>
          <w:color w:val="auto"/>
        </w:rPr>
      </w:pPr>
    </w:p>
    <w:p>
      <w:pPr>
        <w:spacing w:after="0" w:line="26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Feng-Ming Wang</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97" w:name="page198"/>
    <w:bookmarkEnd w:id="197"/>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Young, certify that:</w:t>
      </w:r>
    </w:p>
    <w:p>
      <w:pPr>
        <w:spacing w:after="0" w:line="225" w:lineRule="exact"/>
        <w:rPr>
          <w:sz w:val="20"/>
          <w:szCs w:val="20"/>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Ambarella, Inc.;</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20" w:firstLine="517"/>
        <w:spacing w:after="0" w:line="266" w:lineRule="auto"/>
        <w:tabs>
          <w:tab w:leader="none" w:pos="7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firstLine="517"/>
        <w:spacing w:after="0" w:line="266" w:lineRule="auto"/>
        <w:tabs>
          <w:tab w:leader="none" w:pos="76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20" w:firstLine="517"/>
        <w:spacing w:after="0" w:line="282" w:lineRule="auto"/>
        <w:tabs>
          <w:tab w:leader="none" w:pos="7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180" w:firstLine="517"/>
        <w:spacing w:after="0" w:line="266" w:lineRule="auto"/>
        <w:tabs>
          <w:tab w:leader="none" w:pos="76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40" w:firstLine="517"/>
        <w:spacing w:after="0" w:line="282" w:lineRule="auto"/>
        <w:tabs>
          <w:tab w:leader="none" w:pos="75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517"/>
        <w:spacing w:after="0" w:line="282" w:lineRule="auto"/>
        <w:tabs>
          <w:tab w:leader="none" w:pos="76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2025</w:t>
      </w:r>
    </w:p>
    <w:p>
      <w:pPr>
        <w:spacing w:after="0" w:line="200" w:lineRule="exact"/>
        <w:rPr>
          <w:sz w:val="20"/>
          <w:szCs w:val="20"/>
          <w:color w:val="auto"/>
        </w:rPr>
      </w:pPr>
    </w:p>
    <w:p>
      <w:pPr>
        <w:spacing w:after="0" w:line="26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John A. Young</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98" w:name="page199"/>
    <w:bookmarkEnd w:id="198"/>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Annual Report of Ambarella, Inc. on Form 10-K for the fiscal year ended January 31, 2025 fully complies with the requirements of Section 13(a) or 15(d) of the Securities Exchange Act of 1934 and that information contained in such Annual Report on Form 10-K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78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Feng-Ming Wang</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John A. Young, certify, pursuant to 18 U.S.C. Section 1350, as adopted pursuant to Section 906 of the Sarbanes-Oxley Act of 2002, that the Annual Report of Ambarella, Inc. on Form 10-K for the fiscal year ended January 31, 2025 fully complies with the requirements of Section 13(a) or 15(d) of the Securities Exchange Act of 1934 and that information contained in such Annual Report on Form 10-K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28,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Young</w:t>
            </w:r>
          </w:p>
        </w:tc>
      </w:tr>
      <w:tr>
        <w:trPr>
          <w:trHeight w:val="191"/>
        </w:trPr>
        <w:tc>
          <w:tcPr>
            <w:tcW w:w="7560" w:type="dxa"/>
            <w:vAlign w:val="bottom"/>
          </w:tcPr>
          <w:p>
            <w:pPr>
              <w:ind w:left="67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A. Young</w:t>
            </w:r>
          </w:p>
        </w:tc>
      </w:tr>
      <w:tr>
        <w:trPr>
          <w:trHeight w:val="234"/>
        </w:trPr>
        <w:tc>
          <w:tcPr>
            <w:tcW w:w="756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9" w:name="page200"/>
    <w:bookmarkEnd w:id="1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1)"/>
      <w:numFmt w:val="lowerRoman"/>
      <w:start w:val="3"/>
    </w:lvl>
  </w:abstractNum>
  <w:abstractNum w:abstractNumId="29">
    <w:nsid w:val="7644A45C"/>
    <w:multiLevelType w:val="hybridMultilevel"/>
    <w:lvl w:ilvl="0">
      <w:lvlJc w:val="left"/>
      <w:lvlText w:val="(%1)"/>
      <w:numFmt w:val="lowerLetter"/>
      <w:start w:val="1"/>
    </w:lvl>
  </w:abstractNum>
  <w:abstractNum w:abstractNumId="30">
    <w:nsid w:val="32FFF902"/>
    <w:multiLevelType w:val="hybridMultilevel"/>
    <w:lvl w:ilvl="0">
      <w:lvlJc w:val="left"/>
      <w:lvlText w:val="(%1)"/>
      <w:numFmt w:val="lowerLetter"/>
      <w:start w:val="1"/>
    </w:lvl>
  </w:abstractNum>
  <w:abstractNum w:abstractNumId="31">
    <w:nsid w:val="684A481A"/>
    <w:multiLevelType w:val="hybridMultilevel"/>
    <w:lvl w:ilvl="0">
      <w:lvlJc w:val="left"/>
      <w:lvlText w:val="(%1)"/>
      <w:numFmt w:val="lowerLetter"/>
      <w:start w:val="2"/>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1"/>
    </w:lvl>
  </w:abstractNum>
  <w:abstractNum w:abstractNumId="34">
    <w:nsid w:val="3DC240FB"/>
    <w:multiLevelType w:val="hybridMultilevel"/>
    <w:lvl w:ilvl="0">
      <w:lvlJc w:val="left"/>
      <w:lvlText w:val="(%1)"/>
      <w:numFmt w:val="lowerLetter"/>
      <w:start w:val="1"/>
    </w:lvl>
  </w:abstractNum>
  <w:abstractNum w:abstractNumId="35">
    <w:nsid w:val="1BA026FA"/>
    <w:multiLevelType w:val="hybridMultilevel"/>
    <w:lvl w:ilvl="0">
      <w:lvlJc w:val="left"/>
      <w:lvlText w:val="%1"/>
      <w:numFmt w:val="decimal"/>
      <w:start w:val="1"/>
    </w:lvl>
    <w:lvl w:ilvl="1">
      <w:lvlJc w:val="left"/>
      <w:lvlText w:val="%2"/>
      <w:numFmt w:val="decimal"/>
      <w:start w:val="104"/>
    </w:lvl>
  </w:abstractNum>
  <w:abstractNum w:abstractNumId="36">
    <w:nsid w:val="79A1DEAA"/>
    <w:multiLevelType w:val="hybridMultilevel"/>
    <w:lvl w:ilvl="0">
      <w:lvlJc w:val="left"/>
      <w:lvlText w:val="(%1)"/>
      <w:numFmt w:val="decimal"/>
      <w:start w:val="1"/>
    </w:lvl>
    <w:lvl w:ilvl="1">
      <w:lvlJc w:val="left"/>
      <w:lvlText w:val="%2"/>
      <w:numFmt w:val="decimal"/>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A"/>
      <w:numFmt w:val="bullet"/>
      <w:start w:val="1"/>
    </w:lvl>
  </w:abstractNum>
  <w:abstractNum w:abstractNumId="39">
    <w:nsid w:val="70C6A529"/>
    <w:multiLevelType w:val="hybridMultilevel"/>
    <w:lvl w:ilvl="0">
      <w:lvlJc w:val="left"/>
      <w:lvlText w:val="%1."/>
      <w:numFmt w:val="decimal"/>
      <w:start w:val="3"/>
    </w:lvl>
  </w:abstractNum>
  <w:abstractNum w:abstractNumId="40">
    <w:nsid w:val="520EEDD1"/>
    <w:multiLevelType w:val="hybridMultilevel"/>
    <w:lvl w:ilvl="0">
      <w:lvlJc w:val="left"/>
      <w:lvlText w:val="(%1)"/>
      <w:numFmt w:val="decimal"/>
      <w:start w:val="30"/>
    </w:lvl>
  </w:abstractNum>
  <w:abstractNum w:abstractNumId="41">
    <w:nsid w:val="374A3FE6"/>
    <w:multiLevelType w:val="hybridMultilevel"/>
    <w:lvl w:ilvl="0">
      <w:lvlJc w:val="left"/>
      <w:lvlText w:val="(%1)"/>
      <w:numFmt w:val="lowerLetter"/>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lowerLetter"/>
      <w:start w:val="10"/>
    </w:lvl>
  </w:abstractNum>
  <w:abstractNum w:abstractNumId="44">
    <w:nsid w:val="649BB77C"/>
    <w:multiLevelType w:val="hybridMultilevel"/>
    <w:lvl w:ilvl="0">
      <w:lvlJc w:val="left"/>
      <w:lvlText w:val="(%1)"/>
      <w:numFmt w:val="lowerLetter"/>
      <w:start w:val="11"/>
    </w:lvl>
  </w:abstractNum>
  <w:abstractNum w:abstractNumId="45">
    <w:nsid w:val="275AC794"/>
    <w:multiLevelType w:val="hybridMultilevel"/>
    <w:lvl w:ilvl="0">
      <w:lvlJc w:val="left"/>
      <w:lvlText w:val="(%1)"/>
      <w:numFmt w:val="lowerLetter"/>
      <w:start w:val="23"/>
    </w:lvl>
  </w:abstractNum>
  <w:abstractNum w:abstractNumId="46">
    <w:nsid w:val="39386575"/>
    <w:multiLevelType w:val="hybridMultilevel"/>
    <w:lvl w:ilvl="0">
      <w:lvlJc w:val="left"/>
      <w:lvlText w:val="(%1)"/>
      <w:numFmt w:val="decimal"/>
      <w:start w:val="30"/>
    </w:lvl>
  </w:abstractNum>
  <w:abstractNum w:abstractNumId="47">
    <w:nsid w:val="1CF10FD8"/>
    <w:multiLevelType w:val="hybridMultilevel"/>
    <w:lvl w:ilvl="0">
      <w:lvlJc w:val="left"/>
      <w:lvlText w:val="(%1)"/>
      <w:numFmt w:val="lowerRoman"/>
      <w:start w:val="2"/>
    </w:lvl>
  </w:abstractNum>
  <w:abstractNum w:abstractNumId="48">
    <w:nsid w:val="180115BE"/>
    <w:multiLevelType w:val="hybridMultilevel"/>
    <w:lvl w:ilvl="0">
      <w:lvlJc w:val="left"/>
      <w:lvlText w:val="(%1)"/>
      <w:numFmt w:val="decimal"/>
      <w:start w:val="15"/>
    </w:lvl>
  </w:abstractNum>
  <w:abstractNum w:abstractNumId="49">
    <w:nsid w:val="235BA861"/>
    <w:multiLevelType w:val="hybridMultilevel"/>
    <w:lvl w:ilvl="0">
      <w:lvlJc w:val="left"/>
      <w:lvlText w:val="(%1)"/>
      <w:numFmt w:val="lowerRoman"/>
      <w:start w:val="1"/>
    </w:lvl>
  </w:abstractNum>
  <w:abstractNum w:abstractNumId="50">
    <w:nsid w:val="47398C89"/>
    <w:multiLevelType w:val="hybridMultilevel"/>
    <w:lvl w:ilvl="0">
      <w:lvlJc w:val="left"/>
      <w:lvlText w:val="(%1)"/>
      <w:numFmt w:val="lowerRoman"/>
      <w:start w:val="2"/>
    </w:lvl>
  </w:abstractNum>
  <w:abstractNum w:abstractNumId="51">
    <w:nsid w:val="354FE9F9"/>
    <w:multiLevelType w:val="hybridMultilevel"/>
    <w:lvl w:ilvl="0">
      <w:lvlJc w:val="left"/>
      <w:lvlText w:val="%1."/>
      <w:numFmt w:val="decimal"/>
      <w:start w:val="1"/>
    </w:lvl>
    <w:lvl w:ilvl="1">
      <w:lvlJc w:val="left"/>
      <w:lvlText w:val="%2."/>
      <w:numFmt w:val="decimal"/>
      <w:start w:val="2"/>
    </w:lvl>
  </w:abstractNum>
  <w:abstractNum w:abstractNumId="52">
    <w:nsid w:val="15B5AF5C"/>
    <w:multiLevelType w:val="hybridMultilevel"/>
    <w:lvl w:ilvl="0">
      <w:lvlJc w:val="left"/>
      <w:lvlText w:val="%1."/>
      <w:numFmt w:val="decimal"/>
      <w:start w:val="3"/>
    </w:lvl>
  </w:abstractNum>
  <w:abstractNum w:abstractNumId="53">
    <w:nsid w:val="741226BB"/>
    <w:multiLevelType w:val="hybridMultilevel"/>
    <w:lvl w:ilvl="0">
      <w:lvlJc w:val="left"/>
      <w:lvlText w:val="(%1)"/>
      <w:numFmt w:val="lowerRoman"/>
      <w:start w:val="1"/>
    </w:lvl>
  </w:abstractNum>
  <w:abstractNum w:abstractNumId="54">
    <w:nsid w:val="D34B6A8"/>
    <w:multiLevelType w:val="hybridMultilevel"/>
    <w:lvl w:ilvl="0">
      <w:lvlJc w:val="left"/>
      <w:lvlText w:val="(%1)"/>
      <w:numFmt w:val="lowerRoman"/>
      <w:start w:val="3"/>
    </w:lvl>
  </w:abstractNum>
  <w:abstractNum w:abstractNumId="55">
    <w:nsid w:val="10233C99"/>
    <w:multiLevelType w:val="hybridMultilevel"/>
    <w:lvl w:ilvl="0">
      <w:lvlJc w:val="left"/>
      <w:lvlText w:val="(%1)"/>
      <w:numFmt w:val="lowerRoman"/>
      <w:start w:val="1"/>
    </w:lvl>
  </w:abstractNum>
  <w:abstractNum w:abstractNumId="56">
    <w:nsid w:val="3F6AB60F"/>
    <w:multiLevelType w:val="hybridMultilevel"/>
    <w:lvl w:ilvl="0">
      <w:lvlJc w:val="left"/>
      <w:lvlText w:val="(%1)"/>
      <w:numFmt w:val="lowerRoman"/>
      <w:start w:val="3"/>
    </w:lvl>
    <w:lvl w:ilvl="1">
      <w:lvlJc w:val="left"/>
      <w:lvlText w:val="(%2)"/>
      <w:numFmt w:val="lowerRoman"/>
      <w:start w:val="6"/>
    </w:lvl>
  </w:abstractNum>
  <w:abstractNum w:abstractNumId="57">
    <w:nsid w:val="61574095"/>
    <w:multiLevelType w:val="hybridMultilevel"/>
    <w:lvl w:ilvl="0">
      <w:lvlJc w:val="left"/>
      <w:lvlText w:val="(%1)"/>
      <w:numFmt w:val="lowerRoman"/>
      <w:start w:val="7"/>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1."/>
      <w:numFmt w:val="decimal"/>
      <w:start w:val="1"/>
    </w:lvl>
    <w:lvl w:ilvl="1">
      <w:lvlJc w:val="left"/>
      <w:lvlText w:val="%2."/>
      <w:numFmt w:val="lowerLetter"/>
      <w:start w:val="1"/>
    </w:lvl>
  </w:abstractNum>
  <w:abstractNum w:abstractNumId="61">
    <w:nsid w:val="310C50B3"/>
    <w:multiLevelType w:val="hybridMultilevel"/>
    <w:lvl w:ilvl="0">
      <w:lvlJc w:val="left"/>
      <w:lvlText w:val="%1."/>
      <w:numFmt w:val="decimal"/>
      <w:start w:val="4"/>
    </w:lvl>
    <w:lvl w:ilvl="1">
      <w:lvlJc w:val="left"/>
      <w:lvlText w:val="•"/>
      <w:numFmt w:val="bullet"/>
      <w:start w:val="1"/>
    </w:lvl>
  </w:abstractNum>
  <w:abstractNum w:abstractNumId="62">
    <w:nsid w:val="5FF87E05"/>
    <w:multiLevelType w:val="hybridMultilevel"/>
    <w:lvl w:ilvl="0">
      <w:lvlJc w:val="left"/>
      <w:lvlText w:val="%1."/>
      <w:numFmt w:val="decimal"/>
      <w:start w:val="8"/>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35" Type="http://schemas.openxmlformats.org/officeDocument/2006/relationships/image" Target="media/image400.png"/><Relationship Id="rId436" Type="http://schemas.openxmlformats.org/officeDocument/2006/relationships/image" Target="media/image401.png"/><Relationship Id="rId437" Type="http://schemas.openxmlformats.org/officeDocument/2006/relationships/image" Target="media/image402.png"/><Relationship Id="rId438" Type="http://schemas.openxmlformats.org/officeDocument/2006/relationships/image" Target="media/image403.png"/><Relationship Id="rId439" Type="http://schemas.openxmlformats.org/officeDocument/2006/relationships/image" Target="media/image404.png"/><Relationship Id="rId440" Type="http://schemas.openxmlformats.org/officeDocument/2006/relationships/image" Target="media/image405.png"/><Relationship Id="rId441" Type="http://schemas.openxmlformats.org/officeDocument/2006/relationships/image" Target="media/image406.png"/><Relationship Id="rId442" Type="http://schemas.openxmlformats.org/officeDocument/2006/relationships/image" Target="media/image407.png"/><Relationship Id="rId443" Type="http://schemas.openxmlformats.org/officeDocument/2006/relationships/image" Target="media/image408.png"/><Relationship Id="rId444" Type="http://schemas.openxmlformats.org/officeDocument/2006/relationships/image" Target="media/image409.png"/><Relationship Id="rId445" Type="http://schemas.openxmlformats.org/officeDocument/2006/relationships/image" Target="media/image410.png"/><Relationship Id="rId446" Type="http://schemas.openxmlformats.org/officeDocument/2006/relationships/image" Target="media/image411.png"/><Relationship Id="rId447" Type="http://schemas.openxmlformats.org/officeDocument/2006/relationships/image" Target="media/image412.png"/><Relationship Id="rId448" Type="http://schemas.openxmlformats.org/officeDocument/2006/relationships/image" Target="media/image413.png"/><Relationship Id="rId449" Type="http://schemas.openxmlformats.org/officeDocument/2006/relationships/image" Target="media/image414.png"/><Relationship Id="rId450" Type="http://schemas.openxmlformats.org/officeDocument/2006/relationships/image" Target="media/image415.png"/><Relationship Id="rId451" Type="http://schemas.openxmlformats.org/officeDocument/2006/relationships/image" Target="media/image416.png"/><Relationship Id="rId452" Type="http://schemas.openxmlformats.org/officeDocument/2006/relationships/image" Target="media/image417.png"/><Relationship Id="rId453" Type="http://schemas.openxmlformats.org/officeDocument/2006/relationships/image" Target="media/image418.png"/><Relationship Id="rId454" Type="http://schemas.openxmlformats.org/officeDocument/2006/relationships/image" Target="media/image419.png"/><Relationship Id="rId455" Type="http://schemas.openxmlformats.org/officeDocument/2006/relationships/image" Target="media/image420.png"/><Relationship Id="rId456" Type="http://schemas.openxmlformats.org/officeDocument/2006/relationships/image" Target="media/image421.png"/><Relationship Id="rId457" Type="http://schemas.openxmlformats.org/officeDocument/2006/relationships/image" Target="media/image422.png"/><Relationship Id="rId458" Type="http://schemas.openxmlformats.org/officeDocument/2006/relationships/image" Target="media/image423.png"/><Relationship Id="rId459" Type="http://schemas.openxmlformats.org/officeDocument/2006/relationships/image" Target="media/image424.png"/><Relationship Id="rId460" Type="http://schemas.openxmlformats.org/officeDocument/2006/relationships/image" Target="media/image425.png"/><Relationship Id="rId461" Type="http://schemas.openxmlformats.org/officeDocument/2006/relationships/image" Target="media/image426.png"/><Relationship Id="rId462" Type="http://schemas.openxmlformats.org/officeDocument/2006/relationships/image" Target="media/image427.png"/><Relationship Id="rId463" Type="http://schemas.openxmlformats.org/officeDocument/2006/relationships/image" Target="media/image428.png"/><Relationship Id="rId464" Type="http://schemas.openxmlformats.org/officeDocument/2006/relationships/image" Target="media/image429.png"/><Relationship Id="rId465" Type="http://schemas.openxmlformats.org/officeDocument/2006/relationships/image" Target="media/image430.png"/><Relationship Id="rId466" Type="http://schemas.openxmlformats.org/officeDocument/2006/relationships/image" Target="media/image431.png"/><Relationship Id="rId467" Type="http://schemas.openxmlformats.org/officeDocument/2006/relationships/image" Target="media/image432.png"/><Relationship Id="rId468" Type="http://schemas.openxmlformats.org/officeDocument/2006/relationships/image" Target="media/image433.png"/><Relationship Id="rId469" Type="http://schemas.openxmlformats.org/officeDocument/2006/relationships/image" Target="media/image434.png"/><Relationship Id="rId470" Type="http://schemas.openxmlformats.org/officeDocument/2006/relationships/image" Target="media/image435.png"/><Relationship Id="rId471" Type="http://schemas.openxmlformats.org/officeDocument/2006/relationships/image" Target="media/image436.png"/><Relationship Id="rId472" Type="http://schemas.openxmlformats.org/officeDocument/2006/relationships/image" Target="media/image437.png"/><Relationship Id="rId473" Type="http://schemas.openxmlformats.org/officeDocument/2006/relationships/image" Target="media/image438.png"/><Relationship Id="rId474" Type="http://schemas.openxmlformats.org/officeDocument/2006/relationships/image" Target="media/image439.png"/><Relationship Id="rId475" Type="http://schemas.openxmlformats.org/officeDocument/2006/relationships/image" Target="media/image440.png"/><Relationship Id="rId476" Type="http://schemas.openxmlformats.org/officeDocument/2006/relationships/image" Target="media/image441.png"/><Relationship Id="rId477" Type="http://schemas.openxmlformats.org/officeDocument/2006/relationships/image" Target="media/image442.png"/><Relationship Id="rId478" Type="http://schemas.openxmlformats.org/officeDocument/2006/relationships/image" Target="media/image443.png"/><Relationship Id="rId479" Type="http://schemas.openxmlformats.org/officeDocument/2006/relationships/image" Target="media/image444.png"/><Relationship Id="rId480" Type="http://schemas.openxmlformats.org/officeDocument/2006/relationships/image" Target="media/image445.png"/><Relationship Id="rId481" Type="http://schemas.openxmlformats.org/officeDocument/2006/relationships/image" Target="media/image446.png"/><Relationship Id="rId482" Type="http://schemas.openxmlformats.org/officeDocument/2006/relationships/image" Target="media/image447.png"/><Relationship Id="rId483" Type="http://schemas.openxmlformats.org/officeDocument/2006/relationships/image" Target="media/image448.png"/><Relationship Id="rId484" Type="http://schemas.openxmlformats.org/officeDocument/2006/relationships/image" Target="media/image449.png"/><Relationship Id="rId485" Type="http://schemas.openxmlformats.org/officeDocument/2006/relationships/image" Target="media/image450.png"/><Relationship Id="rId486" Type="http://schemas.openxmlformats.org/officeDocument/2006/relationships/image" Target="media/image451.png"/><Relationship Id="rId487" Type="http://schemas.openxmlformats.org/officeDocument/2006/relationships/image" Target="media/image452.png"/><Relationship Id="rId488" Type="http://schemas.openxmlformats.org/officeDocument/2006/relationships/image" Target="media/image453.png"/><Relationship Id="rId489" Type="http://schemas.openxmlformats.org/officeDocument/2006/relationships/image" Target="media/image454.png"/><Relationship Id="rId490" Type="http://schemas.openxmlformats.org/officeDocument/2006/relationships/image" Target="media/image455.png"/><Relationship Id="rId491" Type="http://schemas.openxmlformats.org/officeDocument/2006/relationships/image" Target="media/image456.png"/><Relationship Id="rId492" Type="http://schemas.openxmlformats.org/officeDocument/2006/relationships/image" Target="media/image457.png"/><Relationship Id="rId493" Type="http://schemas.openxmlformats.org/officeDocument/2006/relationships/image" Target="media/image458.png"/><Relationship Id="rId494" Type="http://schemas.openxmlformats.org/officeDocument/2006/relationships/image" Target="media/image459.png"/><Relationship Id="rId495" Type="http://schemas.openxmlformats.org/officeDocument/2006/relationships/image" Target="media/image460.png"/><Relationship Id="rId496" Type="http://schemas.openxmlformats.org/officeDocument/2006/relationships/image" Target="media/image461.png"/><Relationship Id="rId497" Type="http://schemas.openxmlformats.org/officeDocument/2006/relationships/image" Target="media/image462.png"/><Relationship Id="rId498" Type="http://schemas.openxmlformats.org/officeDocument/2006/relationships/image" Target="media/image463.png"/><Relationship Id="rId499" Type="http://schemas.openxmlformats.org/officeDocument/2006/relationships/image" Target="media/image464.png"/><Relationship Id="rId500" Type="http://schemas.openxmlformats.org/officeDocument/2006/relationships/image" Target="media/image465.png"/><Relationship Id="rId501" Type="http://schemas.openxmlformats.org/officeDocument/2006/relationships/image" Target="media/image466.png"/><Relationship Id="rId502" Type="http://schemas.openxmlformats.org/officeDocument/2006/relationships/image" Target="media/image467.png"/><Relationship Id="rId503" Type="http://schemas.openxmlformats.org/officeDocument/2006/relationships/image" Target="media/image468.png"/><Relationship Id="rId504" Type="http://schemas.openxmlformats.org/officeDocument/2006/relationships/image" Target="media/image469.png"/><Relationship Id="rId505" Type="http://schemas.openxmlformats.org/officeDocument/2006/relationships/image" Target="media/image470.png"/><Relationship Id="rId506" Type="http://schemas.openxmlformats.org/officeDocument/2006/relationships/image" Target="media/image471.png"/><Relationship Id="rId507" Type="http://schemas.openxmlformats.org/officeDocument/2006/relationships/image" Target="media/image472.png"/><Relationship Id="rId508" Type="http://schemas.openxmlformats.org/officeDocument/2006/relationships/image" Target="media/image473.png"/><Relationship Id="rId509" Type="http://schemas.openxmlformats.org/officeDocument/2006/relationships/image" Target="media/image474.png"/><Relationship Id="rId510" Type="http://schemas.openxmlformats.org/officeDocument/2006/relationships/image" Target="media/image475.png"/><Relationship Id="rId511" Type="http://schemas.openxmlformats.org/officeDocument/2006/relationships/image" Target="media/image476.png"/><Relationship Id="rId512" Type="http://schemas.openxmlformats.org/officeDocument/2006/relationships/image" Target="media/image477.png"/><Relationship Id="rId513" Type="http://schemas.openxmlformats.org/officeDocument/2006/relationships/image" Target="media/image478.png"/><Relationship Id="rId514" Type="http://schemas.openxmlformats.org/officeDocument/2006/relationships/image" Target="media/image479.png"/><Relationship Id="rId515" Type="http://schemas.openxmlformats.org/officeDocument/2006/relationships/image" Target="media/image480.png"/><Relationship Id="rId516" Type="http://schemas.openxmlformats.org/officeDocument/2006/relationships/image" Target="media/image481.png"/><Relationship Id="rId517" Type="http://schemas.openxmlformats.org/officeDocument/2006/relationships/image" Target="media/image482.png"/><Relationship Id="rId518" Type="http://schemas.openxmlformats.org/officeDocument/2006/relationships/image" Target="media/image483.png"/><Relationship Id="rId519" Type="http://schemas.openxmlformats.org/officeDocument/2006/relationships/image" Target="media/image484.png"/><Relationship Id="rId520" Type="http://schemas.openxmlformats.org/officeDocument/2006/relationships/image" Target="media/image485.png"/><Relationship Id="rId521" Type="http://schemas.openxmlformats.org/officeDocument/2006/relationships/image" Target="media/image486.png"/><Relationship Id="rId522" Type="http://schemas.openxmlformats.org/officeDocument/2006/relationships/image" Target="media/image487.png"/><Relationship Id="rId523" Type="http://schemas.openxmlformats.org/officeDocument/2006/relationships/image" Target="media/image488.png"/><Relationship Id="rId524" Type="http://schemas.openxmlformats.org/officeDocument/2006/relationships/image" Target="media/image489.png"/><Relationship Id="rId525" Type="http://schemas.openxmlformats.org/officeDocument/2006/relationships/image" Target="media/image490.png"/><Relationship Id="rId526" Type="http://schemas.openxmlformats.org/officeDocument/2006/relationships/image" Target="media/image491.png"/><Relationship Id="rId527" Type="http://schemas.openxmlformats.org/officeDocument/2006/relationships/image" Target="media/image492.png"/><Relationship Id="rId528" Type="http://schemas.openxmlformats.org/officeDocument/2006/relationships/image" Target="media/image493.png"/><Relationship Id="rId529" Type="http://schemas.openxmlformats.org/officeDocument/2006/relationships/image" Target="media/image494.png"/><Relationship Id="rId530" Type="http://schemas.openxmlformats.org/officeDocument/2006/relationships/image" Target="media/image495.png"/><Relationship Id="rId531" Type="http://schemas.openxmlformats.org/officeDocument/2006/relationships/image" Target="media/image496.png"/><Relationship Id="rId532" Type="http://schemas.openxmlformats.org/officeDocument/2006/relationships/image" Target="media/image497.png"/><Relationship Id="rId533" Type="http://schemas.openxmlformats.org/officeDocument/2006/relationships/image" Target="media/image498.png"/><Relationship Id="rId534" Type="http://schemas.openxmlformats.org/officeDocument/2006/relationships/image" Target="media/image499.png"/><Relationship Id="rId535" Type="http://schemas.openxmlformats.org/officeDocument/2006/relationships/image" Target="media/image500.png"/><Relationship Id="rId536" Type="http://schemas.openxmlformats.org/officeDocument/2006/relationships/image" Target="media/image501.png"/><Relationship Id="rId537" Type="http://schemas.openxmlformats.org/officeDocument/2006/relationships/image" Target="media/image502.jpeg"/><Relationship Id="rId538" Type="http://schemas.openxmlformats.org/officeDocument/2006/relationships/image" Target="media/image503.png"/><Relationship Id="rId539" Type="http://schemas.openxmlformats.org/officeDocument/2006/relationships/image" Target="media/image504.png"/><Relationship Id="rId540" Type="http://schemas.openxmlformats.org/officeDocument/2006/relationships/image" Target="media/image505.png"/><Relationship Id="rId541" Type="http://schemas.openxmlformats.org/officeDocument/2006/relationships/image" Target="media/image506.png"/><Relationship Id="rId542" Type="http://schemas.openxmlformats.org/officeDocument/2006/relationships/image" Target="media/image507.png"/><Relationship Id="rId543" Type="http://schemas.openxmlformats.org/officeDocument/2006/relationships/image" Target="media/image508.png"/><Relationship Id="rId544" Type="http://schemas.openxmlformats.org/officeDocument/2006/relationships/image" Target="media/image509.png"/><Relationship Id="rId545" Type="http://schemas.openxmlformats.org/officeDocument/2006/relationships/image" Target="media/image510.png"/><Relationship Id="rId546" Type="http://schemas.openxmlformats.org/officeDocument/2006/relationships/image" Target="media/image511.png"/><Relationship Id="rId547" Type="http://schemas.openxmlformats.org/officeDocument/2006/relationships/image" Target="media/image512.png"/><Relationship Id="rId548" Type="http://schemas.openxmlformats.org/officeDocument/2006/relationships/image" Target="media/image513.png"/><Relationship Id="rId549" Type="http://schemas.openxmlformats.org/officeDocument/2006/relationships/image" Target="media/image514.png"/><Relationship Id="rId550" Type="http://schemas.openxmlformats.org/officeDocument/2006/relationships/image" Target="media/image515.png"/><Relationship Id="rId551" Type="http://schemas.openxmlformats.org/officeDocument/2006/relationships/image" Target="media/image516.png"/><Relationship Id="rId552" Type="http://schemas.openxmlformats.org/officeDocument/2006/relationships/image" Target="media/image517.png"/><Relationship Id="rId553" Type="http://schemas.openxmlformats.org/officeDocument/2006/relationships/image" Target="media/image518.png"/><Relationship Id="rId554" Type="http://schemas.openxmlformats.org/officeDocument/2006/relationships/image" Target="media/image519.png"/><Relationship Id="rId555" Type="http://schemas.openxmlformats.org/officeDocument/2006/relationships/image" Target="media/image520.png"/><Relationship Id="rId556" Type="http://schemas.openxmlformats.org/officeDocument/2006/relationships/image" Target="media/image521.png"/><Relationship Id="rId557" Type="http://schemas.openxmlformats.org/officeDocument/2006/relationships/image" Target="media/image522.png"/><Relationship Id="rId558" Type="http://schemas.openxmlformats.org/officeDocument/2006/relationships/image" Target="media/image523.png"/><Relationship Id="rId559" Type="http://schemas.openxmlformats.org/officeDocument/2006/relationships/image" Target="media/image524.png"/><Relationship Id="rId560" Type="http://schemas.openxmlformats.org/officeDocument/2006/relationships/image" Target="media/image525.png"/><Relationship Id="rId561" Type="http://schemas.openxmlformats.org/officeDocument/2006/relationships/image" Target="media/image526.png"/><Relationship Id="rId562" Type="http://schemas.openxmlformats.org/officeDocument/2006/relationships/image" Target="media/image527.png"/><Relationship Id="rId563" Type="http://schemas.openxmlformats.org/officeDocument/2006/relationships/image" Target="media/image528.png"/><Relationship Id="rId564" Type="http://schemas.openxmlformats.org/officeDocument/2006/relationships/image" Target="media/image529.png"/><Relationship Id="rId565" Type="http://schemas.openxmlformats.org/officeDocument/2006/relationships/image" Target="media/image530.png"/><Relationship Id="rId566" Type="http://schemas.openxmlformats.org/officeDocument/2006/relationships/image" Target="media/image531.png"/><Relationship Id="rId405" Type="http://schemas.openxmlformats.org/officeDocument/2006/relationships/hyperlink" Target="https://www.sec.gov/Archives/edgar/data/0001280263/000119312512389774/d193541dex32.htm" TargetMode="External"/><Relationship Id="rId406" Type="http://schemas.openxmlformats.org/officeDocument/2006/relationships/hyperlink" Target="https://www.sec.gov/Archives/edgar/data/1280263/000156459020013513/amba-ex41_146.htm" TargetMode="External"/><Relationship Id="rId407" Type="http://schemas.openxmlformats.org/officeDocument/2006/relationships/hyperlink" Target="https://www.sec.gov/Archives/edgar/data/0001280263/000156459017005590/amba-ex1021_529.htm" TargetMode="External"/><Relationship Id="rId408" Type="http://schemas.openxmlformats.org/officeDocument/2006/relationships/hyperlink" Target="https://www.sec.gov/Archives/edgar/data/0001280263/000119312512389774/d193541dex1022.htm" TargetMode="External"/><Relationship Id="rId409" Type="http://schemas.openxmlformats.org/officeDocument/2006/relationships/hyperlink" Target="https://www.sec.gov/Archives/edgar/data/0001280263/000119312512389774/d193541dex1023.htm" TargetMode="External"/><Relationship Id="rId410" Type="http://schemas.openxmlformats.org/officeDocument/2006/relationships/hyperlink" Target="https://www.sec.gov/Archives/edgar/data/0001280263/000119312512389774/d193541dex1024.htm" TargetMode="External"/><Relationship Id="rId411" Type="http://schemas.openxmlformats.org/officeDocument/2006/relationships/hyperlink" Target="https://www.sec.gov/Archives/edgar/data/0001280263/000156459017005590/amba-ex1025_629.htm" TargetMode="External"/><Relationship Id="rId412" Type="http://schemas.openxmlformats.org/officeDocument/2006/relationships/hyperlink" Target="https://www.sec.gov/Archives/edgar/data/0001280263/000156459015007784/amba-ex101_178.htm" TargetMode="External"/><Relationship Id="rId413" Type="http://schemas.openxmlformats.org/officeDocument/2006/relationships/hyperlink" Target="https://www.sec.gov/Archives/edgar/data/1280263/000119312524162670/d822730dex101.htm" TargetMode="External"/><Relationship Id="rId414" Type="http://schemas.openxmlformats.org/officeDocument/2006/relationships/hyperlink" Target="https://www.sec.gov/Archives/edgar/data/1280263/000119312521335319/d190533dex412.htm" TargetMode="External"/><Relationship Id="rId415" Type="http://schemas.openxmlformats.org/officeDocument/2006/relationships/hyperlink" Target="https://www.sec.gov/Archives/edgar/data/1280263/000119312521335319/d190533dex413.htm" TargetMode="External"/><Relationship Id="rId416" Type="http://schemas.openxmlformats.org/officeDocument/2006/relationships/hyperlink" Target="https://www.sec.gov/Archives/edgar/data/1280263/000119312521335314/d191443dex411.htm" TargetMode="External"/><Relationship Id="rId417" Type="http://schemas.openxmlformats.org/officeDocument/2006/relationships/hyperlink" Target="https://www.sec.gov/Archives/edgar/data/1280263/000119312521335314/d191443dex412.htm" TargetMode="External"/><Relationship Id="rId420" Type="http://schemas.openxmlformats.org/officeDocument/2006/relationships/hyperlink" Target="https://www.sec.gov/Archives/edgar/data/0001280263/000119312512389774/d193541dex104.htm" TargetMode="External"/><Relationship Id="rId421" Type="http://schemas.openxmlformats.org/officeDocument/2006/relationships/hyperlink" Target="https://www.sec.gov/Archives/edgar/data/0001280263/000119312511162978/dex1061.htm" TargetMode="External"/><Relationship Id="rId422" Type="http://schemas.openxmlformats.org/officeDocument/2006/relationships/hyperlink" Target="https://www.sec.gov/Archives/edgar/data/0001280263/000156459018022808/amba-ex103_89.htm" TargetMode="External"/><Relationship Id="rId423" Type="http://schemas.openxmlformats.org/officeDocument/2006/relationships/hyperlink" Target="https://www.sec.gov/Archives/edgar/data/0001280263/000119312512405005/d193541dex1081.htm" TargetMode="External"/><Relationship Id="rId424" Type="http://schemas.openxmlformats.org/officeDocument/2006/relationships/hyperlink" Target="https://www.sec.gov/Archives/edgar/data/0001280263/000119312512405005/d193541dex1082.htm" TargetMode="External"/><Relationship Id="rId425" Type="http://schemas.openxmlformats.org/officeDocument/2006/relationships/hyperlink" Target="https://www.sec.gov/Archives/edgar/data/0001280263/000119312512416751/d193541dex1083.htm" TargetMode="External"/><Relationship Id="rId426" Type="http://schemas.openxmlformats.org/officeDocument/2006/relationships/hyperlink" Target="https://www.sec.gov/Archives/edgar/data/0001280263/000156459015007784/amba-ex102_192.htm" TargetMode="External"/><Relationship Id="rId427" Type="http://schemas.openxmlformats.org/officeDocument/2006/relationships/hyperlink" Target="https://www.sec.gov/Archives/edgar/data/1280263/000156459019034237/amba-ex101_195.htm" TargetMode="External"/><Relationship Id="rId428" Type="http://schemas.openxmlformats.org/officeDocument/2006/relationships/hyperlink" Target="https://www.sec.gov/Archives/edgar/data/0001280263/000156459021047305/amba-ex102_136.htm" TargetMode="External"/><Relationship Id="rId429" Type="http://schemas.openxmlformats.org/officeDocument/2006/relationships/hyperlink" Target="https://www.sec.gov/Archives/edgar/data/1280263/000095017023026602/amba-ex10_1.htm" TargetMode="External"/><Relationship Id="rId430" Type="http://schemas.openxmlformats.org/officeDocument/2006/relationships/hyperlink" Target="https://www.sec.gov/Archives/edgar/data/1280263/000156459019045444/amba-ex101_152.htm" TargetMode="External"/><Relationship Id="rId431" Type="http://schemas.openxmlformats.org/officeDocument/2006/relationships/hyperlink" Target="https://www.sec.gov/Archives/edgar/data/1280263/000095017023068983/amba-ex10_2.htm" TargetMode="External"/><Relationship Id="rId432" Type="http://schemas.openxmlformats.org/officeDocument/2006/relationships/hyperlink" Target="https://www.sec.gov/ix?doc=/Archives/edgar/data/1280263/000119312524050958/d793563d8k.htm" TargetMode="External"/><Relationship Id="rId433" Type="http://schemas.openxmlformats.org/officeDocument/2006/relationships/hyperlink" Target="https://www.sec.gov/Archives/edgar/data/1280263/000095017024038555/amba-ex21_1.htm" TargetMode="External"/><Relationship Id="rId434" Type="http://schemas.openxmlformats.org/officeDocument/2006/relationships/hyperlink" Target="https://www.sec.gov/Archives/edgar/data/1280263/000095017024038555/amb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2025-03-28T12:47:28Z</dcterms:created>
  <dcterms:modified xsi:type="dcterms:W3CDTF">2025-03-28T12:47:28Z</dcterms:modified>
</cp:coreProperties>
</file>