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80" w:right="180" w:hanging="572"/>
        <w:spacing w:after="0" w:line="243"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r>
      <w:tr>
        <w:trPr>
          <w:trHeight w:val="344"/>
        </w:trPr>
        <w:tc>
          <w:tcPr>
            <w:tcW w:w="364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AMBARELLA,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00" w:type="dxa"/>
            <w:vAlign w:val="bottom"/>
            <w:gridSpan w:val="2"/>
          </w:tcPr>
          <w:p>
            <w:pPr>
              <w:jc w:val="center"/>
              <w:ind w:left="1096"/>
              <w:spacing w:after="0"/>
              <w:rPr>
                <w:sz w:val="20"/>
                <w:szCs w:val="20"/>
                <w:color w:val="auto"/>
              </w:rPr>
            </w:pPr>
            <w:r>
              <w:rPr>
                <w:rFonts w:ascii="Arial" w:cs="Arial" w:eastAsia="Arial" w:hAnsi="Arial"/>
                <w:sz w:val="18"/>
                <w:szCs w:val="18"/>
                <w:b w:val="1"/>
                <w:bCs w:val="1"/>
                <w:color w:val="auto"/>
                <w:w w:val="90"/>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Arial" w:cs="Arial" w:eastAsia="Arial" w:hAnsi="Arial"/>
                <w:sz w:val="18"/>
                <w:szCs w:val="18"/>
                <w:b w:val="1"/>
                <w:bCs w:val="1"/>
                <w:color w:val="auto"/>
              </w:rPr>
              <w:t>98-0459628</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9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96"/>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4"/>
        </w:trPr>
        <w:tc>
          <w:tcPr>
            <w:tcW w:w="4500" w:type="dxa"/>
            <w:vAlign w:val="bottom"/>
            <w:gridSpan w:val="2"/>
          </w:tcPr>
          <w:p>
            <w:pPr>
              <w:jc w:val="center"/>
              <w:ind w:left="1116"/>
              <w:spacing w:after="0"/>
              <w:rPr>
                <w:sz w:val="20"/>
                <w:szCs w:val="20"/>
                <w:color w:val="auto"/>
              </w:rPr>
            </w:pPr>
            <w:r>
              <w:rPr>
                <w:rFonts w:ascii="Arial" w:cs="Arial" w:eastAsia="Arial" w:hAnsi="Arial"/>
                <w:sz w:val="18"/>
                <w:szCs w:val="18"/>
                <w:b w:val="1"/>
                <w:bCs w:val="1"/>
                <w:color w:val="auto"/>
                <w:w w:val="89"/>
              </w:rPr>
              <w:t>3101 Jay Street</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jc w:val="center"/>
              <w:ind w:left="1096"/>
              <w:spacing w:after="0"/>
              <w:rPr>
                <w:sz w:val="20"/>
                <w:szCs w:val="20"/>
                <w:color w:val="auto"/>
              </w:rPr>
            </w:pPr>
            <w:r>
              <w:rPr>
                <w:rFonts w:ascii="Arial" w:cs="Arial" w:eastAsia="Arial" w:hAnsi="Arial"/>
                <w:sz w:val="18"/>
                <w:szCs w:val="18"/>
                <w:b w:val="1"/>
                <w:bCs w:val="1"/>
                <w:color w:val="auto"/>
                <w:w w:val="93"/>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Arial" w:cs="Arial" w:eastAsia="Arial" w:hAnsi="Arial"/>
                <w:sz w:val="18"/>
                <w:szCs w:val="18"/>
                <w:b w:val="1"/>
                <w:bCs w:val="1"/>
                <w:color w:val="auto"/>
              </w:rPr>
              <w:t>95054</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11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86"/>
        </w:trPr>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Arial" w:cs="Arial" w:eastAsia="Arial" w:hAnsi="Arial"/>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1"/>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$0.00045 Par Value Per Share</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8"/>
                <w:szCs w:val="18"/>
                <w:color w:val="auto"/>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67" w:lineRule="exact"/>
        <w:rPr>
          <w:sz w:val="24"/>
          <w:szCs w:val="24"/>
          <w:color w:val="auto"/>
        </w:rPr>
      </w:pPr>
    </w:p>
    <w:p>
      <w:pPr>
        <w:ind w:right="16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80"/>
        <w:spacing w:after="0" w:line="26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ordinary shares of the Registrant outstanding as of June 1, 2021 was 36,278,551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120" w:type="dxa"/>
            <w:vAlign w:val="bottom"/>
          </w:tcPr>
          <w:p>
            <w:pPr>
              <w:spacing w:after="0"/>
              <w:rPr>
                <w:sz w:val="14"/>
                <w:szCs w:val="14"/>
                <w:color w:val="auto"/>
              </w:rPr>
            </w:pPr>
          </w:p>
        </w:tc>
      </w:tr>
      <w:tr>
        <w:trPr>
          <w:trHeight w:val="412"/>
        </w:trPr>
        <w:tc>
          <w:tcPr>
            <w:tcW w:w="30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740" w:type="dxa"/>
            <w:vAlign w:val="bottom"/>
            <w:gridSpan w:val="10"/>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Balance Sheets at April 30, 2021 and January 31, 2021</w:t>
              </w:r>
            </w:hyperlink>
          </w:p>
        </w:tc>
        <w:tc>
          <w:tcPr>
            <w:tcW w:w="3340" w:type="dxa"/>
            <w:vAlign w:val="bottom"/>
            <w:gridSpan w:val="5"/>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 for the three months ended April 30, 2021 and 2020</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Unaudited Condensed Consolidated Statements of Comprehensive Loss for the three months ended April 30, 2021 and 2020</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17"/>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Statements of Shareholders’ Equity for the three months ended April 30, 2021 and 2020</w:t>
              </w:r>
            </w:hyperlink>
          </w:p>
        </w:tc>
        <w:tc>
          <w:tcPr>
            <w:tcW w:w="9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three months ended April 30, 2021 and 2020</w:t>
              </w:r>
            </w:hyperlink>
          </w:p>
        </w:tc>
        <w:tc>
          <w:tcPr>
            <w:tcW w:w="1640" w:type="dxa"/>
            <w:vAlign w:val="bottom"/>
            <w:gridSpan w:val="3"/>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5140" w:type="dxa"/>
            <w:vAlign w:val="bottom"/>
            <w:gridSpan w:val="7"/>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80" w:type="dxa"/>
            <w:vAlign w:val="bottom"/>
            <w:gridSpan w:val="6"/>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8160" w:type="dxa"/>
            <w:vAlign w:val="bottom"/>
            <w:gridSpan w:val="12"/>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439"/>
        </w:trPr>
        <w:tc>
          <w:tcPr>
            <w:tcW w:w="27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8040" w:type="dxa"/>
            <w:vAlign w:val="bottom"/>
            <w:gridSpan w:val="11"/>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8600" w:type="dxa"/>
            <w:vAlign w:val="bottom"/>
            <w:gridSpan w:val="14"/>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9020" w:type="dxa"/>
            <w:vAlign w:val="bottom"/>
            <w:gridSpan w:val="15"/>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Unregistered Sales of Equity Securities and Use of Proceeds</w:t>
              </w:r>
            </w:hyperlink>
          </w:p>
        </w:tc>
        <w:tc>
          <w:tcPr>
            <w:tcW w:w="5580" w:type="dxa"/>
            <w:vAlign w:val="bottom"/>
            <w:gridSpan w:val="9"/>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40" w:type="dxa"/>
            <w:vAlign w:val="bottom"/>
            <w:gridSpan w:val="1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880" w:type="dxa"/>
            <w:vAlign w:val="bottom"/>
            <w:gridSpan w:val="2"/>
          </w:tcPr>
          <w:p>
            <w:pP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412"/>
              <w:spacing w:after="0"/>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15"/>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227,509</w:t>
            </w:r>
          </w:p>
        </w:tc>
        <w:tc>
          <w:tcPr>
            <w:tcW w:w="5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debt securities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208,020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34,528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5,361</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508,548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10,775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584,638</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20,644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44,897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8,475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14,866</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93,344</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Shareholders' equity:</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Preference shares, $0.00045 par value per share, 20,000,000 shares</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and no shares issued and outstanding at April 30, 2021 and</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January 31, 2021, respectively</w:t>
            </w: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Ordinary shares, $0.00045 par value per share, 200,000,000 shares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Arial" w:cs="Arial" w:eastAsia="Arial" w:hAnsi="Arial"/>
                <w:sz w:val="18"/>
                <w:szCs w:val="18"/>
                <w:color w:val="auto"/>
              </w:rPr>
              <w:t>authorized at April 30, 2021 and January 31, 2021, respectively;</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Arial" w:cs="Arial" w:eastAsia="Arial" w:hAnsi="Arial"/>
                <w:sz w:val="18"/>
                <w:szCs w:val="18"/>
                <w:color w:val="auto"/>
              </w:rPr>
              <w:t>36,273,343 shares issued and outstanding at April 30, 2021; 35,547,440</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80"/>
              <w:spacing w:after="0"/>
              <w:rPr>
                <w:sz w:val="20"/>
                <w:szCs w:val="20"/>
                <w:color w:val="auto"/>
              </w:rPr>
            </w:pPr>
            <w:r>
              <w:rPr>
                <w:rFonts w:ascii="Arial" w:cs="Arial" w:eastAsia="Arial" w:hAnsi="Arial"/>
                <w:sz w:val="18"/>
                <w:szCs w:val="18"/>
                <w:color w:val="auto"/>
              </w:rPr>
              <w:t>shares issued and outstanding at January 31, 2021</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375,021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115,465</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491,294</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10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584,638</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55"/>
        </w:trPr>
        <w:tc>
          <w:tcPr>
            <w:tcW w:w="778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26,368</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22,625</w:t>
            </w:r>
          </w:p>
        </w:tc>
        <w:tc>
          <w:tcPr>
            <w:tcW w:w="2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43,765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16,027</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13,435</w:t>
            </w:r>
          </w:p>
        </w:tc>
        <w:tc>
          <w:tcPr>
            <w:tcW w:w="2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53,901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47,635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(15,615)</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8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(14,337)</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(10,818)</w:t>
            </w: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(15,463)</w:t>
            </w:r>
          </w:p>
        </w:tc>
        <w:tc>
          <w:tcPr>
            <w:tcW w:w="0" w:type="dxa"/>
            <w:vAlign w:val="bottom"/>
          </w:tcPr>
          <w:p>
            <w:pPr>
              <w:spacing w:after="0"/>
              <w:rPr>
                <w:sz w:val="1"/>
                <w:szCs w:val="1"/>
                <w:color w:val="auto"/>
              </w:rPr>
            </w:pPr>
          </w:p>
        </w:tc>
      </w:tr>
      <w:tr>
        <w:trPr>
          <w:trHeight w:val="210"/>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ordinary shareholders:</w:t>
            </w: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780" w:type="dxa"/>
            <w:vAlign w:val="bottom"/>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0"/>
        </w:trPr>
        <w:tc>
          <w:tcPr>
            <w:tcW w:w="7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w w:val="98"/>
              </w:rPr>
              <w:t>Weighted-average shares used to compute net loss per share attributable to ordinary shareholders: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35,940,304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34,080,330</w:t>
            </w: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35,940,304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34,080,330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55"/>
        </w:trPr>
        <w:tc>
          <w:tcPr>
            <w:tcW w:w="76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(10,818)</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(15,463)</w:t>
            </w:r>
          </w:p>
        </w:tc>
        <w:tc>
          <w:tcPr>
            <w:tcW w:w="300" w:type="dxa"/>
            <w:vAlign w:val="bottom"/>
            <w:shd w:val="clear" w:color="auto" w:fill="CFF0FC"/>
          </w:tcPr>
          <w:p>
            <w:pPr>
              <w:spacing w:after="0"/>
              <w:rPr>
                <w:sz w:val="19"/>
                <w:szCs w:val="19"/>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losses on investments</w:t>
            </w: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(427)</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(363)</w:t>
            </w:r>
          </w:p>
        </w:tc>
      </w:tr>
      <w:tr>
        <w:trPr>
          <w:trHeight w:val="20"/>
        </w:trPr>
        <w:tc>
          <w:tcPr>
            <w:tcW w:w="7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9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(363)</w:t>
            </w:r>
          </w:p>
        </w:tc>
      </w:tr>
      <w:tr>
        <w:trPr>
          <w:trHeight w:val="223"/>
        </w:trPr>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(11,245)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(15,826)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1780" w:type="dxa"/>
            <w:vAlign w:val="bottom"/>
            <w:gridSpan w:val="3"/>
          </w:tcPr>
          <w:p>
            <w:pPr>
              <w:jc w:val="center"/>
              <w:ind w:left="111"/>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472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111"/>
              <w:spacing w:after="0"/>
              <w:rPr>
                <w:sz w:val="20"/>
                <w:szCs w:val="20"/>
                <w:color w:val="auto"/>
              </w:rPr>
            </w:pPr>
            <w:r>
              <w:rPr>
                <w:rFonts w:ascii="Arial" w:cs="Arial" w:eastAsia="Arial" w:hAnsi="Arial"/>
                <w:sz w:val="13"/>
                <w:szCs w:val="13"/>
                <w:b w:val="1"/>
                <w:bCs w:val="1"/>
                <w:color w:val="auto"/>
                <w:w w:val="90"/>
              </w:rPr>
              <w:t>Ordinary Shares</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4"/>
              </w:rPr>
              <w:t>Retained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72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3"/>
              </w:rPr>
              <w:t>Earnings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r>
      <w:tr>
        <w:trPr>
          <w:trHeight w:val="156"/>
        </w:trPr>
        <w:tc>
          <w:tcPr>
            <w:tcW w:w="4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Balance--January 31, 2021</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35,547,440</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347,458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126,283</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474,976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tcPr>
          <w:p>
            <w:pPr>
              <w:jc w:val="right"/>
              <w:spacing w:after="0"/>
              <w:rPr>
                <w:sz w:val="20"/>
                <w:szCs w:val="20"/>
                <w:color w:val="auto"/>
              </w:rPr>
            </w:pPr>
            <w:r>
              <w:rPr>
                <w:rFonts w:ascii="Arial" w:cs="Arial" w:eastAsia="Arial" w:hAnsi="Arial"/>
                <w:sz w:val="14"/>
                <w:szCs w:val="14"/>
                <w:color w:val="auto"/>
              </w:rPr>
              <w:t>643,120</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6,741</w:t>
            </w:r>
          </w:p>
        </w:tc>
        <w:tc>
          <w:tcPr>
            <w:tcW w:w="100" w:type="dxa"/>
            <w:vAlign w:val="bottom"/>
          </w:tcPr>
          <w:p>
            <w:pPr>
              <w:spacing w:after="0"/>
              <w:rPr>
                <w:sz w:val="14"/>
                <w:szCs w:val="14"/>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82,783</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3,694</w:t>
            </w:r>
          </w:p>
        </w:tc>
        <w:tc>
          <w:tcPr>
            <w:tcW w:w="100" w:type="dxa"/>
            <w:vAlign w:val="bottom"/>
            <w:shd w:val="clear" w:color="auto" w:fill="CFF0FC"/>
          </w:tcPr>
          <w:p>
            <w:pPr>
              <w:spacing w:after="0"/>
              <w:rPr>
                <w:sz w:val="14"/>
                <w:szCs w:val="14"/>
                <w:color w:val="auto"/>
              </w:rPr>
            </w:pPr>
          </w:p>
        </w:tc>
      </w:tr>
      <w:tr>
        <w:trPr>
          <w:trHeight w:val="143"/>
        </w:trPr>
        <w:tc>
          <w:tcPr>
            <w:tcW w:w="472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4720" w:type="dxa"/>
            <w:vAlign w:val="bottom"/>
          </w:tcPr>
          <w:p>
            <w:pPr>
              <w:ind w:left="260"/>
              <w:spacing w:after="0"/>
              <w:rPr>
                <w:sz w:val="20"/>
                <w:szCs w:val="20"/>
                <w:color w:val="auto"/>
              </w:rPr>
            </w:pPr>
            <w:r>
              <w:rPr>
                <w:rFonts w:ascii="Arial" w:cs="Arial" w:eastAsia="Arial" w:hAnsi="Arial"/>
                <w:sz w:val="14"/>
                <w:szCs w:val="14"/>
                <w:color w:val="auto"/>
              </w:rPr>
              <w:t>employees and consultants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17,128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17,128</w:t>
            </w:r>
          </w:p>
        </w:tc>
        <w:tc>
          <w:tcPr>
            <w:tcW w:w="100" w:type="dxa"/>
            <w:vAlign w:val="bottom"/>
          </w:tcPr>
          <w:p>
            <w:pPr>
              <w:spacing w:after="0"/>
              <w:rPr>
                <w:sz w:val="14"/>
                <w:szCs w:val="14"/>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unrealized losses on investments - net of tax</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(427)</w:t>
            </w: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(10,818)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(10,818)</w:t>
            </w:r>
          </w:p>
        </w:tc>
      </w:tr>
      <w:tr>
        <w:trPr>
          <w:trHeight w:val="156"/>
        </w:trPr>
        <w:tc>
          <w:tcPr>
            <w:tcW w:w="4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Balance--April 30, 2021</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36,273,343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6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375,021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115,465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491,294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3"/>
        </w:trPr>
        <w:tc>
          <w:tcPr>
            <w:tcW w:w="4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4720" w:type="dxa"/>
            <w:vAlign w:val="bottom"/>
          </w:tcPr>
          <w:p>
            <w:pPr>
              <w:spacing w:after="0"/>
              <w:rPr>
                <w:sz w:val="14"/>
                <w:szCs w:val="14"/>
                <w:color w:val="auto"/>
              </w:rPr>
            </w:pPr>
          </w:p>
        </w:tc>
        <w:tc>
          <w:tcPr>
            <w:tcW w:w="1780" w:type="dxa"/>
            <w:vAlign w:val="bottom"/>
            <w:gridSpan w:val="3"/>
          </w:tcPr>
          <w:p>
            <w:pPr>
              <w:jc w:val="center"/>
              <w:ind w:left="111"/>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472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111"/>
              <w:spacing w:after="0"/>
              <w:rPr>
                <w:sz w:val="20"/>
                <w:szCs w:val="20"/>
                <w:color w:val="auto"/>
              </w:rPr>
            </w:pPr>
            <w:r>
              <w:rPr>
                <w:rFonts w:ascii="Arial" w:cs="Arial" w:eastAsia="Arial" w:hAnsi="Arial"/>
                <w:sz w:val="13"/>
                <w:szCs w:val="13"/>
                <w:b w:val="1"/>
                <w:bCs w:val="1"/>
                <w:color w:val="auto"/>
                <w:w w:val="90"/>
              </w:rPr>
              <w:t>Ordinary Shares</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4"/>
              </w:rPr>
              <w:t>Retained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72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3"/>
              </w:rPr>
              <w:t>Earnings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r>
      <w:tr>
        <w:trPr>
          <w:trHeight w:val="156"/>
        </w:trPr>
        <w:tc>
          <w:tcPr>
            <w:tcW w:w="4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Balance--January 31, 2020</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33,805,609</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261,220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186,069</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448,072</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tcPr>
          <w:p>
            <w:pPr>
              <w:jc w:val="right"/>
              <w:spacing w:after="0"/>
              <w:rPr>
                <w:sz w:val="20"/>
                <w:szCs w:val="20"/>
                <w:color w:val="auto"/>
              </w:rPr>
            </w:pPr>
            <w:r>
              <w:rPr>
                <w:rFonts w:ascii="Arial" w:cs="Arial" w:eastAsia="Arial" w:hAnsi="Arial"/>
                <w:sz w:val="14"/>
                <w:szCs w:val="14"/>
                <w:color w:val="auto"/>
              </w:rPr>
              <w:t>478,643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6,463</w:t>
            </w:r>
          </w:p>
        </w:tc>
        <w:tc>
          <w:tcPr>
            <w:tcW w:w="100" w:type="dxa"/>
            <w:vAlign w:val="bottom"/>
          </w:tcPr>
          <w:p>
            <w:pPr>
              <w:spacing w:after="0"/>
              <w:rPr>
                <w:sz w:val="14"/>
                <w:szCs w:val="14"/>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83,564</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2,660</w:t>
            </w:r>
          </w:p>
        </w:tc>
        <w:tc>
          <w:tcPr>
            <w:tcW w:w="100" w:type="dxa"/>
            <w:vAlign w:val="bottom"/>
            <w:shd w:val="clear" w:color="auto" w:fill="CFF0FC"/>
          </w:tcPr>
          <w:p>
            <w:pPr>
              <w:spacing w:after="0"/>
              <w:rPr>
                <w:sz w:val="14"/>
                <w:szCs w:val="14"/>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Stock repurchase</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(25,719)</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r>
      <w:tr>
        <w:trPr>
          <w:trHeight w:val="143"/>
        </w:trPr>
        <w:tc>
          <w:tcPr>
            <w:tcW w:w="4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employees and consultants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15,214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15,214</w:t>
            </w:r>
          </w:p>
        </w:tc>
        <w:tc>
          <w:tcPr>
            <w:tcW w:w="100" w:type="dxa"/>
            <w:vAlign w:val="bottom"/>
            <w:shd w:val="clear" w:color="auto" w:fill="CFF0FC"/>
          </w:tcPr>
          <w:p>
            <w:pPr>
              <w:spacing w:after="0"/>
              <w:rPr>
                <w:sz w:val="14"/>
                <w:szCs w:val="14"/>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Net unrealized losses on investments - net of tax</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(363)</w:t>
            </w: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(15,463)</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(15,463)</w:t>
            </w:r>
          </w:p>
        </w:tc>
      </w:tr>
      <w:tr>
        <w:trPr>
          <w:trHeight w:val="156"/>
        </w:trPr>
        <w:tc>
          <w:tcPr>
            <w:tcW w:w="4720" w:type="dxa"/>
            <w:vAlign w:val="bottom"/>
          </w:tcPr>
          <w:p>
            <w:pPr>
              <w:spacing w:after="0" w:line="155" w:lineRule="exact"/>
              <w:rPr>
                <w:sz w:val="20"/>
                <w:szCs w:val="20"/>
                <w:color w:val="auto"/>
              </w:rPr>
            </w:pPr>
            <w:r>
              <w:rPr>
                <w:rFonts w:ascii="Arial" w:cs="Arial" w:eastAsia="Arial" w:hAnsi="Arial"/>
                <w:sz w:val="14"/>
                <w:szCs w:val="14"/>
                <w:b w:val="1"/>
                <w:bCs w:val="1"/>
                <w:color w:val="auto"/>
              </w:rPr>
              <w:t>Balance--April 30, 2020</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34,342,097</w:t>
            </w:r>
          </w:p>
        </w:tc>
        <w:tc>
          <w:tcPr>
            <w:tcW w:w="2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284,557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170,606</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455,583</w:t>
            </w:r>
          </w:p>
        </w:tc>
        <w:tc>
          <w:tcPr>
            <w:tcW w:w="100" w:type="dxa"/>
            <w:vAlign w:val="bottom"/>
          </w:tcPr>
          <w:p>
            <w:pPr>
              <w:spacing w:after="0"/>
              <w:rPr>
                <w:sz w:val="13"/>
                <w:szCs w:val="13"/>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4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8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720" w:type="dxa"/>
            <w:vAlign w:val="bottom"/>
            <w:gridSpan w:val="2"/>
          </w:tcPr>
          <w:p>
            <w:pPr>
              <w:jc w:val="right"/>
              <w:ind w:right="767"/>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(10,818)</w:t>
            </w:r>
          </w:p>
        </w:tc>
        <w:tc>
          <w:tcPr>
            <w:tcW w:w="940" w:type="dxa"/>
            <w:vAlign w:val="bottom"/>
            <w:gridSpan w:val="2"/>
          </w:tcPr>
          <w:p>
            <w:pPr>
              <w:jc w:val="right"/>
              <w:ind w:right="81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(15,463)</w:t>
            </w: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 (used in) operating activities: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2,883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2,872</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Amortization (accretion) of premium (discount) on marketable debt securities, net</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7"/>
                <w:szCs w:val="17"/>
                <w:color w:val="auto"/>
              </w:rPr>
              <w:t>Stock-based compensation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18,842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16,036</w:t>
            </w:r>
          </w:p>
        </w:tc>
        <w:tc>
          <w:tcPr>
            <w:tcW w:w="120" w:type="dxa"/>
            <w:vAlign w:val="bottom"/>
          </w:tcPr>
          <w:p>
            <w:pPr>
              <w:spacing w:after="0"/>
              <w:rPr>
                <w:sz w:val="18"/>
                <w:szCs w:val="18"/>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income taxes</w:t>
            </w:r>
          </w:p>
        </w:tc>
        <w:tc>
          <w:tcPr>
            <w:tcW w:w="8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FF0FC"/>
          </w:tcPr>
          <w:p>
            <w:pPr>
              <w:spacing w:after="0"/>
              <w:rPr>
                <w:sz w:val="19"/>
                <w:szCs w:val="19"/>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7"/>
                <w:szCs w:val="17"/>
                <w:color w:val="auto"/>
              </w:rPr>
              <w:t>Other non-cash items, net</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(190)</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(38)</w:t>
            </w: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(9,554)</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(2,197)</w:t>
            </w:r>
          </w:p>
        </w:tc>
      </w:tr>
      <w:tr>
        <w:trPr>
          <w:trHeight w:val="216"/>
        </w:trPr>
        <w:tc>
          <w:tcPr>
            <w:tcW w:w="6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Inventories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(7,039)</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1,014</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193</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non-current assets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(65)</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351</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(480)</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5,679</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and other current liabilities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(1,343)</w:t>
            </w:r>
          </w:p>
        </w:tc>
      </w:tr>
      <w:tr>
        <w:trPr>
          <w:trHeight w:val="216"/>
        </w:trPr>
        <w:tc>
          <w:tcPr>
            <w:tcW w:w="6980" w:type="dxa"/>
            <w:vAlign w:val="bottom"/>
          </w:tcPr>
          <w:p>
            <w:pPr>
              <w:ind w:left="500"/>
              <w:spacing w:after="0"/>
              <w:rPr>
                <w:sz w:val="20"/>
                <w:szCs w:val="20"/>
                <w:color w:val="auto"/>
              </w:rPr>
            </w:pPr>
            <w:r>
              <w:rPr>
                <w:rFonts w:ascii="Arial" w:cs="Arial" w:eastAsia="Arial" w:hAnsi="Arial"/>
                <w:sz w:val="17"/>
                <w:szCs w:val="17"/>
                <w:color w:val="auto"/>
              </w:rPr>
              <w:t>Income taxes payable</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(262)</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(74)</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FF0FC"/>
          </w:tcPr>
          <w:p>
            <w:pPr>
              <w:spacing w:after="0"/>
              <w:rPr>
                <w:sz w:val="18"/>
                <w:szCs w:val="18"/>
                <w:color w:val="auto"/>
              </w:rPr>
            </w:pPr>
          </w:p>
        </w:tc>
      </w:tr>
      <w:tr>
        <w:trPr>
          <w:trHeight w:val="229"/>
        </w:trPr>
        <w:tc>
          <w:tcPr>
            <w:tcW w:w="6980" w:type="dxa"/>
            <w:vAlign w:val="bottom"/>
          </w:tcPr>
          <w:p>
            <w:pPr>
              <w:ind w:left="500"/>
              <w:spacing w:after="0"/>
              <w:rPr>
                <w:sz w:val="20"/>
                <w:szCs w:val="20"/>
                <w:color w:val="auto"/>
              </w:rPr>
            </w:pPr>
            <w:r>
              <w:rPr>
                <w:rFonts w:ascii="Arial" w:cs="Arial" w:eastAsia="Arial" w:hAnsi="Arial"/>
                <w:sz w:val="17"/>
                <w:szCs w:val="17"/>
                <w:color w:val="auto"/>
              </w:rPr>
              <w:t>Operating lease liabilities</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(856)</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(689)</w:t>
            </w:r>
          </w:p>
        </w:tc>
      </w:tr>
      <w:tr>
        <w:trPr>
          <w:trHeight w:val="216"/>
        </w:trPr>
        <w:tc>
          <w:tcPr>
            <w:tcW w:w="6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long-term liabilities</w:t>
            </w:r>
          </w:p>
        </w:tc>
        <w:tc>
          <w:tcPr>
            <w:tcW w:w="80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598</w:t>
            </w:r>
          </w:p>
        </w:tc>
        <w:tc>
          <w:tcPr>
            <w:tcW w:w="120" w:type="dxa"/>
            <w:vAlign w:val="bottom"/>
            <w:shd w:val="clear" w:color="auto" w:fill="CFF0FC"/>
          </w:tcPr>
          <w:p>
            <w:pPr>
              <w:spacing w:after="0"/>
              <w:rPr>
                <w:sz w:val="18"/>
                <w:szCs w:val="18"/>
                <w:color w:val="auto"/>
              </w:rPr>
            </w:pPr>
          </w:p>
        </w:tc>
      </w:tr>
      <w:tr>
        <w:trPr>
          <w:trHeight w:val="210"/>
        </w:trPr>
        <w:tc>
          <w:tcPr>
            <w:tcW w:w="698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(used in) operating activities</w:t>
            </w:r>
          </w:p>
        </w:tc>
        <w:tc>
          <w:tcPr>
            <w:tcW w:w="8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(4,547)</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7,639</w:t>
            </w:r>
          </w:p>
        </w:tc>
        <w:tc>
          <w:tcPr>
            <w:tcW w:w="120" w:type="dxa"/>
            <w:vAlign w:val="bottom"/>
            <w:tcBorders>
              <w:bottom w:val="single" w:sz="8" w:color="CFF0FC"/>
            </w:tcBorders>
          </w:tcPr>
          <w:p>
            <w:pPr>
              <w:spacing w:after="0"/>
              <w:rPr>
                <w:sz w:val="18"/>
                <w:szCs w:val="18"/>
                <w:color w:val="auto"/>
              </w:rPr>
            </w:pPr>
          </w:p>
        </w:tc>
      </w:tr>
      <w:tr>
        <w:trPr>
          <w:trHeight w:val="209"/>
        </w:trPr>
        <w:tc>
          <w:tcPr>
            <w:tcW w:w="69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7"/>
                <w:szCs w:val="17"/>
                <w:color w:val="auto"/>
              </w:rPr>
              <w:t>Purchase of investments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(57,117)</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(49,077)</w:t>
            </w: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Sales of investments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18,609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13,601</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7"/>
                <w:szCs w:val="17"/>
                <w:color w:val="auto"/>
              </w:rPr>
              <w:t>Maturities of investments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29,232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33,740</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tangible and intangible assets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(1,954)</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(428)</w:t>
            </w:r>
          </w:p>
        </w:tc>
      </w:tr>
      <w:tr>
        <w:trPr>
          <w:trHeight w:val="210"/>
        </w:trPr>
        <w:tc>
          <w:tcPr>
            <w:tcW w:w="698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used in investing activities</w:t>
            </w:r>
          </w:p>
        </w:tc>
        <w:tc>
          <w:tcPr>
            <w:tcW w:w="80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(11,230)</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(2,164)</w:t>
            </w:r>
          </w:p>
        </w:tc>
        <w:tc>
          <w:tcPr>
            <w:tcW w:w="120" w:type="dxa"/>
            <w:vAlign w:val="bottom"/>
            <w:tcBorders>
              <w:bottom w:val="single" w:sz="8" w:color="CFF0FC"/>
            </w:tcBorders>
          </w:tcPr>
          <w:p>
            <w:pPr>
              <w:spacing w:after="0"/>
              <w:rPr>
                <w:sz w:val="18"/>
                <w:szCs w:val="18"/>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7"/>
                <w:szCs w:val="17"/>
                <w:color w:val="auto"/>
              </w:rPr>
              <w:t>Stock repurchase</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 and employee stock purchase plan</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3,893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1,912</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7"/>
                <w:szCs w:val="17"/>
                <w:color w:val="auto"/>
              </w:rPr>
              <w:t>Payment for intangible assets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(1,881)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(1,205)</w:t>
            </w:r>
          </w:p>
        </w:tc>
      </w:tr>
      <w:tr>
        <w:trPr>
          <w:trHeight w:val="210"/>
        </w:trPr>
        <w:tc>
          <w:tcPr>
            <w:tcW w:w="69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provided by (used in) financing activities</w:t>
            </w:r>
          </w:p>
        </w:tc>
        <w:tc>
          <w:tcPr>
            <w:tcW w:w="8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2,012</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(13,765)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5,182</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80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241,284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231,412</w:t>
            </w:r>
          </w:p>
        </w:tc>
        <w:tc>
          <w:tcPr>
            <w:tcW w:w="120" w:type="dxa"/>
            <w:vAlign w:val="bottom"/>
            <w:shd w:val="clear" w:color="auto" w:fill="CFF0FC"/>
          </w:tcPr>
          <w:p>
            <w:pPr>
              <w:spacing w:after="0"/>
              <w:rPr>
                <w:sz w:val="18"/>
                <w:szCs w:val="18"/>
                <w:color w:val="auto"/>
              </w:rPr>
            </w:pPr>
          </w:p>
        </w:tc>
      </w:tr>
      <w:tr>
        <w:trPr>
          <w:trHeight w:val="250"/>
        </w:trPr>
        <w:tc>
          <w:tcPr>
            <w:tcW w:w="69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80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227,519</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81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236,594</w:t>
            </w:r>
          </w:p>
        </w:tc>
        <w:tc>
          <w:tcPr>
            <w:tcW w:w="120" w:type="dxa"/>
            <w:vAlign w:val="bottom"/>
            <w:tcBorders>
              <w:bottom w:val="single" w:sz="8" w:color="CFF0FC"/>
            </w:tcBorders>
          </w:tcPr>
          <w:p>
            <w:pPr>
              <w:spacing w:after="0"/>
              <w:rPr>
                <w:sz w:val="21"/>
                <w:szCs w:val="21"/>
                <w:color w:val="auto"/>
              </w:rPr>
            </w:pPr>
          </w:p>
        </w:tc>
      </w:tr>
      <w:tr>
        <w:trPr>
          <w:trHeight w:val="197"/>
        </w:trPr>
        <w:tc>
          <w:tcPr>
            <w:tcW w:w="698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8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6"/>
        </w:trPr>
        <w:tc>
          <w:tcPr>
            <w:tcW w:w="698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1720" w:type="dxa"/>
            <w:vAlign w:val="bottom"/>
            <w:gridSpan w:val="2"/>
          </w:tcPr>
          <w:p>
            <w:pPr>
              <w:jc w:val="right"/>
              <w:ind w:right="767"/>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1,013</w:t>
            </w:r>
          </w:p>
        </w:tc>
        <w:tc>
          <w:tcPr>
            <w:tcW w:w="280" w:type="dxa"/>
            <w:vAlign w:val="bottom"/>
          </w:tcPr>
          <w:p>
            <w:pPr>
              <w:spacing w:after="0"/>
              <w:rPr>
                <w:sz w:val="22"/>
                <w:szCs w:val="22"/>
                <w:color w:val="auto"/>
              </w:rPr>
            </w:pPr>
          </w:p>
        </w:tc>
        <w:tc>
          <w:tcPr>
            <w:tcW w:w="940" w:type="dxa"/>
            <w:vAlign w:val="bottom"/>
            <w:gridSpan w:val="2"/>
          </w:tcPr>
          <w:p>
            <w:pPr>
              <w:jc w:val="right"/>
              <w:ind w:right="81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370</w:t>
            </w:r>
          </w:p>
        </w:tc>
        <w:tc>
          <w:tcPr>
            <w:tcW w:w="120" w:type="dxa"/>
            <w:vAlign w:val="bottom"/>
          </w:tcPr>
          <w:p>
            <w:pPr>
              <w:spacing w:after="0"/>
              <w:rPr>
                <w:sz w:val="22"/>
                <w:szCs w:val="22"/>
                <w:color w:val="auto"/>
              </w:rPr>
            </w:pPr>
          </w:p>
        </w:tc>
      </w:tr>
      <w:tr>
        <w:trPr>
          <w:trHeight w:val="196"/>
        </w:trPr>
        <w:tc>
          <w:tcPr>
            <w:tcW w:w="698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8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7"/>
                <w:szCs w:val="17"/>
                <w:color w:val="auto"/>
              </w:rPr>
              <w:t>Unpaid liabilities related to tangible and intangible assets additions</w:t>
            </w:r>
          </w:p>
        </w:tc>
        <w:tc>
          <w:tcPr>
            <w:tcW w:w="1720" w:type="dxa"/>
            <w:vAlign w:val="bottom"/>
            <w:gridSpan w:val="2"/>
          </w:tcPr>
          <w:p>
            <w:pPr>
              <w:jc w:val="right"/>
              <w:ind w:right="767"/>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304</w:t>
            </w:r>
          </w:p>
        </w:tc>
        <w:tc>
          <w:tcPr>
            <w:tcW w:w="280" w:type="dxa"/>
            <w:vAlign w:val="bottom"/>
          </w:tcPr>
          <w:p>
            <w:pPr>
              <w:spacing w:after="0"/>
              <w:rPr>
                <w:sz w:val="18"/>
                <w:szCs w:val="18"/>
                <w:color w:val="auto"/>
              </w:rPr>
            </w:pPr>
          </w:p>
        </w:tc>
        <w:tc>
          <w:tcPr>
            <w:tcW w:w="940" w:type="dxa"/>
            <w:vAlign w:val="bottom"/>
            <w:gridSpan w:val="2"/>
          </w:tcPr>
          <w:p>
            <w:pPr>
              <w:jc w:val="right"/>
              <w:ind w:right="81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Ambarella, Inc. (the “Company”) was incorporated in the Cayman Islands on January 15, 2004. The Company is a leading developer of low-power semiconductor solutions offering high-definition (HD) and Ultra HD compression, image processing, and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delivering exceptional video and image quality, differentiated functionality and low power consumption. The Company is currently addressing a broad range of human and computer vision applications, including professional and consumer security cameras, automotive cameras such as advanced driver assistance systems (ADAS), electronic mirrors, drive recorders, driver/cabin monitoring systems, autonomous driving, and industrial and robotic applications.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sells its solutions to leading original design manufacturers, or ODMs, and original equipment manufacturers, or OEMs, globally.</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2021 fiscal year filed with the SEC on March 31, 2021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5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an ongoing basis, management evaluates its estimates and assumptions, including those related to (i) write down of excess and obsolete inventories; (ii) the estimated useful lives of long-lived assets; (iii) the valuation of stock-based compensation awards and financial instruments; (iv) the probability of performance objectives achievement; and (v) the realization of tax assets and estimates of tax liabilities, including reserves for uncertain tax positions. These estimates and assumptions are based on historical experience and on various other factors which the Company believes to be reasonable under the circumstances. The Company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right="120" w:firstLine="510"/>
        <w:spacing w:after="0" w:line="286" w:lineRule="auto"/>
        <w:rPr>
          <w:sz w:val="20"/>
          <w:szCs w:val="20"/>
          <w:color w:val="auto"/>
        </w:rPr>
      </w:pPr>
      <w:r>
        <w:rPr>
          <w:rFonts w:ascii="Arial" w:cs="Arial" w:eastAsia="Arial" w:hAnsi="Arial"/>
          <w:sz w:val="17"/>
          <w:szCs w:val="17"/>
          <w:color w:val="auto"/>
        </w:rPr>
        <w:t>The Company also assessed the impacts of COVID-19 on the above accounting matters as of April 30, 2021 and through the date of this report. While it is difficult to quantify the impact of COVID-19, the future magnitude and duration of COVID-19, as well as other associated factors, could result in material negative impacts to the Company’s condensed consolidated financial statements in future reporting periods.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6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 substantial portion of the Company’s revenue is derived from sales through one of its distributors, WT Microelectronics Co., Ltd., formerly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8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asset-backed securities, commercial paper, U.S. government securities and debt securities of corporations which management assesses to be highly liquid. The Company does not hold or issue financial instruments for trading purposes.</w:t>
      </w:r>
    </w:p>
    <w:p>
      <w:pPr>
        <w:spacing w:after="0" w:line="178"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adopted Accounting Standards Update (ASU) No. 2016-13, Financial Instruments-Credit Losses (Topic 326): Measurement of Credit Losses on Financial Instruments in fiscal year 2021. As a result, the Company recognizes credit losses based on a forward-looking current expected credit losses (CECL) model, including accounts receivable. The Company’s accounts receivable are recorded at invoiced amount less an allowance for any potentially uncollectible amounts. Accordingly, the Company makes estimates of expected credit losses for the allowance for doubtful accounts based upon its assessment of various factors, including historical collection experience, the age of the accounts receivable balances, credit quality of its customers, current economic conditions, reasonable and supportable forecasts of future economic conditions, and other factors that may affect its ability to collect from customers.</w:t>
      </w:r>
    </w:p>
    <w:p>
      <w:pPr>
        <w:spacing w:after="0" w:line="19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 The Company classifies these investments as “available-for-sale” (AFS) securities. The Company estimates the expected losses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 The credit-related losses from the financial instruments were not material for the three months ended April 30, 2021 and 2020, respectively, and the associated allowance amounts were not material as of April 30, 2021 and January 31, 2021, respectively.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44"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Amounts included in restricted cash represent those required to be set aside to secure certain transactions in a foreign entity. As of April 30, 2021 and January 31, 2021, restricted cash was immaterial, respectively. The following table presents cash, cash equivalents and restricted cash reported on the condensed consolidated balance sheets, and the sums are presented on the condensed consolidated statements of cash flows: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w w:val="97"/>
              </w:rPr>
              <w:t>April 30, 2021</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January 31, 2021</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5"/>
              </w:rPr>
              <w:t>April 30, 2020</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January 31, 2020</w:t>
            </w:r>
          </w:p>
        </w:tc>
        <w:tc>
          <w:tcPr>
            <w:tcW w:w="80" w:type="dxa"/>
            <w:vAlign w:val="bottom"/>
          </w:tcPr>
          <w:p>
            <w:pPr>
              <w:spacing w:after="0"/>
              <w:rPr>
                <w:sz w:val="13"/>
                <w:szCs w:val="13"/>
                <w:color w:val="auto"/>
              </w:rPr>
            </w:pPr>
          </w:p>
        </w:tc>
      </w:tr>
      <w:tr>
        <w:trPr>
          <w:trHeight w:val="155"/>
        </w:trPr>
        <w:tc>
          <w:tcPr>
            <w:tcW w:w="3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gridSpan w:val="4"/>
          </w:tcPr>
          <w:p>
            <w:pPr>
              <w:jc w:val="right"/>
              <w:ind w:right="735"/>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227,509</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241,274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236,585</w:t>
            </w:r>
          </w:p>
        </w:tc>
        <w:tc>
          <w:tcPr>
            <w:tcW w:w="4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231,403</w:t>
            </w:r>
          </w:p>
        </w:tc>
        <w:tc>
          <w:tcPr>
            <w:tcW w:w="80" w:type="dxa"/>
            <w:vAlign w:val="bottom"/>
            <w:shd w:val="clear" w:color="auto" w:fill="CFF0FC"/>
          </w:tcPr>
          <w:p>
            <w:pPr>
              <w:spacing w:after="0"/>
              <w:rPr>
                <w:sz w:val="21"/>
                <w:szCs w:val="21"/>
                <w:color w:val="auto"/>
              </w:rPr>
            </w:pPr>
          </w:p>
        </w:tc>
      </w:tr>
      <w:tr>
        <w:trPr>
          <w:trHeight w:val="243"/>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4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tcPr>
          <w:p>
            <w:pPr>
              <w:spacing w:after="0"/>
              <w:rPr>
                <w:sz w:val="21"/>
                <w:szCs w:val="21"/>
                <w:color w:val="auto"/>
              </w:rPr>
            </w:pPr>
          </w:p>
        </w:tc>
      </w:tr>
      <w:tr>
        <w:trPr>
          <w:trHeight w:val="209"/>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 presented in the condensed</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consolidated statements of cash flows</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227,519</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241,284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236,594</w:t>
            </w:r>
          </w:p>
        </w:tc>
        <w:tc>
          <w:tcPr>
            <w:tcW w:w="4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231,412</w:t>
            </w:r>
          </w:p>
        </w:tc>
        <w:tc>
          <w:tcPr>
            <w:tcW w:w="80" w:type="dxa"/>
            <w:vAlign w:val="bottom"/>
            <w:shd w:val="clear" w:color="auto" w:fill="CFF0FC"/>
          </w:tcPr>
          <w:p>
            <w:pPr>
              <w:spacing w:after="0"/>
              <w:rPr>
                <w:sz w:val="20"/>
                <w:szCs w:val="20"/>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three months ended April 30, 2021 and 2020, respectively.</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Software Licenses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Company expenses the cost of purchased software that is to be sold, leased or otherwise marketed as part of a product until the technological feasibility of the product has been established or where the software has an alternative future use. Once the technological feasibility of the product, to be externally marketed, has been established or where the software has an alternative future use, the Company capitalizes the cost of purchased software until the associated product is available for general release to customers, at which point the capitalized cost is amortized on a product by product basis over the remaining estimated economic life of the product.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Company adopted Accounting Standards Codification (“ASC”) Topic 842, Leases in fiscal year 2020. As a result,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practical expedient that does not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and liability calculation if it is reasonably certain that the Company will exercise the option. The Company's finance leases were immaterial as of April 30, 2021 and January 31, 2021, respectively.</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accordance with ASC 606, Revenue from Contracts with Customers,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 w:name="page11"/>
    <w:bookmarkEnd w:id="10"/>
    <w:p>
      <w:pPr>
        <w:ind w:right="20" w:firstLine="510"/>
        <w:spacing w:after="0" w:line="286" w:lineRule="auto"/>
        <w:rPr>
          <w:sz w:val="20"/>
          <w:szCs w:val="20"/>
          <w:color w:val="auto"/>
        </w:rPr>
      </w:pPr>
      <w:r>
        <w:rPr>
          <w:rFonts w:ascii="Arial" w:cs="Arial" w:eastAsia="Arial" w:hAnsi="Arial"/>
          <w:sz w:val="16"/>
          <w:szCs w:val="16"/>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174"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three months ended April 30, 2021 and 2020, respectively.</w:t>
      </w:r>
    </w:p>
    <w:p>
      <w:pPr>
        <w:spacing w:after="0" w:line="18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Timing of revenue recognition may differ from the timing of invoicing to the Company’s customers. The Company records contract assets when revenue is recognized prior to invoicing. The Company’s contract assets are primarily related to satisfied but unbilled performance obligations associated with its engineering service agreements at the reporting date. As of April 30, 2021 and January 31, 2021, the contract assets for these unbilled receivables were not material. The Company’s contract liabilities consist of deferred revenue. The deferred revenue is primarily related to the portion of a transaction price that exceeds the weighted average selling price for products sold to date under tiered-pricing contracts which contain material rights. This deferred revenue is expected to be recognized over the course of the contract when products are delivered for future pricing below the weighted average selling price of the contract. For the three months ended April 30, 2021 and 2020, the Company did not recognize any material revenue adjustment, respectively, related to performance obligations satisfied in prior periods released from this deferred revenue. As of April 30, 2021 and January 31, 2021, the respective deferred revenues were not material. Additionally, the transaction price allocated to unsatisfied, or partially unsatisfied, purchase orders for contracts that are greater than a year was not material as of April 30, 2021 and January 31, 2021, respectively. The Company also elects not to disclose the value of unsatisfied or partially unsatisfied performance obligations due to an original expected contract duration of one year or less and elects to exclude amounts collected from customers for all sales taxes from the transaction price.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580" w:firstLine="510"/>
        <w:spacing w:after="0" w:line="342" w:lineRule="auto"/>
        <w:rPr>
          <w:sz w:val="20"/>
          <w:szCs w:val="20"/>
          <w:color w:val="auto"/>
        </w:rPr>
      </w:pPr>
      <w:r>
        <w:rPr>
          <w:rFonts w:ascii="Arial" w:cs="Arial" w:eastAsia="Arial" w:hAnsi="Arial"/>
          <w:sz w:val="16"/>
          <w:szCs w:val="16"/>
          <w:color w:val="auto"/>
        </w:rPr>
        <w:t>Cost of revenue includes cost of materials, cost associated with packaging and assembly, testing and shipping, cost of personnel, stock-based compensation, logistics and quality assurance, warranty cost, royalty expense, write-downs of inventories and allocation of overhead.</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Research and development costs are expensed as incurred and consist primarily of personnel costs, product development costs, which include engineering services, development software and hardware tools, license fees, costs of fabrication of masks for prototype products, other development materials costs, depreciation of equipment and tools and allocation of facility costs, net of any research and development grants. As of April 30, 2021, there was approximately $1.4 million of grants recorded in prepaid expenses and other current assets and approximately $1.6 million of grants recorded in other non-current assets in the condensed consolidated balance sheets.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8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As part of the process of preparing condensed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condensed consolidated balance sheets. In general, deferred tax assets represent future tax benefits to be received when certain expenses previously recognized in the condensed consolidated statements of operations become deductible expenses under applicable income tax laws, or loss or credit carryforwards are utilized.</w:t>
      </w:r>
    </w:p>
    <w:p>
      <w:pPr>
        <w:spacing w:after="0" w:line="84" w:lineRule="exact"/>
        <w:rPr>
          <w:sz w:val="20"/>
          <w:szCs w:val="20"/>
          <w:color w:val="auto"/>
        </w:rPr>
      </w:pPr>
    </w:p>
    <w:p>
      <w:pPr>
        <w:ind w:right="460" w:firstLine="510"/>
        <w:spacing w:after="0" w:line="342" w:lineRule="auto"/>
        <w:rPr>
          <w:sz w:val="20"/>
          <w:szCs w:val="20"/>
          <w:color w:val="auto"/>
        </w:rPr>
      </w:pPr>
      <w:r>
        <w:rPr>
          <w:rFonts w:ascii="Arial" w:cs="Arial" w:eastAsia="Arial" w:hAnsi="Arial"/>
          <w:sz w:val="16"/>
          <w:szCs w:val="16"/>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2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condensed consolidated income statement for the periods in which the adjustment is determined to be required.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and unvested restricted stock units. The dilutive effect of potentially dilutive securities is reflected in diluted earnings (losses) per share by application of the treasury stock method.</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Comprehensive income (loss) includes unrealized gains or losses, net from available-for-sale securities that are excluded from net income (loss).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The Company invests a portion of its cash in debt securities that are denominated in United States dollars. The investment portfolio consists of money market funds, asset-backed securities, commercial paper, U.S. government securities, and debt securities of corporations. All of the investments are classified as available-for-sale securities and reported at fair value in the condensed consolidated balance sheets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As of April 30, 2021</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 Gains</w:t>
            </w: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5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64,978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64,978</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99,950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100,584</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17,098</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29,859</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214,069</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214,861</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January 31, 2021</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 Gains</w:t>
            </w: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Corporate bonds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102,108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103,081</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29,383</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29,465</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213,583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100" w:type="dxa"/>
            <w:vAlign w:val="bottom"/>
            <w:shd w:val="clear" w:color="auto" w:fill="CFF0FC"/>
          </w:tcPr>
          <w:p>
            <w:pPr>
              <w:spacing w:after="0"/>
              <w:rPr>
                <w:sz w:val="19"/>
                <w:szCs w:val="19"/>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2021, there were no debt securities with unrealized losses for more than twelve months.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 2021</w:t>
            </w: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2021</w:t>
            </w:r>
          </w:p>
        </w:tc>
      </w:tr>
      <w:tr>
        <w:trPr>
          <w:trHeight w:val="155"/>
        </w:trPr>
        <w:tc>
          <w:tcPr>
            <w:tcW w:w="4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Included in cash equivalents</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6,841</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15,368</w:t>
            </w:r>
          </w:p>
        </w:tc>
        <w:tc>
          <w:tcPr>
            <w:tcW w:w="80" w:type="dxa"/>
            <w:vAlign w:val="bottom"/>
            <w:shd w:val="clear" w:color="auto" w:fill="CFF0FC"/>
          </w:tcPr>
          <w:p>
            <w:pPr>
              <w:spacing w:after="0"/>
              <w:rPr>
                <w:sz w:val="21"/>
                <w:szCs w:val="21"/>
                <w:color w:val="auto"/>
              </w:rPr>
            </w:pPr>
          </w:p>
        </w:tc>
      </w:tr>
      <w:tr>
        <w:trPr>
          <w:trHeight w:val="24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Included in marketable debt securities</w:t>
            </w:r>
          </w:p>
        </w:tc>
        <w:tc>
          <w:tcPr>
            <w:tcW w:w="4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208,020</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199,434</w:t>
            </w:r>
          </w:p>
        </w:tc>
        <w:tc>
          <w:tcPr>
            <w:tcW w:w="80" w:type="dxa"/>
            <w:vAlign w:val="bottom"/>
            <w:tcBorders>
              <w:bottom w:val="single" w:sz="8" w:color="CFF0FC"/>
            </w:tcBorders>
          </w:tcPr>
          <w:p>
            <w:pPr>
              <w:spacing w:after="0"/>
              <w:rPr>
                <w:sz w:val="21"/>
                <w:szCs w:val="21"/>
                <w:color w:val="auto"/>
              </w:rPr>
            </w:pPr>
          </w:p>
        </w:tc>
      </w:tr>
      <w:tr>
        <w:trPr>
          <w:trHeight w:val="237"/>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Total cash equivalents and marketable debt securities</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214,861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80" w:type="dxa"/>
            <w:vAlign w:val="bottom"/>
            <w:shd w:val="clear" w:color="auto" w:fill="CFF0FC"/>
          </w:tcPr>
          <w:p>
            <w:pPr>
              <w:spacing w:after="0"/>
              <w:rPr>
                <w:sz w:val="20"/>
                <w:szCs w:val="20"/>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the investments at April 30, 2021 and January 31, 2021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w w:val="91"/>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April 30, 2021</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2"/>
              </w:rPr>
              <w:t>January 31, 2021</w:t>
            </w:r>
          </w:p>
        </w:tc>
        <w:tc>
          <w:tcPr>
            <w:tcW w:w="80" w:type="dxa"/>
            <w:vAlign w:val="bottom"/>
          </w:tcPr>
          <w:p>
            <w:pPr>
              <w:spacing w:after="0"/>
              <w:rPr>
                <w:sz w:val="19"/>
                <w:szCs w:val="19"/>
                <w:color w:val="auto"/>
              </w:rPr>
            </w:pPr>
          </w:p>
        </w:tc>
      </w:tr>
      <w:tr>
        <w:trPr>
          <w:trHeight w:val="223"/>
        </w:trPr>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134,814</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135,899</w:t>
            </w:r>
          </w:p>
        </w:tc>
        <w:tc>
          <w:tcPr>
            <w:tcW w:w="80" w:type="dxa"/>
            <w:vAlign w:val="bottom"/>
            <w:shd w:val="clear" w:color="auto" w:fill="CFF0FC"/>
          </w:tcPr>
          <w:p>
            <w:pPr>
              <w:spacing w:after="0"/>
              <w:rPr>
                <w:sz w:val="21"/>
                <w:szCs w:val="21"/>
                <w:color w:val="auto"/>
              </w:rPr>
            </w:pPr>
          </w:p>
        </w:tc>
      </w:tr>
      <w:tr>
        <w:trPr>
          <w:trHeight w:val="24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one to three years</w:t>
            </w:r>
          </w:p>
        </w:tc>
        <w:tc>
          <w:tcPr>
            <w:tcW w:w="4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80,047</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78,903</w:t>
            </w:r>
          </w:p>
        </w:tc>
        <w:tc>
          <w:tcPr>
            <w:tcW w:w="80" w:type="dxa"/>
            <w:vAlign w:val="bottom"/>
            <w:tcBorders>
              <w:bottom w:val="single" w:sz="8" w:color="CFF0FC"/>
            </w:tcBorders>
          </w:tcPr>
          <w:p>
            <w:pPr>
              <w:spacing w:after="0"/>
              <w:rPr>
                <w:sz w:val="21"/>
                <w:szCs w:val="21"/>
                <w:color w:val="auto"/>
              </w:rPr>
            </w:pPr>
          </w:p>
        </w:tc>
      </w:tr>
      <w:tr>
        <w:trPr>
          <w:trHeight w:val="237"/>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Total cash equivalents and marketable debt securities</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214,861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80" w:type="dxa"/>
            <w:vAlign w:val="bottom"/>
            <w:shd w:val="clear" w:color="auto" w:fill="CFF0FC"/>
          </w:tcPr>
          <w:p>
            <w:pPr>
              <w:spacing w:after="0"/>
              <w:rPr>
                <w:sz w:val="20"/>
                <w:szCs w:val="20"/>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60" w:firstLine="510"/>
        <w:spacing w:after="0" w:line="291" w:lineRule="auto"/>
        <w:rPr>
          <w:sz w:val="20"/>
          <w:szCs w:val="20"/>
          <w:color w:val="auto"/>
        </w:rPr>
      </w:pPr>
      <w:r>
        <w:rPr>
          <w:rFonts w:ascii="Arial" w:cs="Arial" w:eastAsia="Arial" w:hAnsi="Arial"/>
          <w:sz w:val="16"/>
          <w:szCs w:val="16"/>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 The credit-related losses were not material for the three months ended April 30, 2021, and 2020, respectively.</w:t>
      </w:r>
    </w:p>
    <w:p>
      <w:pPr>
        <w:spacing w:after="0" w:line="16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fair value hierarchy is applied for disclosure of the inputs used to measure fair value. This hierarchy prioritizes the inputs into three broad levels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3" w:name="page14"/>
    <w:bookmarkEnd w:id="13"/>
    <w:p>
      <w:pPr>
        <w:ind w:right="20" w:firstLine="510"/>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6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Level 3—Unobservable inputs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8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tables present the fair value of the financial instruments measured on a recurring basis as of April 30, 2021 and January 31, 2021,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4"/>
                <w:szCs w:val="14"/>
                <w:b w:val="1"/>
                <w:bCs w:val="1"/>
                <w:color w:val="auto"/>
                <w:w w:val="94"/>
              </w:rPr>
              <w:t>As of April 30, 2021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9"/>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64,978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64,978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100,584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100,584</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17,098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29,859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29,859</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214,861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4"/>
                <w:szCs w:val="14"/>
                <w:b w:val="1"/>
                <w:bCs w:val="1"/>
                <w:color w:val="auto"/>
                <w:w w:val="94"/>
              </w:rPr>
              <w:t>As of January 31, 2021</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9"/>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0"/>
                <w:szCs w:val="20"/>
                <w:color w:val="auto"/>
              </w:rPr>
            </w:pPr>
          </w:p>
        </w:tc>
        <w:tc>
          <w:tcPr>
            <w:tcW w:w="180" w:type="dxa"/>
            <w:vAlign w:val="bottom"/>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103,081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103,081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U.S. government securities</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29,465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214,802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8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60" w:type="dxa"/>
            <w:vAlign w:val="bottom"/>
            <w:gridSpan w:val="4"/>
          </w:tcPr>
          <w:p>
            <w:pPr>
              <w:jc w:val="right"/>
              <w:spacing w:after="0"/>
              <w:rPr>
                <w:sz w:val="20"/>
                <w:szCs w:val="20"/>
                <w:color w:val="auto"/>
              </w:rPr>
            </w:pPr>
            <w:r>
              <w:rPr>
                <w:rFonts w:ascii="Arial" w:cs="Arial" w:eastAsia="Arial" w:hAnsi="Arial"/>
                <w:sz w:val="18"/>
                <w:szCs w:val="18"/>
                <w:color w:val="auto"/>
                <w:w w:val="99"/>
              </w:rPr>
              <w:t>Inventories at April 30, 2021 and January 31, 2021 consisted of the following:</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April 30, 2021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rPr>
              <w:t>January 31, 2021</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6"/>
          </w:tcPr>
          <w:p>
            <w:pPr>
              <w:jc w:val="right"/>
              <w:ind w:right="47"/>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Work-in-progress</w:t>
            </w: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7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24,497</w:t>
            </w: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18,219</w:t>
            </w: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8,623</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7,862</w:t>
            </w:r>
          </w:p>
        </w:tc>
        <w:tc>
          <w:tcPr>
            <w:tcW w:w="8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33,120</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26,081</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33" w:right="5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Depreciation expense was approximately $0.6 million and $0.7 million for the three months ended April 30, 2021 and 2020, respectively. Property and equipment at April 30, 2021 and January 31, 2021 consisted of the following:</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4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April 30, 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January 31, 2021</w:t>
            </w:r>
          </w:p>
        </w:tc>
      </w:tr>
      <w:tr>
        <w:trPr>
          <w:trHeight w:val="156"/>
        </w:trPr>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5"/>
          </w:tcPr>
          <w:p>
            <w:pPr>
              <w:jc w:val="right"/>
              <w:ind w:right="93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12,287</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11,525</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6,946</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2,237</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22,008</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(17,054)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(16,478)</w:t>
            </w: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5,530</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intangible assets primarily consist of $4.1 million of in-process research and development (“IPR&amp;D”) from the acquisition of VisLab S.r.l., or VisLab, in June 2015 and $13.2 million of software licenses, net of amortization expense. Acquired IPR&amp;D is capitalized at fair value and the amortization commences upon completion of the underlying projects. Once research and development efforts are completed, the corresponding amount of IPR&amp;D is reclassified as an amortizable purchased intangible asset and is amortized over its estimated useful life. As of April 30, 2021, there was no IPR&amp;D amortized. The Company will determine the project incorporating the VisLab IPR&amp;D to be completed when a related chip begins mass production to address the level 3 and above advanced driving assistance systems markets.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enters into certain software license agreements with third parties from time-to-time. The software licenses consist of noncancelable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premise internal-use software and software with alternative use that is to be sold, leased or otherwise marketed as part of a product. The licenses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capitalized as intangible assets, and the corresponding future payments have been recorded as liabilities at net present value. As of April 30,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$5.6 million was recorded in accrued and other current liabilities and $4.2 million was recorded in other long-term liabilities in the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sheets. The carrying amounts of intangible assets as of April 30, 2021 and January 31, 2021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tcPr>
          <w:p>
            <w:pPr>
              <w:jc w:val="right"/>
              <w:spacing w:after="0"/>
              <w:rPr>
                <w:sz w:val="20"/>
                <w:szCs w:val="20"/>
                <w:color w:val="auto"/>
              </w:rPr>
            </w:pPr>
            <w:r>
              <w:rPr>
                <w:rFonts w:ascii="Arial" w:cs="Arial" w:eastAsia="Arial" w:hAnsi="Arial"/>
                <w:sz w:val="14"/>
                <w:szCs w:val="14"/>
                <w:b w:val="1"/>
                <w:bCs w:val="1"/>
                <w:color w:val="auto"/>
              </w:rPr>
              <w:t>As of April 30, 2021</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9"/>
          </w:tcPr>
          <w:p>
            <w:pPr>
              <w:ind w:left="500"/>
              <w:spacing w:after="0"/>
              <w:rPr>
                <w:sz w:val="20"/>
                <w:szCs w:val="20"/>
                <w:color w:val="auto"/>
              </w:rPr>
            </w:pPr>
            <w:r>
              <w:rPr>
                <w:rFonts w:ascii="Arial" w:cs="Arial" w:eastAsia="Arial" w:hAnsi="Arial"/>
                <w:sz w:val="14"/>
                <w:szCs w:val="14"/>
                <w:b w:val="1"/>
                <w:bCs w:val="1"/>
                <w:color w:val="auto"/>
              </w:rPr>
              <w:t>As of January 31, 2021</w:t>
            </w: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9"/>
              <w:spacing w:after="0" w:line="133" w:lineRule="exact"/>
              <w:rPr>
                <w:sz w:val="20"/>
                <w:szCs w:val="20"/>
                <w:color w:val="auto"/>
              </w:rPr>
            </w:pPr>
            <w:r>
              <w:rPr>
                <w:rFonts w:ascii="Arial" w:cs="Arial" w:eastAsia="Arial" w:hAnsi="Arial"/>
                <w:sz w:val="14"/>
                <w:szCs w:val="14"/>
                <w:b w:val="1"/>
                <w:bCs w:val="1"/>
                <w:color w:val="auto"/>
                <w:w w:val="83"/>
              </w:rPr>
              <w:t>Gross</w:t>
            </w:r>
          </w:p>
        </w:tc>
        <w:tc>
          <w:tcPr>
            <w:tcW w:w="1120" w:type="dxa"/>
            <w:vAlign w:val="bottom"/>
            <w:tcBorders>
              <w:top w:val="single" w:sz="8" w:color="auto"/>
            </w:tcBorders>
            <w:gridSpan w:val="4"/>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83"/>
              </w:rPr>
              <w:t>Gross</w:t>
            </w:r>
          </w:p>
        </w:tc>
        <w:tc>
          <w:tcPr>
            <w:tcW w:w="1120" w:type="dxa"/>
            <w:vAlign w:val="bottom"/>
            <w:tcBorders>
              <w:top w:val="single" w:sz="8" w:color="auto"/>
            </w:tcBorders>
            <w:gridSpan w:val="4"/>
            <w:vMerge w:val="restart"/>
          </w:tcPr>
          <w:p>
            <w:pPr>
              <w:jc w:val="right"/>
              <w:ind w:right="61"/>
              <w:spacing w:after="0"/>
              <w:rPr>
                <w:sz w:val="20"/>
                <w:szCs w:val="20"/>
                <w:color w:val="auto"/>
              </w:rPr>
            </w:pPr>
            <w:r>
              <w:rPr>
                <w:rFonts w:ascii="Arial" w:cs="Arial" w:eastAsia="Arial" w:hAnsi="Arial"/>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299"/>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Software licenses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21,125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(7,934)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21,043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acquired intangible assets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(7,934</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510"/>
        <w:spacing w:after="0" w:line="329" w:lineRule="auto"/>
        <w:rPr>
          <w:sz w:val="20"/>
          <w:szCs w:val="20"/>
          <w:color w:val="auto"/>
        </w:rPr>
      </w:pPr>
      <w:r>
        <w:rPr>
          <w:rFonts w:ascii="Arial" w:cs="Arial" w:eastAsia="Arial" w:hAnsi="Arial"/>
          <w:sz w:val="16"/>
          <w:szCs w:val="16"/>
          <w:color w:val="auto"/>
        </w:rPr>
        <w:t>The amortization expense related to the software licenses was approximately $1.5 million and $1.5 million for the three months ended April 30, 2021 and 2020, respectively. The expected future amortization expense related to these software licenses as of April 30, 2021 is as follows:</w:t>
      </w: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Fiscal Year</w:t>
            </w: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April 30,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5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2022 (9 months remaining)</w:t>
            </w:r>
          </w:p>
        </w:tc>
        <w:tc>
          <w:tcPr>
            <w:tcW w:w="38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3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6,298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304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2025</w:t>
            </w:r>
          </w:p>
        </w:tc>
        <w:tc>
          <w:tcPr>
            <w:tcW w:w="3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2026</w:t>
            </w:r>
          </w:p>
        </w:tc>
        <w:tc>
          <w:tcPr>
            <w:tcW w:w="304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2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amortization expenses:</w:t>
            </w:r>
          </w:p>
        </w:tc>
        <w:tc>
          <w:tcPr>
            <w:tcW w:w="36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60" w:type="dxa"/>
            <w:vAlign w:val="bottom"/>
            <w:vMerge w:val="restart"/>
          </w:tcPr>
          <w:p>
            <w:pPr>
              <w:jc w:val="right"/>
              <w:ind w:right="271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right="200" w:firstLine="510"/>
        <w:spacing w:after="0" w:line="342" w:lineRule="auto"/>
        <w:rPr>
          <w:sz w:val="20"/>
          <w:szCs w:val="20"/>
          <w:color w:val="auto"/>
        </w:rPr>
      </w:pPr>
      <w:r>
        <w:rPr>
          <w:rFonts w:ascii="Arial" w:cs="Arial" w:eastAsia="Arial" w:hAnsi="Arial"/>
          <w:sz w:val="16"/>
          <w:szCs w:val="16"/>
          <w:color w:val="auto"/>
        </w:rPr>
        <w:t>IPR&amp;D is required to be tested for impairment at least annually in the fourth fiscal quarter or sooner whenever events or changes in circumstances indicate that the assets may be impaired. There were no intangible asset impairments for the three months ended April 30, 2021 and 2020, respectively.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at April 30, 2021 and January 31, 2021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 2021</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2021</w:t>
            </w:r>
          </w:p>
        </w:tc>
      </w:tr>
      <w:tr>
        <w:trPr>
          <w:trHeight w:val="156"/>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18,105</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Accrued rebates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product development costs</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21,157</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Software license liabilities, current</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5,582</w:t>
            </w:r>
          </w:p>
        </w:tc>
        <w:tc>
          <w:tcPr>
            <w:tcW w:w="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3,277</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w:t>
            </w:r>
          </w:p>
        </w:tc>
        <w:tc>
          <w:tcPr>
            <w:tcW w:w="80" w:type="dxa"/>
            <w:vAlign w:val="bottom"/>
            <w:shd w:val="clear" w:color="auto" w:fill="CFF0FC"/>
          </w:tcPr>
          <w:p>
            <w:pPr>
              <w:spacing w:after="0"/>
              <w:rPr>
                <w:sz w:val="19"/>
                <w:szCs w:val="19"/>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44,897</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48,126</w:t>
            </w: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decrease in employee compensation liabilities was primarily due to $6.7 million of annual bonus paid in March 2021, of which $2.1 million was paid in cash and $4.6 million was settled with restricted stock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20" w:firstLine="468"/>
        <w:spacing w:after="0" w:line="272" w:lineRule="auto"/>
        <w:rPr>
          <w:sz w:val="20"/>
          <w:szCs w:val="20"/>
          <w:color w:val="auto"/>
        </w:rPr>
      </w:pPr>
      <w:r>
        <w:rPr>
          <w:rFonts w:ascii="Arial" w:cs="Arial" w:eastAsia="Arial" w:hAnsi="Arial"/>
          <w:sz w:val="17"/>
          <w:szCs w:val="17"/>
          <w:color w:val="auto"/>
        </w:rPr>
        <w:t>The Company has entered into various operating leases for its worldwide office facilities. During the three months ended April 30, 2021, the Company extended its Shanghai office lease for an additional three years beginning December 1, 2021 to November 30, 2024. The Company accounted for this extension as a lease modification and recorded an increase to the operating lease right-of-use assets and corresponding operating lease liabilities of approximately $1.7 million, respectively, in the condensed consolidated balance sheets. The Company also signed a separate lease for additional space for its Shanghai office for a period of 40 months starting from August 1, 2021 through November 30, 2024 and will record an operating lease right-of-use asset and corresponding operating lease liability in the condensed consolidated balance sheets upon commencement on August 1, 2021. The total estimated future undiscounted cash payments for this additional lease are approximately $1.7 million.</w:t>
      </w:r>
    </w:p>
    <w:p>
      <w:pPr>
        <w:spacing w:after="0" w:line="177" w:lineRule="exact"/>
        <w:rPr>
          <w:sz w:val="20"/>
          <w:szCs w:val="20"/>
          <w:color w:val="auto"/>
        </w:rPr>
      </w:pPr>
    </w:p>
    <w:p>
      <w:pPr>
        <w:ind w:right="60" w:firstLine="468"/>
        <w:spacing w:after="0" w:line="308" w:lineRule="auto"/>
        <w:rPr>
          <w:sz w:val="20"/>
          <w:szCs w:val="20"/>
          <w:color w:val="auto"/>
        </w:rPr>
      </w:pPr>
      <w:r>
        <w:rPr>
          <w:rFonts w:ascii="Arial" w:cs="Arial" w:eastAsia="Arial" w:hAnsi="Arial"/>
          <w:sz w:val="17"/>
          <w:szCs w:val="17"/>
          <w:color w:val="auto"/>
        </w:rPr>
        <w:t>The operating lease expense was approximately $0.8 million and $0.7 million for the three months ended April 30, 2021 and 2020, respectively. The Company's short-term leases and finance leases were not material as of April 30, 2021 and January 31, 2021, respectively.</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April 30, 2021</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Pr>
          <w:p>
            <w:pPr>
              <w:jc w:val="right"/>
              <w:ind w:right="619"/>
              <w:spacing w:after="0" w:line="155"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 cash flows</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856</w:t>
            </w: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3"/>
              </w:rPr>
              <w:t>Supplemental non-cash information related to lease liabilities arising from obtaining right-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760" w:type="dxa"/>
            <w:vAlign w:val="bottom"/>
            <w:gridSpan w:val="2"/>
          </w:tcPr>
          <w:p>
            <w:pPr>
              <w:ind w:left="1140"/>
              <w:spacing w:after="0"/>
              <w:rPr>
                <w:sz w:val="20"/>
                <w:szCs w:val="20"/>
                <w:color w:val="auto"/>
              </w:rPr>
            </w:pPr>
            <w:r>
              <w:rPr>
                <w:rFonts w:ascii="Arial" w:cs="Arial" w:eastAsia="Arial" w:hAnsi="Arial"/>
                <w:sz w:val="18"/>
                <w:szCs w:val="18"/>
                <w:color w:val="auto"/>
              </w:rPr>
              <w:t>of-use assets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79"/>
              <w:spacing w:after="0"/>
              <w:rPr>
                <w:sz w:val="20"/>
                <w:szCs w:val="20"/>
                <w:color w:val="auto"/>
              </w:rPr>
            </w:pPr>
            <w:r>
              <w:rPr>
                <w:rFonts w:ascii="Arial" w:cs="Arial" w:eastAsia="Arial" w:hAnsi="Arial"/>
                <w:sz w:val="18"/>
                <w:szCs w:val="18"/>
                <w:color w:val="auto"/>
              </w:rPr>
              <w:t>89</w:t>
            </w:r>
          </w:p>
        </w:tc>
        <w:tc>
          <w:tcPr>
            <w:tcW w:w="1120" w:type="dxa"/>
            <w:vAlign w:val="bottom"/>
          </w:tcPr>
          <w:p>
            <w:pPr>
              <w:spacing w:after="0"/>
              <w:rPr>
                <w:sz w:val="20"/>
                <w:szCs w:val="20"/>
                <w:color w:val="auto"/>
              </w:rPr>
            </w:pPr>
          </w:p>
        </w:tc>
      </w:tr>
      <w:tr>
        <w:trPr>
          <w:trHeight w:val="215"/>
        </w:trPr>
        <w:tc>
          <w:tcPr>
            <w:tcW w:w="114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w w:val="99"/>
              </w:rPr>
              <w:t>Leased assets obtained in exchange for operating lease liabilities arising from lease</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modifications</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1,687</w:t>
            </w:r>
          </w:p>
        </w:tc>
        <w:tc>
          <w:tcPr>
            <w:tcW w:w="1120" w:type="dxa"/>
            <w:vAlign w:val="bottom"/>
          </w:tcPr>
          <w:p>
            <w:pPr>
              <w:spacing w:after="0"/>
              <w:rPr>
                <w:sz w:val="20"/>
                <w:szCs w:val="20"/>
                <w:color w:val="auto"/>
              </w:rPr>
            </w:pPr>
          </w:p>
        </w:tc>
      </w:tr>
      <w:tr>
        <w:trPr>
          <w:trHeight w:val="648"/>
        </w:trPr>
        <w:tc>
          <w:tcPr>
            <w:tcW w:w="7760" w:type="dxa"/>
            <w:vAlign w:val="bottom"/>
            <w:gridSpan w:val="2"/>
          </w:tcPr>
          <w:p>
            <w:pPr>
              <w:jc w:val="right"/>
              <w:ind w:right="19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6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560" w:firstLine="510"/>
        <w:spacing w:after="0" w:line="277" w:lineRule="auto"/>
        <w:rPr>
          <w:sz w:val="20"/>
          <w:szCs w:val="20"/>
          <w:color w:val="auto"/>
        </w:rPr>
      </w:pPr>
      <w:r>
        <w:rPr>
          <w:rFonts w:ascii="Arial" w:cs="Arial" w:eastAsia="Arial" w:hAnsi="Arial"/>
          <w:sz w:val="18"/>
          <w:szCs w:val="18"/>
          <w:color w:val="auto"/>
        </w:rPr>
        <w:t>As of April 30, 2021, the weighted average remaining lease term is 4.20 years, and the weighted average discount rate is 3.82 percent. Future minimum lease payments for the lease liabilities are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9"/>
              </w:rPr>
              <w:t>Fiscal Year</w:t>
            </w:r>
          </w:p>
        </w:tc>
        <w:tc>
          <w:tcPr>
            <w:tcW w:w="426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April 30, 2021</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jc w:val="right"/>
              <w:ind w:right="85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2022 (9 months remaining)</w:t>
            </w:r>
          </w:p>
        </w:tc>
        <w:tc>
          <w:tcPr>
            <w:tcW w:w="17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Arial" w:cs="Arial" w:eastAsia="Arial" w:hAnsi="Arial"/>
                <w:sz w:val="18"/>
                <w:szCs w:val="18"/>
                <w:color w:val="auto"/>
              </w:rPr>
              <w:t>2025</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2026</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Thereafter</w:t>
            </w:r>
          </w:p>
        </w:tc>
        <w:tc>
          <w:tcPr>
            <w:tcW w:w="1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annual minimum lease payments</w:t>
            </w: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Less: interest</w:t>
            </w:r>
          </w:p>
        </w:tc>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lease liabilities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at April 30, 2021 and January 31, 2021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 2021</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2021</w:t>
            </w: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including interest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Deferred tax liabilities, non-current</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liabilities, non-current</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ind w:left="520" w:right="9380" w:hanging="512"/>
        <w:spacing w:after="0" w:line="453" w:lineRule="auto"/>
        <w:tabs>
          <w:tab w:leader="none" w:pos="19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b w:val="1"/>
          <w:bCs w:val="1"/>
          <w:i w:val="1"/>
          <w:iCs w:val="1"/>
          <w:color w:val="auto"/>
        </w:rPr>
        <w:t>Preference shares</w:t>
      </w:r>
    </w:p>
    <w:p>
      <w:pPr>
        <w:spacing w:after="0" w:line="1"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After completion of the Company’s initial public offering in 2012, a total of 20,000,000 preference shares, with a $0.00045 par value per share, were authorized. There were no preference shares issued and outstanding as of April 30, 2021 and January 31, 2021, respectively.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2021 and January 31, 2021, a total of 200,000,000 ordinary shares were authorized.</w:t>
      </w:r>
    </w:p>
    <w:p>
      <w:pPr>
        <w:spacing w:after="0" w:line="22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For the three months ended April 30, 2021, the Company added 1,599,634 ordinary shares to the ordinary shares reserved for issuance, pursuant to an “evergreen” provision contained in the 2012 Equity Incentive Plan, or EIP. Pursuant to such provision, for each fiscal year, the number of ordinary shares reserved for issuance under the EIP is automatically increased by a number equal to the lesser of (i) 3,500,000 ordinary shares, (ii) four and one half percent (4.5%) of the aggregate number of ordinary shares outstanding on January 31st of the preceding fiscal year, or (iii) a lesser number of shares that may be determined by the Company’s Board of Directors.</w:t>
      </w:r>
    </w:p>
    <w:p>
      <w:pPr>
        <w:spacing w:after="0" w:line="188"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For the three months ended April 30, 2021, the Company added 444,343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As of April 30, 2021 and January 31, 2021, the following ordinary shares were reserved for future issuance under the EIP and ESPP:</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7"/>
              </w:rPr>
              <w:t>As of</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900" w:type="dxa"/>
            <w:vAlign w:val="bottom"/>
          </w:tcPr>
          <w:p>
            <w:pPr>
              <w:spacing w:after="0"/>
              <w:rPr>
                <w:sz w:val="13"/>
                <w:szCs w:val="13"/>
                <w:color w:val="auto"/>
              </w:rPr>
            </w:pPr>
          </w:p>
        </w:tc>
        <w:tc>
          <w:tcPr>
            <w:tcW w:w="1640" w:type="dxa"/>
            <w:vAlign w:val="bottom"/>
            <w:gridSpan w:val="3"/>
          </w:tcPr>
          <w:p>
            <w:pPr>
              <w:ind w:left="260"/>
              <w:spacing w:after="0" w:line="155" w:lineRule="exact"/>
              <w:rPr>
                <w:sz w:val="20"/>
                <w:szCs w:val="20"/>
                <w:color w:val="auto"/>
              </w:rPr>
            </w:pPr>
            <w:r>
              <w:rPr>
                <w:rFonts w:ascii="Arial" w:cs="Arial" w:eastAsia="Arial" w:hAnsi="Arial"/>
                <w:sz w:val="14"/>
                <w:szCs w:val="14"/>
                <w:b w:val="1"/>
                <w:bCs w:val="1"/>
                <w:color w:val="auto"/>
              </w:rPr>
              <w:t>April 30, 2021</w:t>
            </w:r>
          </w:p>
        </w:tc>
        <w:tc>
          <w:tcPr>
            <w:tcW w:w="1240" w:type="dxa"/>
            <w:vAlign w:val="bottom"/>
          </w:tcPr>
          <w:p>
            <w:pPr>
              <w:jc w:val="right"/>
              <w:ind w:right="56"/>
              <w:spacing w:after="0" w:line="155" w:lineRule="exact"/>
              <w:rPr>
                <w:sz w:val="20"/>
                <w:szCs w:val="20"/>
                <w:color w:val="auto"/>
              </w:rPr>
            </w:pPr>
            <w:r>
              <w:rPr>
                <w:rFonts w:ascii="Arial" w:cs="Arial" w:eastAsia="Arial" w:hAnsi="Arial"/>
                <w:sz w:val="14"/>
                <w:szCs w:val="14"/>
                <w:b w:val="1"/>
                <w:bCs w:val="1"/>
                <w:color w:val="auto"/>
                <w:w w:val="96"/>
              </w:rPr>
              <w:t>January 31, 2021</w:t>
            </w:r>
          </w:p>
        </w:tc>
        <w:tc>
          <w:tcPr>
            <w:tcW w:w="80" w:type="dxa"/>
            <w:vAlign w:val="bottom"/>
          </w:tcPr>
          <w:p>
            <w:pPr>
              <w:spacing w:after="0"/>
              <w:rPr>
                <w:sz w:val="13"/>
                <w:szCs w:val="13"/>
                <w:color w:val="auto"/>
              </w:rPr>
            </w:pPr>
          </w:p>
        </w:tc>
      </w:tr>
      <w:tr>
        <w:trPr>
          <w:trHeight w:val="209"/>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reserved for options, restricted stock and</w:t>
            </w: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under EIP</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6,938,255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5,981,741</w:t>
            </w:r>
          </w:p>
        </w:tc>
        <w:tc>
          <w:tcPr>
            <w:tcW w:w="80" w:type="dxa"/>
            <w:vAlign w:val="bottom"/>
            <w:shd w:val="clear" w:color="auto" w:fill="CFF0FC"/>
          </w:tcPr>
          <w:p>
            <w:pPr>
              <w:spacing w:after="0"/>
              <w:rPr>
                <w:sz w:val="20"/>
                <w:szCs w:val="20"/>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Shares reserved for ESPP</w:t>
            </w:r>
          </w:p>
        </w:tc>
        <w:tc>
          <w:tcPr>
            <w:tcW w:w="1460" w:type="dxa"/>
            <w:vAlign w:val="bottom"/>
          </w:tcPr>
          <w:p>
            <w:pPr>
              <w:jc w:val="right"/>
              <w:spacing w:after="0"/>
              <w:rPr>
                <w:sz w:val="20"/>
                <w:szCs w:val="20"/>
                <w:color w:val="auto"/>
              </w:rPr>
            </w:pPr>
            <w:r>
              <w:rPr>
                <w:rFonts w:ascii="Arial" w:cs="Arial" w:eastAsia="Arial" w:hAnsi="Arial"/>
                <w:sz w:val="18"/>
                <w:szCs w:val="18"/>
                <w:color w:val="auto"/>
              </w:rPr>
              <w:t>2,660,703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2,299,143</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 repurchased</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May 29, 2019, the Company’s Board of Directors authorized a program to repurchase up to $50.0 million of the Company’s ordinary shares through June 30, 2020. On March 16, 2020, the Company repurchased a total of 25,719 shares for approximately $1.0 million in cash. On May 29, 2020, the Board approved an extension of this program for an additional twelve months ending June 30, 2021. There were no ordinary shares repurchased in the three months ended April 30, 2021.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As of April 30, 2021, there was approximately $49.0 million available for repurchases under the repurchase program through June 30,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classification of stock-based compensation for the periods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April 30,</w:t>
            </w:r>
          </w:p>
        </w:tc>
      </w:tr>
      <w:tr>
        <w:trPr>
          <w:trHeight w:val="156"/>
        </w:trPr>
        <w:tc>
          <w:tcPr>
            <w:tcW w:w="4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r>
      <w:tr>
        <w:trPr>
          <w:trHeight w:val="155"/>
        </w:trPr>
        <w:tc>
          <w:tcPr>
            <w:tcW w:w="4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5"/>
          </w:tcPr>
          <w:p>
            <w:pPr>
              <w:ind w:left="660"/>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43"/>
        </w:trPr>
        <w:tc>
          <w:tcPr>
            <w:tcW w:w="402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21"/>
                <w:szCs w:val="2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9,896</w:t>
            </w:r>
          </w:p>
        </w:tc>
        <w:tc>
          <w:tcPr>
            <w:tcW w:w="200" w:type="dxa"/>
            <w:vAlign w:val="bottom"/>
            <w:shd w:val="clear" w:color="auto" w:fill="CFF0FC"/>
          </w:tcPr>
          <w:p>
            <w:pPr>
              <w:spacing w:after="0"/>
              <w:rPr>
                <w:sz w:val="19"/>
                <w:szCs w:val="19"/>
                <w:color w:val="auto"/>
              </w:rPr>
            </w:pPr>
          </w:p>
        </w:tc>
      </w:tr>
      <w:tr>
        <w:trPr>
          <w:trHeight w:val="243"/>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1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w:t>
            </w:r>
          </w:p>
        </w:tc>
        <w:tc>
          <w:tcPr>
            <w:tcW w:w="200" w:type="dxa"/>
            <w:vAlign w:val="bottom"/>
            <w:tcBorders>
              <w:bottom w:val="single" w:sz="8" w:color="CFF0FC"/>
            </w:tcBorders>
          </w:tcPr>
          <w:p>
            <w:pPr>
              <w:spacing w:after="0"/>
              <w:rPr>
                <w:sz w:val="21"/>
                <w:szCs w:val="21"/>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18,842</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20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During the three months ended April 30, 2021, approximately $1.7 million of stock-based compensation expense was accrued in accrued and other current liabilities in the condensed consolidated balance sheets. As of April 30, 2021, total unrecognized compensation cost related to unvested stock options was $3.3 million and is expected to be recognized over a weighted-average period of 2.41 years. Total unrecognized compensation cost related to unvested restricted stock units was $139.2 million and is expected to be recognized over a weighted-average period of 2.31 years.</w:t>
      </w:r>
    </w:p>
    <w:p>
      <w:pPr>
        <w:spacing w:after="0" w:line="15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following table sets forth the weighted-average assumptions used to estimate the fair value of stock options and employee stock purchase plan awards for the periods indicated:</w:t>
      </w:r>
    </w:p>
    <w:p>
      <w:pPr>
        <w:spacing w:after="0" w:line="243"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Three Months Ended April 30,</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59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43"/>
        </w:trPr>
        <w:tc>
          <w:tcPr>
            <w:tcW w:w="6740" w:type="dxa"/>
            <w:vAlign w:val="bottom"/>
            <w:gridSpan w:val="2"/>
          </w:tcPr>
          <w:p>
            <w:pPr>
              <w:ind w:left="240"/>
              <w:spacing w:after="0"/>
              <w:rPr>
                <w:sz w:val="20"/>
                <w:szCs w:val="20"/>
                <w:color w:val="auto"/>
              </w:rPr>
            </w:pPr>
            <w:r>
              <w:rPr>
                <w:rFonts w:ascii="Arial" w:cs="Arial" w:eastAsia="Arial" w:hAnsi="Arial"/>
                <w:sz w:val="18"/>
                <w:szCs w:val="18"/>
                <w:color w:val="auto"/>
              </w:rPr>
              <w:t>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30"/>
        </w:trPr>
        <w:tc>
          <w:tcPr>
            <w:tcW w:w="6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0.74%</w:t>
            </w:r>
          </w:p>
        </w:tc>
      </w:tr>
      <w:tr>
        <w:trPr>
          <w:trHeight w:val="243"/>
        </w:trPr>
        <w:tc>
          <w:tcPr>
            <w:tcW w:w="6740" w:type="dxa"/>
            <w:vAlign w:val="bottom"/>
            <w:gridSpan w:val="2"/>
          </w:tcPr>
          <w:p>
            <w:pPr>
              <w:ind w:left="240"/>
              <w:spacing w:after="0"/>
              <w:rPr>
                <w:sz w:val="20"/>
                <w:szCs w:val="20"/>
                <w:color w:val="auto"/>
              </w:rPr>
            </w:pPr>
            <w:r>
              <w:rPr>
                <w:rFonts w:ascii="Arial" w:cs="Arial" w:eastAsia="Arial" w:hAnsi="Arial"/>
                <w:sz w:val="18"/>
                <w:szCs w:val="18"/>
                <w:color w:val="auto"/>
              </w:rPr>
              <w:t>Expected term (years)</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21"/>
                <w:szCs w:val="21"/>
                <w:color w:val="auto"/>
              </w:rPr>
            </w:pPr>
          </w:p>
        </w:tc>
      </w:tr>
      <w:tr>
        <w:trPr>
          <w:trHeight w:val="230"/>
        </w:trPr>
        <w:tc>
          <w:tcPr>
            <w:tcW w:w="6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Employee stock purchase plan awards:</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0"/>
        </w:trPr>
        <w:tc>
          <w:tcPr>
            <w:tcW w:w="6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Volatility</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r>
      <w:tr>
        <w:trPr>
          <w:trHeight w:val="243"/>
        </w:trPr>
        <w:tc>
          <w:tcPr>
            <w:tcW w:w="6740" w:type="dxa"/>
            <w:vAlign w:val="bottom"/>
            <w:gridSpan w:val="2"/>
          </w:tcPr>
          <w:p>
            <w:pPr>
              <w:ind w:left="240"/>
              <w:spacing w:after="0"/>
              <w:rPr>
                <w:sz w:val="20"/>
                <w:szCs w:val="20"/>
                <w:color w:val="auto"/>
              </w:rPr>
            </w:pPr>
            <w:r>
              <w:rPr>
                <w:rFonts w:ascii="Arial" w:cs="Arial" w:eastAsia="Arial" w:hAnsi="Arial"/>
                <w:sz w:val="18"/>
                <w:szCs w:val="18"/>
                <w:color w:val="auto"/>
              </w:rPr>
              <w:t>Risk-free interest rate</w:t>
            </w: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r>
      <w:tr>
        <w:trPr>
          <w:trHeight w:val="229"/>
        </w:trPr>
        <w:tc>
          <w:tcPr>
            <w:tcW w:w="6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Expected term (years)</w:t>
            </w:r>
          </w:p>
        </w:tc>
        <w:tc>
          <w:tcPr>
            <w:tcW w:w="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FF0FC"/>
          </w:tcPr>
          <w:p>
            <w:pPr>
              <w:spacing w:after="0"/>
              <w:rPr>
                <w:sz w:val="19"/>
                <w:szCs w:val="19"/>
                <w:color w:val="auto"/>
              </w:rPr>
            </w:pPr>
          </w:p>
        </w:tc>
      </w:tr>
      <w:tr>
        <w:trPr>
          <w:trHeight w:val="230"/>
        </w:trPr>
        <w:tc>
          <w:tcPr>
            <w:tcW w:w="6740" w:type="dxa"/>
            <w:vAlign w:val="bottom"/>
            <w:gridSpan w:val="2"/>
          </w:tcPr>
          <w:p>
            <w:pPr>
              <w:ind w:left="240"/>
              <w:spacing w:after="0"/>
              <w:rPr>
                <w:sz w:val="20"/>
                <w:szCs w:val="20"/>
                <w:color w:val="auto"/>
              </w:rPr>
            </w:pPr>
            <w:r>
              <w:rPr>
                <w:rFonts w:ascii="Arial" w:cs="Arial" w:eastAsia="Arial" w:hAnsi="Arial"/>
                <w:sz w:val="18"/>
                <w:szCs w:val="18"/>
                <w:color w:val="auto"/>
              </w:rPr>
              <w:t>Dividend yield</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activities for the period indicated: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Option Outstanding</w:t>
            </w: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80"/>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Total Intrinsic</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2"/>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65"/>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Value Of</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920" w:type="dxa"/>
            <w:vAlign w:val="bottom"/>
          </w:tcPr>
          <w:p>
            <w:pPr>
              <w:jc w:val="center"/>
              <w:ind w:right="145"/>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Options</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99"/>
              </w:rPr>
              <w:t>Intrinsic</w:t>
            </w:r>
          </w:p>
        </w:tc>
      </w:tr>
      <w:tr>
        <w:trPr>
          <w:trHeight w:val="186"/>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6"/>
                <w:szCs w:val="16"/>
                <w:color w:val="auto"/>
              </w:rPr>
            </w:pPr>
          </w:p>
        </w:tc>
        <w:tc>
          <w:tcPr>
            <w:tcW w:w="920" w:type="dxa"/>
            <w:vAlign w:val="bottom"/>
          </w:tcPr>
          <w:p>
            <w:pPr>
              <w:jc w:val="center"/>
              <w:ind w:right="165"/>
              <w:spacing w:after="0"/>
              <w:rPr>
                <w:sz w:val="20"/>
                <w:szCs w:val="20"/>
                <w:color w:val="auto"/>
              </w:rPr>
            </w:pPr>
            <w:r>
              <w:rPr>
                <w:rFonts w:ascii="Arial" w:cs="Arial" w:eastAsia="Arial" w:hAnsi="Arial"/>
                <w:sz w:val="14"/>
                <w:szCs w:val="14"/>
                <w:b w:val="1"/>
                <w:bCs w:val="1"/>
                <w:color w:val="auto"/>
                <w:w w:val="95"/>
              </w:rPr>
              <w:t>Grant-date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Exercised</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r>
      <w:tr>
        <w:trPr>
          <w:trHeight w:val="228"/>
        </w:trPr>
        <w:tc>
          <w:tcPr>
            <w:tcW w:w="46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9"/>
                <w:szCs w:val="19"/>
                <w:color w:val="auto"/>
              </w:rPr>
            </w:pPr>
          </w:p>
        </w:tc>
        <w:tc>
          <w:tcPr>
            <w:tcW w:w="920" w:type="dxa"/>
            <w:vAlign w:val="bottom"/>
          </w:tcPr>
          <w:p>
            <w:pPr>
              <w:jc w:val="center"/>
              <w:ind w:right="165"/>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06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31, 2021</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719,143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38.33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13,100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111.51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5"/>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(77,403)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6,363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46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55.43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Outstanding at April 30,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651,709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41"/>
              <w:spacing w:after="0"/>
              <w:rPr>
                <w:sz w:val="20"/>
                <w:szCs w:val="20"/>
                <w:color w:val="auto"/>
              </w:rPr>
            </w:pPr>
            <w:r>
              <w:rPr>
                <w:rFonts w:ascii="Arial" w:cs="Arial" w:eastAsia="Arial" w:hAnsi="Arial"/>
                <w:sz w:val="18"/>
                <w:szCs w:val="18"/>
                <w:color w:val="auto"/>
              </w:rPr>
              <w:t>37,040</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April 30, 2021</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531,761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32,298</w:t>
            </w:r>
          </w:p>
        </w:tc>
      </w:tr>
    </w:tbl>
    <w:p>
      <w:pPr>
        <w:spacing w:after="0" w:line="20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April 30, 2021 was $97.49, as reported by The NASDAQ Global Market. The intrinsic value of exercised options is calculated based on the difference between the fair market value of the Company’s ordinary shares on the exercise date and the exercise price.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restricted stock units activities for the period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Grant-Date</w:t>
            </w: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2,871,801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325,866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107.62</w:t>
            </w:r>
          </w:p>
        </w:tc>
        <w:tc>
          <w:tcPr>
            <w:tcW w:w="80" w:type="dxa"/>
            <w:vAlign w:val="bottom"/>
          </w:tcPr>
          <w:p>
            <w:pPr>
              <w:spacing w:after="0"/>
              <w:rPr>
                <w:sz w:val="19"/>
                <w:szCs w:val="19"/>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(565,717)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51.63</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(11,974)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60.25</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April 30,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2,619,976</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2021, the aggregate intrinsic value of unvested restricted stock units was $255.4 million.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Ordinary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loss per ordinary share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April 30,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gridSpan w:val="6"/>
          </w:tcPr>
          <w:p>
            <w:pPr>
              <w:jc w:val="right"/>
              <w:ind w:right="180"/>
              <w:spacing w:after="0" w:line="133" w:lineRule="exact"/>
              <w:rPr>
                <w:sz w:val="20"/>
                <w:szCs w:val="20"/>
                <w:color w:val="auto"/>
              </w:rPr>
            </w:pPr>
            <w:r>
              <w:rPr>
                <w:rFonts w:ascii="Arial" w:cs="Arial" w:eastAsia="Arial" w:hAnsi="Arial"/>
                <w:sz w:val="14"/>
                <w:szCs w:val="14"/>
                <w:b w:val="1"/>
                <w:bCs w:val="1"/>
                <w:color w:val="auto"/>
                <w:w w:val="90"/>
              </w:rPr>
              <w:t>(in thousands, except share and per share</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5"/>
              </w:rPr>
              <w:t>data)</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160" w:type="dxa"/>
            <w:vAlign w:val="bottom"/>
            <w:gridSpan w:val="2"/>
          </w:tcPr>
          <w:p>
            <w:pPr>
              <w:ind w:left="1700"/>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(10,818)</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(15,463)</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5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160" w:type="dxa"/>
            <w:vAlign w:val="bottom"/>
            <w:gridSpan w:val="2"/>
          </w:tcPr>
          <w:p>
            <w:pPr>
              <w:ind w:left="1700"/>
              <w:spacing w:after="0"/>
              <w:rPr>
                <w:sz w:val="20"/>
                <w:szCs w:val="20"/>
                <w:color w:val="auto"/>
              </w:rPr>
            </w:pPr>
            <w:r>
              <w:rPr>
                <w:rFonts w:ascii="Arial" w:cs="Arial" w:eastAsia="Arial" w:hAnsi="Arial"/>
                <w:sz w:val="18"/>
                <w:szCs w:val="18"/>
                <w:color w:val="auto"/>
              </w:rPr>
              <w:t>Weighted-average ordinary shares - basic</w:t>
            </w:r>
          </w:p>
        </w:tc>
        <w:tc>
          <w:tcPr>
            <w:tcW w:w="1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35,940,304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34,080,330</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Weighted-average ordinary shares - diluted</w:t>
            </w:r>
          </w:p>
        </w:tc>
        <w:tc>
          <w:tcPr>
            <w:tcW w:w="15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35,940,304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34,080,330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1700"/>
              <w:spacing w:after="0"/>
              <w:rPr>
                <w:sz w:val="20"/>
                <w:szCs w:val="20"/>
                <w:color w:val="auto"/>
              </w:rPr>
            </w:pPr>
            <w:r>
              <w:rPr>
                <w:rFonts w:ascii="Arial" w:cs="Arial" w:eastAsia="Arial" w:hAnsi="Arial"/>
                <w:sz w:val="18"/>
                <w:szCs w:val="18"/>
                <w:color w:val="auto"/>
              </w:rPr>
              <w:t>Net loss per ordinary share:</w:t>
            </w: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1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4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40" w:type="dxa"/>
            <w:vAlign w:val="bottom"/>
            <w:vMerge w:val="restart"/>
          </w:tcPr>
          <w:p>
            <w:pPr>
              <w:jc w:val="right"/>
              <w:ind w:right="8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9" w:name="page20"/>
    <w:bookmarkEnd w:id="19"/>
    <w:p>
      <w:pPr>
        <w:ind w:right="100" w:firstLine="510"/>
        <w:spacing w:after="0" w:line="277" w:lineRule="auto"/>
        <w:rPr>
          <w:sz w:val="20"/>
          <w:szCs w:val="20"/>
          <w:color w:val="auto"/>
        </w:rPr>
      </w:pPr>
      <w:r>
        <w:rPr>
          <w:rFonts w:ascii="Arial" w:cs="Arial" w:eastAsia="Arial" w:hAnsi="Arial"/>
          <w:sz w:val="18"/>
          <w:szCs w:val="18"/>
          <w:color w:val="auto"/>
        </w:rPr>
        <w:t>The following weighted-average potentially dilutive securities were excluded from the computation of diluted loss per ordinary share as their effect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6"/>
              </w:rPr>
              <w:t>Three Months Ended April 30,</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0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427,861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771,769</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700"/>
              <w:spacing w:after="0"/>
              <w:rPr>
                <w:sz w:val="20"/>
                <w:szCs w:val="20"/>
                <w:color w:val="auto"/>
              </w:rPr>
            </w:pPr>
            <w:r>
              <w:rPr>
                <w:rFonts w:ascii="Arial" w:cs="Arial" w:eastAsia="Arial" w:hAnsi="Arial"/>
                <w:sz w:val="18"/>
                <w:szCs w:val="18"/>
                <w:color w:val="auto"/>
              </w:rPr>
              <w:t>Restricted stock units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1,786,252</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1,441,462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22,870</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31,092</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2,236,983</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2,244,323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Income Taxes</w:t>
            </w: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2"/>
          </w:tcPr>
          <w:p>
            <w:pPr>
              <w:ind w:left="520"/>
              <w:spacing w:after="0"/>
              <w:rPr>
                <w:sz w:val="20"/>
                <w:szCs w:val="20"/>
                <w:color w:val="auto"/>
              </w:rPr>
            </w:pPr>
            <w:r>
              <w:rPr>
                <w:rFonts w:ascii="Arial" w:cs="Arial" w:eastAsia="Arial" w:hAnsi="Arial"/>
                <w:sz w:val="18"/>
                <w:szCs w:val="18"/>
                <w:color w:val="auto"/>
              </w:rPr>
              <w:t>The following table provides details of income taxes for the periods indicated: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6"/>
          </w:tcPr>
          <w:p>
            <w:pPr>
              <w:jc w:val="right"/>
              <w:ind w:right="880"/>
              <w:spacing w:after="0" w:line="155"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(9,543)</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(14,337)</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70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The Company recorded an income tax provision of $1.3 million and $1.1 million for the three months ended April 30, 2021 and 2020, respectively. The increase in income tax expense was primarily due to a decrease in the proportion of profits generated in lower tax jurisdictions, partially offset by a $3.4 million increase in the U.S. federal research tax credit as well as an increase in tax benefits from excess stock-based compensation deductions.</w:t>
      </w:r>
    </w:p>
    <w:p>
      <w:pPr>
        <w:spacing w:after="0" w:line="149"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The Company files federal and state income tax returns in the United States and in various foreign jurisdictions. The Internal Revenue Service is currently examining the Company’s U.S. federal income tax return for the fiscal year ended January 31, 2017. The tax years 2013 to 2020 remain open to examination by U.S. federal tax authorities. The tax years 2009 to 2020 remain open to examination by U.S. state tax authorities. The tax years 2015 to 2020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6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regularly assesses the likelihood of adverse outcomes resulting from potential tax examinations to determine the adequacy of its provision for income taxes. These assessments can require considerable estimates and judgments. As of April 30, 2021, the gross amount of unrecognized tax benefits was approximately $27.8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390" w:lineRule="exact"/>
        <w:rPr>
          <w:sz w:val="20"/>
          <w:szCs w:val="20"/>
          <w:color w:val="auto"/>
        </w:rPr>
      </w:pPr>
    </w:p>
    <w:p>
      <w:pPr>
        <w:ind w:left="520" w:right="7900" w:hanging="512"/>
        <w:spacing w:after="0" w:line="603" w:lineRule="auto"/>
        <w:tabs>
          <w:tab w:leader="none" w:pos="28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Contract Manufacturer Commitments</w:t>
      </w:r>
    </w:p>
    <w:p>
      <w:pPr>
        <w:spacing w:after="0" w:line="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These purchase orders typically provide the Company with flexibility to cancel, reschedule or adjust requirements based upon business needs but the Company may incur certain costs depending on the production stage of the products. As of April 30, 2021 and January 31, 2021, total manufacturing purchase commitments were approximately $67.6 million and $48.2 million, respectively. The Company also reviews and assesses the need for any expected loss liabilities on quarterly basis for all products that it does not expect to sell for which it has committed purchases from suppliers. As of April 30, 2021, there was no material loss recognized in the condensed consolidated balance sheets from adverse purchase commitments.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April 30, 2021 and January 31, 2021, respectively.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revenue by geographic region based on bill-to location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4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55"/>
        </w:trPr>
        <w:tc>
          <w:tcPr>
            <w:tcW w:w="4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40" w:type="dxa"/>
            <w:vAlign w:val="bottom"/>
            <w:gridSpan w:val="4"/>
          </w:tcPr>
          <w:p>
            <w:pPr>
              <w:jc w:val="right"/>
              <w:ind w:right="469"/>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28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44,587</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34,460</w:t>
            </w:r>
          </w:p>
        </w:tc>
        <w:tc>
          <w:tcPr>
            <w:tcW w:w="240" w:type="dxa"/>
            <w:vAlign w:val="bottom"/>
            <w:shd w:val="clear" w:color="auto" w:fill="CFF0FC"/>
          </w:tcPr>
          <w:p>
            <w:pPr>
              <w:spacing w:after="0"/>
              <w:rPr>
                <w:sz w:val="19"/>
                <w:szCs w:val="19"/>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Asia Pacific</w:t>
            </w:r>
          </w:p>
        </w:tc>
        <w:tc>
          <w:tcPr>
            <w:tcW w:w="1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18,637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14,028</w:t>
            </w:r>
          </w:p>
        </w:tc>
        <w:tc>
          <w:tcPr>
            <w:tcW w:w="240" w:type="dxa"/>
            <w:vAlign w:val="bottom"/>
          </w:tcPr>
          <w:p>
            <w:pPr>
              <w:spacing w:after="0"/>
              <w:rPr>
                <w:sz w:val="21"/>
                <w:szCs w:val="2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40" w:type="dxa"/>
            <w:vAlign w:val="bottom"/>
            <w:shd w:val="clear" w:color="auto" w:fill="CFF0FC"/>
          </w:tcPr>
          <w:p>
            <w:pPr>
              <w:spacing w:after="0"/>
              <w:rPr>
                <w:sz w:val="19"/>
                <w:szCs w:val="19"/>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1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2,690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2,673</w:t>
            </w:r>
          </w:p>
        </w:tc>
        <w:tc>
          <w:tcPr>
            <w:tcW w:w="240" w:type="dxa"/>
            <w:vAlign w:val="bottom"/>
          </w:tcPr>
          <w:p>
            <w:pPr>
              <w:spacing w:after="0"/>
              <w:rPr>
                <w:sz w:val="21"/>
                <w:szCs w:val="2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240" w:type="dxa"/>
            <w:vAlign w:val="bottom"/>
            <w:shd w:val="clear" w:color="auto" w:fill="CFF0FC"/>
          </w:tcPr>
          <w:p>
            <w:pPr>
              <w:spacing w:after="0"/>
              <w:rPr>
                <w:sz w:val="19"/>
                <w:szCs w:val="19"/>
                <w:color w:val="auto"/>
              </w:rPr>
            </w:pP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320" w:type="dxa"/>
            <w:vAlign w:val="bottom"/>
          </w:tcPr>
          <w:p>
            <w:pPr>
              <w:spacing w:after="0"/>
              <w:rPr>
                <w:sz w:val="19"/>
                <w:szCs w:val="19"/>
                <w:color w:val="auto"/>
              </w:rPr>
            </w:pP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70,133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54,645</w:t>
            </w:r>
          </w:p>
        </w:tc>
        <w:tc>
          <w:tcPr>
            <w:tcW w:w="24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As of April 30, 2021, substantially all of the Company’s property and equipment, net, was located in the United States, Asia Pacific region and Europe with approximate net amounts of $2.4 million, $2.4 million and $1.5 million,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The customers representing 10% or more of revenue and accounts receivable were Wintech and Chicony, which accounted for approximately 63% and 16% of total revenue for the three months ended April 30, 2021, respectively. For the three months ended April 30, 2020, the customers representing 10% or more of revenue and accounts receivable were Wintech and Chicony, which accounted for approximately 63% and 15% of total revenue, respectively. Accounts receivable with Wintech and Chicony were approximately $17.0 million and $11.3 million as of April 30, 2021, 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On May 29, 2019, the Company’s Board of Directors authorized a program to repurchase up to $50.0 million of the Company’s ordinary shares through June 30, 2020. On May 29, 2020, the Board approved an extension of this program for an additional twelve months ending June 30, 2021. On May 25, 2021, the Board extended the repurchase program for another 12 months through June 30, 2022. The repurchase program does not obligate the Company to acquire any particular amount of ordinary shares, and it may be suspended at any time at the Company’s discretion. As of June 7, 2021, there was approximately $49.0 million available for repurchases under the repurchase program through June 30, 2022.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2021 and management’s discussion and analysis of our financial condition and results of operations included in our Annual Report on Form 10-K for the 2021 fiscal year filed with the Securities and Exchange Commission, or SEC, on March 31, 2021.</w:t>
      </w:r>
    </w:p>
    <w:p>
      <w:pPr>
        <w:spacing w:after="0" w:line="188"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and operating expenses,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ongoing and potential impact of the COVID-19 pandemic on our operations or the operations of our supply chain or our customers; risks associated with the overall economy, including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In the last several years, our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recently developed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Our SoC designs fully integrate AI, computer vision functionality,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markets and applications. We anticipate that our CV technology will also enable us to capture more content per electronic system.</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firstLine="510"/>
        <w:spacing w:after="0" w:line="291" w:lineRule="auto"/>
        <w:rPr>
          <w:sz w:val="20"/>
          <w:szCs w:val="20"/>
          <w:color w:val="auto"/>
        </w:rPr>
      </w:pPr>
      <w:r>
        <w:rPr>
          <w:rFonts w:ascii="Arial" w:cs="Arial" w:eastAsia="Arial" w:hAnsi="Arial"/>
          <w:sz w:val="16"/>
          <w:szCs w:val="16"/>
          <w:color w:val="auto"/>
        </w:rPr>
        <w:t>Our development efforts are focused on SoCs that provide both human viewing and computer vision functionality. As a result, we believe that our future revenue growth, if any, will significantly depend upon our ability to expand within camera markets with our AI and computer vision technology, particularly in the professional IP security and home security and monitoring camera markets, as well as emerging markets such as AI-enabled security cameras, AI-based driving applications, including driver monitoring systems, advanced blind spot detection, object detection, and deep learning algorithms for HD mapping solutions, OEM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6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sell our SoC solutions to leading original design manufacturers, or ODMs, and OEMs globally, and in the automotive market, we also sell to Tier-1 suppliers. We refer to ODMs and Tier-1 automotive suppliers as our customers and OEMs as our end customers, except as otherwise indicated or as the context otherwise requires.</w:t>
      </w:r>
    </w:p>
    <w:p>
      <w:pPr>
        <w:spacing w:after="0" w:line="18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9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Volume production may begin within 9 to 18 months after a design win, depending on the complexity of our customer’s product and other factors upon which we may have little or no influence. In general, design cycles will be longer in the OEM automotive and industrial and robotics markets than in the IP security and consumer device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6 to 18 months, while an IP security camera typically has a product life cycle of 12 to 24 months. We anticipate that product lifecycles will typically be longer than 24 months in the OEM automotive and industrial and robotics markets, as new product introductions occur less frequently in these markets.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Highlights and Trends</w:t>
      </w:r>
    </w:p>
    <w:p>
      <w:pPr>
        <w:spacing w:after="0" w:line="117" w:lineRule="exact"/>
        <w:rPr>
          <w:sz w:val="20"/>
          <w:szCs w:val="20"/>
          <w:color w:val="auto"/>
        </w:rPr>
      </w:pPr>
    </w:p>
    <w:p>
      <w:pPr>
        <w:ind w:left="1520" w:right="80" w:hanging="500"/>
        <w:spacing w:after="0" w:line="288" w:lineRule="auto"/>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recorded revenue of $70.1 million for the three months ended April 30, 2021, an increase of 28% as compared to the same period in the prior fiscal year. The increase in revenue was primarily attributable to higher revenue from the IP security, automotive and wearable camera markets. In the professional IP security camera market, despite lower demand from one of our largest China customers, continued growth elsewhere in the Asia and North America regions, together with increased demand from the Europe region, resulted in a significant revenue increase in this market. In the home IP security camera market, revenue growth continued to be led by the North America region. The increased revenue in the automotive markets, including both automotive OEM and aftermarket applications, was primarily due to a recovery in the automotive industry in the Asia region. For the three months ended April 30, 2021, demand for our CV-based solutions in the IP security camera and automotive OEM markets continued to grow. The increased revenue from the IP security, automotive and wearable camera markets was partially offset by decreased revenue in the consumer device markets, including aerial drone and sports camera markets.</w:t>
      </w:r>
    </w:p>
    <w:p>
      <w:pPr>
        <w:spacing w:after="0" w:line="60" w:lineRule="exact"/>
        <w:rPr>
          <w:rFonts w:ascii="Arial" w:cs="Arial" w:eastAsia="Arial" w:hAnsi="Arial"/>
          <w:sz w:val="16"/>
          <w:szCs w:val="16"/>
          <w:color w:val="auto"/>
        </w:rPr>
      </w:pPr>
    </w:p>
    <w:p>
      <w:pPr>
        <w:ind w:left="1520" w:hanging="500"/>
        <w:spacing w:after="0" w:line="255"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an operating loss of $10.1 million for the three months ended April 30, 2021, as compared to an operating loss of $15.6 million for the three months ended April 30, 2020. The decreased operating loss was primarily due to increases in revenue and gross profit, partially offset by increased operating expenses. The increased operating expenses, mainly in support of new applications for the automotive markets as well as the development of computer vision-based solutions, related primarily to increased engineering headcount and stock-based compensation expenses, partially offset by decreased chip tape-out costs due to the timing, complexity and number of chips in development.</w:t>
      </w:r>
    </w:p>
    <w:p>
      <w:pPr>
        <w:spacing w:after="0" w:line="84" w:lineRule="exact"/>
        <w:rPr>
          <w:rFonts w:ascii="Arial" w:cs="Arial" w:eastAsia="Arial" w:hAnsi="Arial"/>
          <w:sz w:val="18"/>
          <w:szCs w:val="18"/>
          <w:color w:val="auto"/>
        </w:rPr>
      </w:pPr>
    </w:p>
    <w:p>
      <w:pPr>
        <w:ind w:left="1520" w:right="60" w:hanging="500"/>
        <w:spacing w:after="0" w:line="275" w:lineRule="auto"/>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incurred cash outflows from operating activities of $4.5 million for the three months ended April 30, 2021, as compared to cash inflows from operating activities of $7.6 million for the three months ended April 30, 2020. The decreased cash flows from operating activities were primarily due to increased inventory purchases associated with longer supply chain lead times, increased accounts receivable associated with the timing of sales and decreased liabilities due to the timing of payments to our suppliers. The decreased cash flows were partially offset by decreased net loss.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i w:val="1"/>
          <w:iCs w:val="1"/>
          <w:color w:val="auto"/>
        </w:rPr>
        <w:t xml:space="preserve">Spread of COVID-19 Could Adversely Affect our Business in a Material Way. </w:t>
      </w:r>
      <w:r>
        <w:rPr>
          <w:rFonts w:ascii="Arial" w:cs="Arial" w:eastAsia="Arial" w:hAnsi="Arial"/>
          <w:sz w:val="16"/>
          <w:szCs w:val="16"/>
          <w:color w:val="auto"/>
        </w:rPr>
        <w:t>The COVID-19 pandemic has resulted in significant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being implemented to control the spread of the virus, including, among others, restrictions on travel and the imposition of remote or work from home conditions in many of the locations where we have offices. While we have not yet experienced a significant disruption of our operations as a result of the COVID-19 pandemic, if the remote or work from home conditions in any of our offices continues for an extended period of time, we may experience delays in product development, a decreased ability to support our customers, reduced design win activity, and overall lack of productivity. Similarly, while we have not yet experienced a major disruption in our supply chain as a result of the COVID-19 pandemic, we are experiencing significantly longer manufacturing times that, if they persist or worsen, could impact our ability to meet our customers’ demand for our solutions and negatively impact our revenue.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For example, Taiwan has recently experienced a significant rise in cases of COVID-19 that, if such conditions persist or worsen, could impact our third-party contractors’ ability to assemble, test and ship our products and negatively impair our operations and financial results. The pandemic may also impact our customers’ ability to manufacture their products, support their customers or reduce or delay demand for their products, which could, in turn, reduce such demand for our solutions. While we cannot quantify specific impacts of the COVID-19 pandemic or actions taken by governments and businesses in response thereto, our results of operations and financial condition may be negatively affected if we encounter significant supply chain problems, reductions in demand due to our customers or end customers having problems, or other unexpected COVID-19 ramifications.</w:t>
      </w:r>
    </w:p>
    <w:p>
      <w:pPr>
        <w:spacing w:after="0" w:line="16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i w:val="1"/>
          <w:iCs w:val="1"/>
          <w:color w:val="auto"/>
        </w:rPr>
        <w:t>Ability to Capitalize on AI and Computer Vision Trends</w:t>
      </w:r>
      <w:r>
        <w:rPr>
          <w:rFonts w:ascii="Arial" w:cs="Arial" w:eastAsia="Arial" w:hAnsi="Arial"/>
          <w:sz w:val="17"/>
          <w:szCs w:val="17"/>
          <w:color w:val="auto"/>
        </w:rPr>
        <w:t>. We expect that AI and computer vision functionality will become an increasingly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in many of our current and future markets, including IP security, automotive, industrial and robotics, and certain consumer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industrial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17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i w:val="1"/>
          <w:iCs w:val="1"/>
          <w:color w:val="auto"/>
        </w:rPr>
        <w:t>Ability to Develop and Introduce New or Enhanced Solutions</w:t>
      </w:r>
      <w:r>
        <w:rPr>
          <w:rFonts w:ascii="Arial" w:cs="Arial" w:eastAsia="Arial" w:hAnsi="Arial"/>
          <w:sz w:val="18"/>
          <w:szCs w:val="18"/>
          <w:color w:val="auto"/>
        </w:rPr>
        <w:t>. We operate in a dynamic environment characterized by rapidly changing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9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i w:val="1"/>
          <w:iCs w:val="1"/>
          <w:color w:val="auto"/>
        </w:rPr>
        <w:t>Pricing, Product Cost and Margin</w:t>
      </w:r>
      <w:r>
        <w:rPr>
          <w:rFonts w:ascii="Arial" w:cs="Arial" w:eastAsia="Arial" w:hAnsi="Arial"/>
          <w:sz w:val="17"/>
          <w:szCs w:val="17"/>
          <w:color w:val="auto"/>
        </w:rPr>
        <w:t>. Our pricing and margins depend on the volumes and features of the solutions we provide to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7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i w:val="1"/>
          <w:iCs w:val="1"/>
          <w:color w:val="auto"/>
        </w:rPr>
        <w:t xml:space="preserve">Shifting Consumer Preferences. </w:t>
      </w:r>
      <w:r>
        <w:rPr>
          <w:rFonts w:ascii="Arial" w:cs="Arial" w:eastAsia="Arial" w:hAnsi="Arial"/>
          <w:sz w:val="17"/>
          <w:szCs w:val="17"/>
          <w:color w:val="auto"/>
        </w:rPr>
        <w:t>Our revenue is also subject to consumer preferences, regarding form factor and functionality, and how those</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aerial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ind w:right="40" w:firstLine="510"/>
        <w:spacing w:after="0" w:line="268" w:lineRule="auto"/>
        <w:rPr>
          <w:sz w:val="20"/>
          <w:szCs w:val="20"/>
          <w:color w:val="auto"/>
        </w:rPr>
      </w:pPr>
      <w:r>
        <w:rPr>
          <w:rFonts w:ascii="Arial" w:cs="Arial" w:eastAsia="Arial" w:hAnsi="Arial"/>
          <w:sz w:val="17"/>
          <w:szCs w:val="17"/>
          <w:i w:val="1"/>
          <w:iCs w:val="1"/>
          <w:color w:val="auto"/>
        </w:rPr>
        <w:t>Continued Concentration of Revenue by End Market</w:t>
      </w:r>
      <w:r>
        <w:rPr>
          <w:rFonts w:ascii="Arial" w:cs="Arial" w:eastAsia="Arial" w:hAnsi="Arial"/>
          <w:sz w:val="17"/>
          <w:szCs w:val="17"/>
          <w:color w:val="auto"/>
        </w:rPr>
        <w:t>. Historically, our revenue has been significantly concentrated in a small number of end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and we developed technologies to provide solutions for new markets as they emerged, such as the sports camera, IP security, aerial drone and automotive video recorder camera markets. Since fiscal year 2018, the professional and consumer IP security camera markets and automotive markets, including the OEM and aftermarket video recorder market,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8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i w:val="1"/>
          <w:iCs w:val="1"/>
          <w:color w:val="auto"/>
        </w:rPr>
        <w:t>Ability to Capitalize on Connectivity Trends</w:t>
      </w:r>
      <w:r>
        <w:rPr>
          <w:rFonts w:ascii="Arial" w:cs="Arial" w:eastAsia="Arial" w:hAnsi="Arial"/>
          <w:sz w:val="16"/>
          <w:szCs w:val="16"/>
          <w:color w:val="auto"/>
        </w:rPr>
        <w:t>. Mobile connected devices are ubiquitous today and play an increasingly prominent role in consumers’</w:t>
      </w:r>
      <w:r>
        <w:rPr>
          <w:rFonts w:ascii="Arial" w:cs="Arial" w:eastAsia="Arial" w:hAnsi="Arial"/>
          <w:sz w:val="16"/>
          <w:szCs w:val="16"/>
          <w:i w:val="1"/>
          <w:iCs w:val="1"/>
          <w:color w:val="auto"/>
        </w:rPr>
        <w:t xml:space="preserve"> </w:t>
      </w:r>
      <w:r>
        <w:rPr>
          <w:rFonts w:ascii="Arial" w:cs="Arial" w:eastAsia="Arial" w:hAnsi="Arial"/>
          <w:sz w:val="16"/>
          <w:szCs w:val="16"/>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have added wireless communication functionality into our solutions for wearable, IP security, aerial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aerial drone cameras allow consumers to quickly stream or upload video and images to social media platforms.</w:t>
      </w:r>
    </w:p>
    <w:p>
      <w:pPr>
        <w:spacing w:after="0" w:line="165"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i w:val="1"/>
          <w:iCs w:val="1"/>
          <w:color w:val="auto"/>
        </w:rPr>
        <w:t>Sales Volume</w:t>
      </w:r>
      <w:r>
        <w:rPr>
          <w:rFonts w:ascii="Arial" w:cs="Arial" w:eastAsia="Arial" w:hAnsi="Arial"/>
          <w:sz w:val="17"/>
          <w:szCs w:val="17"/>
          <w:color w:val="auto"/>
        </w:rPr>
        <w:t>. A typical design win that successfully launches into the marketplace can generate a wide range of sales volumes for our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7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i w:val="1"/>
          <w:iCs w:val="1"/>
          <w:color w:val="auto"/>
        </w:rPr>
        <w:t xml:space="preserve">Customer Product Life Cycle. </w:t>
      </w:r>
      <w:r>
        <w:rPr>
          <w:rFonts w:ascii="Arial" w:cs="Arial" w:eastAsia="Arial" w:hAnsi="Arial"/>
          <w:sz w:val="18"/>
          <w:szCs w:val="18"/>
          <w:color w:val="auto"/>
        </w:rPr>
        <w:t>We estimate our customers’ product life cycles based on the customer, type of product and end market.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 commercial shipments from 9 to 18 months following a design win; however, in some markets, lengthier product and development cycles are possible, depending on the scope and nature of the project, such as in the automotive OEM market. A portable consumer device typically has a product life cycle of 6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statement of operations for the periods indicated:</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Three Months Ended April 30,</w:t>
            </w:r>
          </w:p>
        </w:tc>
      </w:tr>
      <w:tr>
        <w:trPr>
          <w:trHeight w:val="156"/>
        </w:trPr>
        <w:tc>
          <w:tcPr>
            <w:tcW w:w="4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r>
      <w:tr>
        <w:trPr>
          <w:trHeight w:val="156"/>
        </w:trPr>
        <w:tc>
          <w:tcPr>
            <w:tcW w:w="4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6"/>
          </w:tcPr>
          <w:p>
            <w:pPr>
              <w:jc w:val="right"/>
              <w:ind w:right="640"/>
              <w:spacing w:after="0" w:line="155" w:lineRule="exact"/>
              <w:rPr>
                <w:sz w:val="20"/>
                <w:szCs w:val="20"/>
                <w:color w:val="auto"/>
              </w:rPr>
            </w:pPr>
            <w:r>
              <w:rPr>
                <w:rFonts w:ascii="Arial" w:cs="Arial" w:eastAsia="Arial" w:hAnsi="Arial"/>
                <w:sz w:val="14"/>
                <w:szCs w:val="14"/>
                <w:b w:val="1"/>
                <w:bCs w:val="1"/>
                <w:color w:val="auto"/>
              </w:rPr>
              <w:t>(dollars in thousands)</w:t>
            </w: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70,133</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54,645</w:t>
            </w:r>
          </w:p>
        </w:tc>
        <w:tc>
          <w:tcPr>
            <w:tcW w:w="220" w:type="dxa"/>
            <w:vAlign w:val="bottom"/>
            <w:shd w:val="clear" w:color="auto" w:fill="CFF0FC"/>
          </w:tcPr>
          <w:p>
            <w:pPr>
              <w:spacing w:after="0"/>
              <w:rPr>
                <w:sz w:val="19"/>
                <w:szCs w:val="19"/>
                <w:color w:val="auto"/>
              </w:rPr>
            </w:pPr>
          </w:p>
        </w:tc>
      </w:tr>
      <w:tr>
        <w:trPr>
          <w:trHeight w:val="243"/>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26,368</w:t>
            </w:r>
          </w:p>
        </w:tc>
        <w:tc>
          <w:tcPr>
            <w:tcW w:w="2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22,625</w:t>
            </w:r>
          </w:p>
        </w:tc>
        <w:tc>
          <w:tcPr>
            <w:tcW w:w="220" w:type="dxa"/>
            <w:vAlign w:val="bottom"/>
            <w:tcBorders>
              <w:bottom w:val="single" w:sz="8" w:color="CFF0FC"/>
            </w:tcBorders>
          </w:tcPr>
          <w:p>
            <w:pPr>
              <w:spacing w:after="0"/>
              <w:rPr>
                <w:sz w:val="21"/>
                <w:szCs w:val="21"/>
                <w:color w:val="auto"/>
              </w:rPr>
            </w:pPr>
          </w:p>
        </w:tc>
      </w:tr>
      <w:tr>
        <w:trPr>
          <w:trHeight w:val="223"/>
        </w:trPr>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43,765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32,020</w:t>
            </w:r>
          </w:p>
        </w:tc>
        <w:tc>
          <w:tcPr>
            <w:tcW w:w="22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6"/>
        </w:trPr>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37,874</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220" w:type="dxa"/>
            <w:vAlign w:val="bottom"/>
            <w:shd w:val="clear" w:color="auto" w:fill="CFF0FC"/>
          </w:tcPr>
          <w:p>
            <w:pPr>
              <w:spacing w:after="0"/>
              <w:rPr>
                <w:sz w:val="20"/>
                <w:szCs w:val="20"/>
                <w:color w:val="auto"/>
              </w:rPr>
            </w:pPr>
          </w:p>
        </w:tc>
      </w:tr>
      <w:tr>
        <w:trPr>
          <w:trHeight w:val="243"/>
        </w:trPr>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16,027</w:t>
            </w:r>
          </w:p>
        </w:tc>
        <w:tc>
          <w:tcPr>
            <w:tcW w:w="2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13,435</w:t>
            </w:r>
          </w:p>
        </w:tc>
        <w:tc>
          <w:tcPr>
            <w:tcW w:w="220" w:type="dxa"/>
            <w:vAlign w:val="bottom"/>
            <w:tcBorders>
              <w:bottom w:val="single" w:sz="8" w:color="CFF0FC"/>
            </w:tcBorders>
          </w:tcPr>
          <w:p>
            <w:pPr>
              <w:spacing w:after="0"/>
              <w:rPr>
                <w:sz w:val="21"/>
                <w:szCs w:val="21"/>
                <w:color w:val="auto"/>
              </w:rPr>
            </w:pPr>
          </w:p>
        </w:tc>
      </w:tr>
      <w:tr>
        <w:trPr>
          <w:trHeight w:val="223"/>
        </w:trPr>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47,635</w:t>
            </w:r>
          </w:p>
        </w:tc>
        <w:tc>
          <w:tcPr>
            <w:tcW w:w="220" w:type="dxa"/>
            <w:vAlign w:val="bottom"/>
            <w:shd w:val="clear" w:color="auto" w:fill="CFF0FC"/>
          </w:tcPr>
          <w:p>
            <w:pPr>
              <w:spacing w:after="0"/>
              <w:rPr>
                <w:sz w:val="19"/>
                <w:szCs w:val="19"/>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8"/>
                <w:szCs w:val="18"/>
                <w:color w:val="auto"/>
              </w:rPr>
              <w:t>Loss from operations</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(10,136)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(15,615)</w:t>
            </w: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20" w:type="dxa"/>
            <w:vAlign w:val="bottom"/>
            <w:shd w:val="clear" w:color="auto" w:fill="CFF0FC"/>
          </w:tcPr>
          <w:p>
            <w:pPr>
              <w:spacing w:after="0"/>
              <w:rPr>
                <w:sz w:val="19"/>
                <w:szCs w:val="19"/>
                <w:color w:val="auto"/>
              </w:rPr>
            </w:pPr>
          </w:p>
        </w:tc>
      </w:tr>
      <w:tr>
        <w:trPr>
          <w:trHeight w:val="236"/>
        </w:trPr>
        <w:tc>
          <w:tcPr>
            <w:tcW w:w="400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(9,543)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(14,337)</w:t>
            </w: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20" w:type="dxa"/>
            <w:vAlign w:val="bottom"/>
            <w:shd w:val="clear" w:color="auto" w:fill="CFF0FC"/>
          </w:tcPr>
          <w:p>
            <w:pPr>
              <w:spacing w:after="0"/>
              <w:rPr>
                <w:sz w:val="19"/>
                <w:szCs w:val="19"/>
                <w:color w:val="auto"/>
              </w:rPr>
            </w:pPr>
          </w:p>
        </w:tc>
      </w:tr>
      <w:tr>
        <w:trPr>
          <w:trHeight w:val="223"/>
        </w:trPr>
        <w:tc>
          <w:tcPr>
            <w:tcW w:w="4000" w:type="dxa"/>
            <w:vAlign w:val="bottom"/>
          </w:tcPr>
          <w:p>
            <w:pPr>
              <w:ind w:left="480"/>
              <w:spacing w:after="0"/>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(15,463)</w:t>
            </w:r>
          </w:p>
        </w:tc>
        <w:tc>
          <w:tcPr>
            <w:tcW w:w="22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operating results as a percentage of revenue of each line item for the periods indicated:</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4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 April 30,</w:t>
            </w:r>
          </w:p>
        </w:tc>
        <w:tc>
          <w:tcPr>
            <w:tcW w:w="220" w:type="dxa"/>
            <w:vAlign w:val="bottom"/>
          </w:tcPr>
          <w:p>
            <w:pPr>
              <w:spacing w:after="0"/>
              <w:rPr>
                <w:sz w:val="14"/>
                <w:szCs w:val="14"/>
                <w:color w:val="auto"/>
              </w:rPr>
            </w:pPr>
          </w:p>
        </w:tc>
      </w:tr>
      <w:tr>
        <w:trPr>
          <w:trHeight w:val="156"/>
        </w:trPr>
        <w:tc>
          <w:tcPr>
            <w:tcW w:w="516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51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8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588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51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3"/>
        </w:trPr>
        <w:tc>
          <w:tcPr>
            <w:tcW w:w="5160" w:type="dxa"/>
            <w:vAlign w:val="bottom"/>
          </w:tcPr>
          <w:p>
            <w:pPr>
              <w:ind w:left="480"/>
              <w:spacing w:after="0"/>
              <w:rPr>
                <w:sz w:val="20"/>
                <w:szCs w:val="20"/>
                <w:color w:val="auto"/>
              </w:rPr>
            </w:pPr>
            <w:r>
              <w:rPr>
                <w:rFonts w:ascii="Arial" w:cs="Arial" w:eastAsia="Arial" w:hAnsi="Arial"/>
                <w:sz w:val="18"/>
                <w:szCs w:val="18"/>
                <w:color w:val="auto"/>
              </w:rPr>
              <w:t>Loss from operations</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3"/>
        </w:trPr>
        <w:tc>
          <w:tcPr>
            <w:tcW w:w="516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3"/>
        </w:trPr>
        <w:tc>
          <w:tcPr>
            <w:tcW w:w="5160" w:type="dxa"/>
            <w:vAlign w:val="bottom"/>
          </w:tcPr>
          <w:p>
            <w:pPr>
              <w:ind w:left="480"/>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derive substantially all of our revenue from the sale of HD and Ultra HD video and image processing SoC solutions to IP security camera OEMs, IP security camera ODMs, OEM automotive or Tier-1 automotive suppliers, and consumer camera OEMs, either directly or through our distributors. In recent years, our SoC solutions have been primarily used in camera markets, such as IP security, automotive video recorder, drone and wearable cameras. Although we expect these camera markets, in particular the IP security and automotive video recorder markets, to continue to generate revenue for the foreseeable future, we have recently introduced new SoCs targeting emerging AI and computer vision applications in the IP security camera, OEM automotive, industrial and robotics markets. We derive a substantial portion of our revenue from sales made indirectly through one of our distributors, WT Microelectronics Co., Ltd., formerly Wintech Microelectronics Co., Ltd., or Wintech, and directly to one of our ODM customers, Chicony Electronics Co., Ltd., or Chicony.</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historically experienced seasonal fluctuations in our quarterly revenue with our third fiscal quarter normally being the higher revenue quarter. This fluctuation has been driven primarily by increased sales in IP security and consumer camera markets as our customers build inventories in preparation for the holiday shopping season.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6" w:name="page27"/>
    <w:bookmarkEnd w:id="26"/>
    <w:p>
      <w:pPr>
        <w:ind w:right="220" w:firstLine="510"/>
        <w:spacing w:after="0" w:line="259" w:lineRule="auto"/>
        <w:rPr>
          <w:sz w:val="20"/>
          <w:szCs w:val="20"/>
          <w:color w:val="auto"/>
        </w:rPr>
      </w:pPr>
      <w:r>
        <w:rPr>
          <w:rFonts w:ascii="Arial" w:cs="Arial" w:eastAsia="Arial" w:hAnsi="Arial"/>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and other general overhead costs.</w:t>
      </w:r>
    </w:p>
    <w:p>
      <w:pPr>
        <w:spacing w:after="0" w:line="184"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 of fabrication of mask sets for prototype products,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income, net, consists primarily of interest and other income from debt security investments and cash deposits with financial institutions.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40" w:firstLine="478"/>
        <w:spacing w:after="0" w:line="290" w:lineRule="auto"/>
        <w:rPr>
          <w:sz w:val="20"/>
          <w:szCs w:val="20"/>
          <w:color w:val="auto"/>
        </w:rPr>
      </w:pPr>
      <w:r>
        <w:rPr>
          <w:rFonts w:ascii="Arial" w:cs="Arial" w:eastAsia="Arial" w:hAnsi="Arial"/>
          <w:sz w:val="16"/>
          <w:szCs w:val="16"/>
          <w:color w:val="auto"/>
        </w:rPr>
        <w:t>We are incorporated and domiciled in the Cayman Islands and also conduct business in several countries such as the United States, China, Taiwan, Hong Kong, Italy, South Korea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right="120" w:firstLine="510"/>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0" w:lineRule="exact"/>
        <w:rPr>
          <w:sz w:val="20"/>
          <w:szCs w:val="20"/>
          <w:color w:val="auto"/>
        </w:rPr>
      </w:pPr>
    </w:p>
    <w:p>
      <w:pPr>
        <w:ind w:right="160" w:firstLine="478"/>
        <w:spacing w:after="0" w:line="279" w:lineRule="auto"/>
        <w:rPr>
          <w:sz w:val="20"/>
          <w:szCs w:val="20"/>
          <w:color w:val="auto"/>
        </w:rPr>
      </w:pPr>
      <w:r>
        <w:rPr>
          <w:rFonts w:ascii="Arial" w:cs="Arial" w:eastAsia="Arial" w:hAnsi="Arial"/>
          <w:sz w:val="17"/>
          <w:szCs w:val="17"/>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56"/>
        </w:trPr>
        <w:tc>
          <w:tcPr>
            <w:tcW w:w="1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1002"/>
              <w:spacing w:after="0" w:line="155" w:lineRule="exact"/>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r>
      <w:tr>
        <w:trPr>
          <w:trHeight w:val="155"/>
        </w:trPr>
        <w:tc>
          <w:tcPr>
            <w:tcW w:w="1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40" w:type="dxa"/>
            <w:vAlign w:val="bottom"/>
            <w:gridSpan w:val="4"/>
          </w:tcPr>
          <w:p>
            <w:pPr>
              <w:jc w:val="center"/>
              <w:ind w:right="1102"/>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2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70,133</w:t>
            </w:r>
          </w:p>
        </w:tc>
        <w:tc>
          <w:tcPr>
            <w:tcW w:w="102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54,645</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62"/>
              <w:spacing w:after="0"/>
              <w:rPr>
                <w:sz w:val="20"/>
                <w:szCs w:val="20"/>
                <w:color w:val="auto"/>
              </w:rPr>
            </w:pPr>
            <w:r>
              <w:rPr>
                <w:rFonts w:ascii="Arial" w:cs="Arial" w:eastAsia="Arial" w:hAnsi="Arial"/>
                <w:sz w:val="18"/>
                <w:szCs w:val="18"/>
                <w:color w:val="auto"/>
              </w:rPr>
              <w:t>15,488</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28.3%</w:t>
            </w:r>
          </w:p>
        </w:tc>
      </w:tr>
    </w:tbl>
    <w:p>
      <w:pPr>
        <w:spacing w:after="0" w:line="20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increased revenue for the three months ended April 30, 2021, as compared to the same period in the prior fiscal year, was primarily attributable to higher revenue from the IP security, automotive and wearable camera markets. In the professional IP security camera market, despite lower demand from one of our largest China customers, continued growth elsewhere in the Asia and North America regions together with increased demand from the Europe region, resulted in a significant revenue increase in this market. In the home IP security camera market, revenue growth continued to be led by the North America region. The increased revenue in the automotive markets, including both automotive OEM and aftermarket applications, was primarily due to a recovery in the automotive industry in the Asia region. For the three months ended April 30, 2021, demand for our CV-based solutions in the IP security camera and automotive OEM markets continued to grow. The increased revenue from the IP security, automotive and wearable camera markets was partially offset by decreased revenue in the consumer device markets, including aerial drone and sports camera markets. Incorporation of our solutions into newly launched products from Shenzhen Dajiang Baiwang Technology Co., Ltd., or DJI, resulted in higher demand in the prior fiscal year but did not recur in the current fiscal period.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56"/>
        </w:trPr>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977"/>
              <w:spacing w:after="0" w:line="155" w:lineRule="exact"/>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r>
      <w:tr>
        <w:trPr>
          <w:trHeight w:val="155"/>
        </w:trPr>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80" w:type="dxa"/>
            <w:vAlign w:val="bottom"/>
            <w:gridSpan w:val="5"/>
          </w:tcPr>
          <w:p>
            <w:pPr>
              <w:jc w:val="right"/>
              <w:ind w:right="1317"/>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90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4"/>
              </w:rPr>
              <w:t>26,368</w:t>
            </w:r>
          </w:p>
        </w:tc>
        <w:tc>
          <w:tcPr>
            <w:tcW w:w="9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22,625</w:t>
            </w:r>
          </w:p>
        </w:tc>
        <w:tc>
          <w:tcPr>
            <w:tcW w:w="2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537"/>
              <w:spacing w:after="0"/>
              <w:rPr>
                <w:sz w:val="20"/>
                <w:szCs w:val="20"/>
                <w:color w:val="auto"/>
              </w:rPr>
            </w:pPr>
            <w:r>
              <w:rPr>
                <w:rFonts w:ascii="Arial" w:cs="Arial" w:eastAsia="Arial" w:hAnsi="Arial"/>
                <w:sz w:val="18"/>
                <w:szCs w:val="18"/>
                <w:color w:val="auto"/>
              </w:rPr>
              <w:t>3,743</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16.5%</w:t>
            </w:r>
          </w:p>
        </w:tc>
      </w:tr>
      <w:tr>
        <w:trPr>
          <w:trHeight w:val="243"/>
        </w:trPr>
        <w:tc>
          <w:tcPr>
            <w:tcW w:w="2180" w:type="dxa"/>
            <w:vAlign w:val="bottom"/>
          </w:tcPr>
          <w:p>
            <w:pPr>
              <w:spacing w:after="0"/>
              <w:rPr>
                <w:sz w:val="20"/>
                <w:szCs w:val="20"/>
                <w:color w:val="auto"/>
              </w:rPr>
            </w:pPr>
            <w:r>
              <w:rPr>
                <w:rFonts w:ascii="Arial" w:cs="Arial" w:eastAsia="Arial" w:hAnsi="Arial"/>
                <w:sz w:val="18"/>
                <w:szCs w:val="18"/>
                <w:color w:val="auto"/>
              </w:rPr>
              <w:t>Gross profit</w:t>
            </w:r>
          </w:p>
        </w:tc>
        <w:tc>
          <w:tcPr>
            <w:tcW w:w="1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4"/>
              </w:rPr>
              <w:t>43,765</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32,020</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ind w:right="537"/>
              <w:spacing w:after="0"/>
              <w:rPr>
                <w:sz w:val="20"/>
                <w:szCs w:val="20"/>
                <w:color w:val="auto"/>
              </w:rPr>
            </w:pPr>
            <w:r>
              <w:rPr>
                <w:rFonts w:ascii="Arial" w:cs="Arial" w:eastAsia="Arial" w:hAnsi="Arial"/>
                <w:sz w:val="18"/>
                <w:szCs w:val="18"/>
                <w:color w:val="auto"/>
              </w:rPr>
              <w:t>11,745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36.7%</w:t>
            </w:r>
          </w:p>
        </w:tc>
      </w:tr>
      <w:tr>
        <w:trPr>
          <w:trHeight w:val="229"/>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3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w:t>
            </w:r>
          </w:p>
        </w:tc>
      </w:tr>
    </w:tbl>
    <w:p>
      <w:pPr>
        <w:spacing w:after="0" w:line="202" w:lineRule="exact"/>
        <w:rPr>
          <w:sz w:val="20"/>
          <w:szCs w:val="20"/>
          <w:color w:val="auto"/>
        </w:rPr>
      </w:pPr>
    </w:p>
    <w:p>
      <w:pPr>
        <w:jc w:val="both"/>
        <w:ind w:right="540" w:firstLine="510"/>
        <w:spacing w:after="0" w:line="277" w:lineRule="auto"/>
        <w:rPr>
          <w:sz w:val="20"/>
          <w:szCs w:val="20"/>
          <w:color w:val="auto"/>
        </w:rPr>
      </w:pPr>
      <w:r>
        <w:rPr>
          <w:rFonts w:ascii="Arial" w:cs="Arial" w:eastAsia="Arial" w:hAnsi="Arial"/>
          <w:sz w:val="18"/>
          <w:szCs w:val="18"/>
          <w:color w:val="auto"/>
        </w:rPr>
        <w:t>Cost of revenue increased for the three months ended April 30, 2021, as compared to the same period in the prior fiscal year, primarily due to increased revenue, partially offset by favorable product mix and sales from previously reserved inventory.</w:t>
      </w:r>
    </w:p>
    <w:p>
      <w:pPr>
        <w:spacing w:after="0" w:line="17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Gross margin increased for the three months ended April 30, 2021, as compared to the same period in the prior fiscal year, primarily due to gross margin improvement in the professional IP security camera market as a result of a customer concentration shift from the China region to the North America and Asia regions other than China.</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2"/>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w w:val="98"/>
              </w:rPr>
              <w:t>Amount</w:t>
            </w:r>
          </w:p>
        </w:tc>
        <w:tc>
          <w:tcPr>
            <w:tcW w:w="10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3"/>
          </w:tcPr>
          <w:p>
            <w:pPr>
              <w:jc w:val="center"/>
              <w:ind w:right="4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37,874</w:t>
            </w:r>
          </w:p>
        </w:tc>
        <w:tc>
          <w:tcPr>
            <w:tcW w:w="104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34,200</w:t>
            </w:r>
          </w:p>
        </w:tc>
        <w:tc>
          <w:tcPr>
            <w:tcW w:w="124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88"/>
              </w:rPr>
              <w:t>3,674</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19"/>
                <w:szCs w:val="19"/>
                <w:color w:val="auto"/>
              </w:rPr>
            </w:pPr>
          </w:p>
        </w:tc>
      </w:tr>
      <w:tr>
        <w:trPr>
          <w:trHeight w:val="864"/>
        </w:trPr>
        <w:tc>
          <w:tcPr>
            <w:tcW w:w="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jc w:val="right"/>
              <w:ind w:right="656"/>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6"/>
          <w:szCs w:val="16"/>
          <w:color w:val="auto"/>
        </w:rPr>
        <w:t>Research and development expense increased for the three months ended April 30, 2021, as compared to the same period in the prior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increased employee benefit expense. For the three months ended April 30, 2021, employee benefit expense increased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 million as a result of issuance of stock awards, employee benefit programs and an increase in headcount. Our engineering headcount was 598 at April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 2021 compared to 564 at April 30, 2020. SoC development related cost was flat for the three months ended April 30, 2021 due to the timing,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complexity and number of chips in development.</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55"/>
        </w:trPr>
        <w:tc>
          <w:tcPr>
            <w:tcW w:w="2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w w:val="98"/>
              </w:rPr>
              <w:t>Amount</w:t>
            </w:r>
          </w:p>
        </w:tc>
        <w:tc>
          <w:tcPr>
            <w:tcW w:w="10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r>
      <w:tr>
        <w:trPr>
          <w:trHeight w:val="156"/>
        </w:trPr>
        <w:tc>
          <w:tcPr>
            <w:tcW w:w="2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gridSpan w:val="3"/>
          </w:tcPr>
          <w:p>
            <w:pPr>
              <w:jc w:val="center"/>
              <w:ind w:right="4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16,027</w:t>
            </w:r>
          </w:p>
        </w:tc>
        <w:tc>
          <w:tcPr>
            <w:tcW w:w="102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13,435</w:t>
            </w:r>
          </w:p>
        </w:tc>
        <w:tc>
          <w:tcPr>
            <w:tcW w:w="124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88"/>
              </w:rPr>
              <w:t>2,592</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19.3%</w:t>
            </w:r>
          </w:p>
        </w:tc>
      </w:tr>
    </w:tbl>
    <w:p>
      <w:pPr>
        <w:spacing w:after="0" w:line="20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Selling, general and administrative expense increased for the three months ended April 30, 2021, as compared to the same period in the prior fiscal year, primarily due to approximately $2.7 million of additional employee benefit expense as a result of issuance of stock awards, employee benefit programs and an increase in headcount. Our selling, general and administrative headcount increased from 175 at April 30, 2020 to 187 at April 30, 2021 to support our business development in IP security, automotive OEM and robotics markets.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56"/>
        </w:trPr>
        <w:tc>
          <w:tcPr>
            <w:tcW w:w="2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4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r>
      <w:tr>
        <w:trPr>
          <w:trHeight w:val="155"/>
        </w:trPr>
        <w:tc>
          <w:tcPr>
            <w:tcW w:w="2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gridSpan w:val="3"/>
          </w:tcPr>
          <w:p>
            <w:pPr>
              <w:jc w:val="center"/>
              <w:ind w:right="10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98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593</w:t>
            </w:r>
          </w:p>
        </w:tc>
        <w:tc>
          <w:tcPr>
            <w:tcW w:w="106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28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rPr>
              <w:t>(685)</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(53.6)%</w:t>
            </w:r>
          </w:p>
        </w:tc>
      </w:tr>
    </w:tbl>
    <w:p>
      <w:pPr>
        <w:spacing w:after="0" w:line="20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decrease in other income, net, for the three months ended April 30, 2021, as compared to the same period in the prior fiscal year, was primarily due to lower interest from our cash deposits and lower yields from our debt security investments.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58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95"/>
              </w:rPr>
              <w:t>Three Months Ended April 30,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155"/>
        </w:trPr>
        <w:tc>
          <w:tcPr>
            <w:tcW w:w="304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bottom w:val="single" w:sz="8" w:color="auto"/>
            </w:tcBorders>
          </w:tcPr>
          <w:p>
            <w:pPr>
              <w:spacing w:after="0"/>
              <w:rPr>
                <w:sz w:val="13"/>
                <w:szCs w:val="13"/>
                <w:color w:val="auto"/>
              </w:rPr>
            </w:pPr>
          </w:p>
        </w:tc>
        <w:tc>
          <w:tcPr>
            <w:tcW w:w="2000" w:type="dxa"/>
            <w:vAlign w:val="bottom"/>
            <w:tcBorders>
              <w:top w:val="single" w:sz="8" w:color="auto"/>
              <w:bottom w:val="single" w:sz="8" w:color="auto"/>
            </w:tcBorders>
          </w:tcPr>
          <w:p>
            <w:pPr>
              <w:jc w:val="right"/>
              <w:ind w:right="699"/>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r>
      <w:tr>
        <w:trPr>
          <w:trHeight w:val="155"/>
        </w:trPr>
        <w:tc>
          <w:tcPr>
            <w:tcW w:w="3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20" w:type="dxa"/>
            <w:vAlign w:val="bottom"/>
            <w:gridSpan w:val="3"/>
          </w:tcPr>
          <w:p>
            <w:pPr>
              <w:jc w:val="right"/>
              <w:ind w:right="128"/>
              <w:spacing w:after="0" w:line="155" w:lineRule="exact"/>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FF0FC"/>
          </w:tcPr>
          <w:p>
            <w:pPr>
              <w:jc w:val="right"/>
              <w:ind w:right="68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18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1,126</w:t>
            </w:r>
          </w:p>
        </w:tc>
        <w:tc>
          <w:tcPr>
            <w:tcW w:w="134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FF0FC"/>
          </w:tcPr>
          <w:p>
            <w:pPr>
              <w:spacing w:after="0"/>
              <w:rPr>
                <w:sz w:val="19"/>
                <w:szCs w:val="19"/>
                <w:color w:val="auto"/>
              </w:rPr>
            </w:pPr>
          </w:p>
        </w:tc>
      </w:tr>
      <w:tr>
        <w:trPr>
          <w:trHeight w:val="250"/>
        </w:trPr>
        <w:tc>
          <w:tcPr>
            <w:tcW w:w="3040" w:type="dxa"/>
            <w:vAlign w:val="bottom"/>
          </w:tcPr>
          <w:p>
            <w:pPr>
              <w:spacing w:after="0"/>
              <w:rPr>
                <w:sz w:val="20"/>
                <w:szCs w:val="20"/>
                <w:color w:val="auto"/>
              </w:rPr>
            </w:pPr>
            <w:r>
              <w:rPr>
                <w:rFonts w:ascii="Arial" w:cs="Arial" w:eastAsia="Arial" w:hAnsi="Arial"/>
                <w:sz w:val="18"/>
                <w:szCs w:val="18"/>
                <w:color w:val="auto"/>
              </w:rPr>
              <w:t>Effective tax rate</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(13.4)</w:t>
            </w:r>
          </w:p>
        </w:tc>
        <w:tc>
          <w:tcPr>
            <w:tcW w:w="1180" w:type="dxa"/>
            <w:vAlign w:val="bottom"/>
          </w:tcPr>
          <w:p>
            <w:pPr>
              <w:jc w:val="right"/>
              <w:ind w:right="89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(5.5)</w:t>
            </w:r>
            <w:r>
              <w:rPr>
                <w:rFonts w:ascii="Arial" w:cs="Arial" w:eastAsia="Arial" w:hAnsi="Arial"/>
                <w:sz w:val="19"/>
                <w:szCs w:val="19"/>
                <w:color w:val="auto"/>
              </w:rPr>
              <w:t>%</w:t>
            </w:r>
          </w:p>
        </w:tc>
        <w:tc>
          <w:tcPr>
            <w:tcW w:w="260" w:type="dxa"/>
            <w:vAlign w:val="bottom"/>
          </w:tcPr>
          <w:p>
            <w:pPr>
              <w:spacing w:after="0"/>
              <w:rPr>
                <w:sz w:val="21"/>
                <w:szCs w:val="21"/>
                <w:color w:val="auto"/>
              </w:rPr>
            </w:pPr>
          </w:p>
        </w:tc>
      </w:tr>
    </w:tbl>
    <w:p>
      <w:pPr>
        <w:spacing w:after="0" w:line="19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quarterly income taxes reflect an estimate of the corresponding fiscal year’s annual effective tax rate and include, when applicable, adjustments from discrete tax items arising in that quarter.</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increase in income tax expense for the three months ended April 30, 2021, as compared to the same period in the prior fiscal year, was primarily due to a decrease in the proportion of profits generated in lower-tax jurisdictions, partially offset by a $3.4 million increase in the U.S. federal research tax credit as well as an increase in tax benefits from excess stock-based compensation deductions.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April 30, 2021 and January 31, 2021, we had cash, cash equivalents and marketable debt securities of approximately $435.5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$440.7 million, respectively. We invest in highly liquid, short-term marketable debt securities and hold these investments as available-for-sale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April 30, 2021, these securities had a fair value of approximately $214.9 million with immaterial unrealized losses caused by market fluctuations.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April 30,</w:t>
            </w:r>
          </w:p>
        </w:tc>
      </w:tr>
      <w:tr>
        <w:trPr>
          <w:trHeight w:val="156"/>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(4,547)</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7,639</w:t>
            </w:r>
          </w:p>
        </w:tc>
        <w:tc>
          <w:tcPr>
            <w:tcW w:w="8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(11,230)</w:t>
            </w:r>
          </w:p>
        </w:tc>
        <w:tc>
          <w:tcPr>
            <w:tcW w:w="4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(2,164)</w:t>
            </w: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w:t>
            </w:r>
          </w:p>
        </w:tc>
      </w:tr>
      <w:tr>
        <w:trPr>
          <w:trHeight w:val="209"/>
        </w:trPr>
        <w:tc>
          <w:tcPr>
            <w:tcW w:w="4700" w:type="dxa"/>
            <w:vAlign w:val="bottom"/>
          </w:tcPr>
          <w:p>
            <w:pPr>
              <w:spacing w:after="0"/>
              <w:rPr>
                <w:sz w:val="20"/>
                <w:szCs w:val="20"/>
                <w:color w:val="auto"/>
              </w:rPr>
            </w:pPr>
            <w:r>
              <w:rPr>
                <w:rFonts w:ascii="Arial" w:cs="Arial" w:eastAsia="Arial" w:hAnsi="Arial"/>
                <w:sz w:val="18"/>
                <w:szCs w:val="18"/>
                <w:color w:val="auto"/>
                <w:w w:val="91"/>
              </w:rPr>
              <w:t>Net increase (decrease) in cash, cash equivalents and restricted</w:t>
            </w: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cash</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(13,765)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5,182</w:t>
            </w:r>
          </w:p>
        </w:tc>
        <w:tc>
          <w:tcPr>
            <w:tcW w:w="8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11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Net cash used in operating activities increased for the three months ended April 30, 2021, as compared to the same period in the prior fiscal year, primarily due to increased inventory purchases associated with longer supply chain lead times, increased accounts receivable associated with the timing of sales and decreased liabilities due to the timing of payments to our suppliers. The decreased cash flows were partially offset by decreased net loss.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Net cash used in investing activities increased for the three months ended April 30, 2021, as compared to the same period in the prior fiscal year, primarily due to approximately $8.0 million of additional investments in debt securities, as well as approximately $1.5 million of additional payments for tangible and intangible assets purchase, partially offset by approximately $0.5 million of net cash receipts from the sale and maturity of debt securities.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Net cash provided by financing activities increased for the three months ended April 30, 2021, as compared to the same period in the prior fiscal year, primarily due to approximately $2.0 million of additional cash proceeds from option exercises and employee stock purchase withholding and $1.0 million of cash used for repurchasing our ordinary shares under the stock repurchase program for the three months ended April 30, 2020 but which did not recur in the current fiscal period. The increase was partially offset by approximately $0.7 million of additional payments for intangible assets.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No ordinary shares were repurchased in the three months ended April 30, 2021. As of April 30, 2021, $49.0 million remained available for repurchases under the current repurchase program through June 30, 2021.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and Capital Expenditure Requirements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As of April 30, 2021, we had cash, cash equivalents and marketable debt securities of approximately $435.5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these securities could contain covenants that would restrict our operations. We may require additional capital beyond our currently anticipated amounts. Additional capital may not be available to us on reasonable terms, or at all.</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cash from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our costs;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30" w:name="page31"/>
    <w:bookmarkEnd w:id="30"/>
    <w:p>
      <w:pPr>
        <w:ind w:left="1520" w:hanging="500"/>
        <w:spacing w:after="0"/>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expansion of our research and development of new technologies and products to address new markets and applications;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magnitude and duration of COVID-19 impact;</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technologies or products;</w:t>
      </w:r>
    </w:p>
    <w:p>
      <w:pPr>
        <w:spacing w:after="0" w:line="117" w:lineRule="exact"/>
        <w:rPr>
          <w:rFonts w:ascii="Arial" w:cs="Arial" w:eastAsia="Arial" w:hAnsi="Arial"/>
          <w:sz w:val="18"/>
          <w:szCs w:val="18"/>
          <w:color w:val="auto"/>
        </w:rPr>
      </w:pPr>
    </w:p>
    <w:p>
      <w:pPr>
        <w:ind w:left="1520" w:right="380" w:hanging="500"/>
        <w:spacing w:after="0" w:line="277"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or participating in litigation-related activities;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Purchase Obligations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2021, we had purchase obligations with our independent contract manufacturers of $67.6 million.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We signed a separate lease for additional space for our Shanghai office for a period of 40 months starting from August 1, 2021 through November 30, 2024. The lease will be recorded as an operating right-of-use asset and corresponding operating lease liability in the balance sheet upon lease commencement on August 1, 2021. The total estimated future undiscounted cash payments for this additional lease are approximately $1.7 million.</w:t>
      </w:r>
    </w:p>
    <w:p>
      <w:pPr>
        <w:spacing w:after="0" w:line="176"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Except as described above with respect to the manufacturing purchase obligations and lease, there were no other material changes in our contractual obligations, commitments and contingencies from those disclosed in our Annual Report on Form 10-K for the fiscal year ended January 31, 2021. Please see Item 7, “Management’s Discussion and Analysis of Financial Condition and Results of Operations – Contractual Obligations, Commitments and Contingencies” in our Annual Report on Form 10-K for the fiscal year ended January 31, 2021 for a description of our contractual obligations.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As of April 30, 2021, we did not engage in any off-balance sheet arrangements, including the use of structured finance, special purpose entities or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1 of Notes to Condensed Consolidated Financial Statements for information regarding recently issued accounting pronouncements.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2021 fiscal year filed with the SEC on March 31, 2021.</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As of April 30, 2021 and January 31, 2021, we had cash, cash equivalents and marketable debt securities totaling $435.5 million and $440.7 million, respectively. Our cash is deposited in checking accounts with reputable financial institutions. The cash equivalents and marketable debt securities consist primarily of investments in money market funds, asset-backed securities, commercial paper, U.S. government securities, and debt securities of corporations. Our cash is held for working capital purposes. We do not enter into investments for trading or speculative purposes.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i w:val="1"/>
          <w:iCs w:val="1"/>
          <w:color w:val="auto"/>
        </w:rPr>
        <w:t>Interest Rate Fluctuation Risk</w:t>
      </w:r>
    </w:p>
    <w:p>
      <w:pPr>
        <w:spacing w:after="0" w:line="117"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 xml:space="preserve">The primary objectives of our investment activities are to preserve capital, provide liquidity and maximize income without significantly increasing risk. Some of the securities we invest in are subject to market risk. This means that a change in prevailing interest rates may </w:t>
      </w:r>
      <w:r>
        <w:rPr>
          <w:rFonts w:ascii="Arial" w:cs="Arial" w:eastAsia="Arial" w:hAnsi="Arial"/>
          <w:sz w:val="17"/>
          <w:szCs w:val="17"/>
          <w:color w:val="212529"/>
        </w:rPr>
        <w:t>affect the interest income on</w:t>
      </w:r>
      <w:r>
        <w:rPr>
          <w:rFonts w:ascii="Arial" w:cs="Arial" w:eastAsia="Arial" w:hAnsi="Arial"/>
          <w:sz w:val="17"/>
          <w:szCs w:val="17"/>
          <w:color w:val="auto"/>
        </w:rPr>
        <w:t xml:space="preserve"> </w:t>
      </w:r>
      <w:r>
        <w:rPr>
          <w:rFonts w:ascii="Arial" w:cs="Arial" w:eastAsia="Arial" w:hAnsi="Arial"/>
          <w:sz w:val="17"/>
          <w:szCs w:val="17"/>
          <w:color w:val="212529"/>
        </w:rPr>
        <w:t>our cash, cash equivalents and marketable debt securities, and the market value of those securities</w:t>
      </w:r>
      <w:r>
        <w:rPr>
          <w:rFonts w:ascii="Arial" w:cs="Arial" w:eastAsia="Arial" w:hAnsi="Arial"/>
          <w:sz w:val="17"/>
          <w:szCs w:val="17"/>
          <w:color w:val="000000"/>
        </w:rPr>
        <w:t>. To minimize this risk, we maintain our portfolio in a</w:t>
      </w:r>
      <w:r>
        <w:rPr>
          <w:rFonts w:ascii="Arial" w:cs="Arial" w:eastAsia="Arial" w:hAnsi="Arial"/>
          <w:sz w:val="17"/>
          <w:szCs w:val="17"/>
          <w:color w:val="212529"/>
        </w:rPr>
        <w:t xml:space="preserve"> </w:t>
      </w:r>
      <w:r>
        <w:rPr>
          <w:rFonts w:ascii="Arial" w:cs="Arial" w:eastAsia="Arial" w:hAnsi="Arial"/>
          <w:sz w:val="17"/>
          <w:szCs w:val="17"/>
          <w:color w:val="000000"/>
        </w:rPr>
        <w:t>variety of debt securities with high liquidity and low credit risk. We do not enter into investments for trading or speculative purposes. A 10% change in interest rates will not have a material impact on our future interest income or investment fair value. The liquidity risk and the risk associated with fluctuating interest rates are limited to our investment portfolio.</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Based upon such evaluation, our Chief Executive Officer and Chief Financial Officer have concluded that, as of April 30, 2021, our disclosure controls and procedures were effective at the reasonable assurance level.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Company’s fiscal quarter ended April 30, 2021 that have materially affected, or are reasonably likely to materially affect,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Disclosure Controls and Internal Control over Financial Reporting</w:t>
      </w:r>
    </w:p>
    <w:p>
      <w:pPr>
        <w:spacing w:after="0" w:line="11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engaged in any material legal proceedings at this time.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business and our industry is subject to numerous risks and uncertainties, including those described in the following Risk Factors. These risks include, but are not limited to, the following:</w:t>
      </w:r>
    </w:p>
    <w:p>
      <w:pPr>
        <w:spacing w:after="0" w:line="170"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could adversely affect our business in a material way.</w:t>
      </w:r>
    </w:p>
    <w:p>
      <w:pPr>
        <w:spacing w:after="0" w:line="225" w:lineRule="exact"/>
        <w:rPr>
          <w:rFonts w:ascii="Arial" w:cs="Arial" w:eastAsia="Arial" w:hAnsi="Arial"/>
          <w:sz w:val="18"/>
          <w:szCs w:val="18"/>
          <w:color w:val="auto"/>
        </w:rPr>
      </w:pPr>
    </w:p>
    <w:p>
      <w:pPr>
        <w:ind w:left="740" w:right="300" w:hanging="368"/>
        <w:spacing w:after="0" w:line="308"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sell our products to several China customers has been restricted. In addition, we are subject to governmental export and import controls that could subject us to liability or impair our ability to compete in international markets, including China.</w:t>
      </w:r>
    </w:p>
    <w:p>
      <w:pPr>
        <w:spacing w:after="0" w:line="146" w:lineRule="exact"/>
        <w:rPr>
          <w:rFonts w:ascii="Arial" w:cs="Arial" w:eastAsia="Arial" w:hAnsi="Arial"/>
          <w:sz w:val="17"/>
          <w:szCs w:val="17"/>
          <w:color w:val="auto"/>
        </w:rPr>
      </w:pPr>
    </w:p>
    <w:p>
      <w:pPr>
        <w:ind w:left="740" w:hanging="368"/>
        <w:spacing w:after="0" w:line="263"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economic and political conditions, including possible trade tariffs and trade restrictions, may have an impact on our business and financial condition in ways that we currently cannot predict. Our primary inventory warehouse is located in Hong Kong and may be affected by recent political, social and economic conditions in Hong Kong.</w:t>
      </w:r>
    </w:p>
    <w:p>
      <w:pPr>
        <w:spacing w:after="0" w:line="183"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Shortages in, or increased costs of, wafers and materials could increase the manufacturing times for our products and adversely impact our ability to meet customer demand, reduce our gross margins and lead to reduced revenues.</w:t>
      </w:r>
    </w:p>
    <w:p>
      <w:pPr>
        <w:spacing w:after="0" w:line="170"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170" w:lineRule="exact"/>
        <w:rPr>
          <w:rFonts w:ascii="Arial" w:cs="Arial" w:eastAsia="Arial" w:hAnsi="Arial"/>
          <w:sz w:val="18"/>
          <w:szCs w:val="18"/>
          <w:color w:val="auto"/>
        </w:rPr>
      </w:pPr>
    </w:p>
    <w:p>
      <w:pPr>
        <w:ind w:left="740" w:hanging="368"/>
        <w:spacing w:after="0" w:line="34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23" w:lineRule="exact"/>
        <w:rPr>
          <w:rFonts w:ascii="Arial" w:cs="Arial" w:eastAsia="Arial" w:hAnsi="Arial"/>
          <w:sz w:val="16"/>
          <w:szCs w:val="16"/>
          <w:color w:val="auto"/>
        </w:rPr>
      </w:pPr>
    </w:p>
    <w:p>
      <w:pPr>
        <w:ind w:left="740" w:right="12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customers do not design our solutions into their product offerings, or if our customers’ product offerings are not commercially successful, our business would suffer.</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penetrate new markets, our revenue and financial condition could be harmed.</w:t>
      </w:r>
    </w:p>
    <w:p>
      <w:pPr>
        <w:spacing w:after="0" w:line="225"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target markets may not grow or develop as we currently expect and are subject to market risks, any of which could harm our business, revenue and operating results.</w:t>
      </w:r>
    </w:p>
    <w:p>
      <w:pPr>
        <w:spacing w:after="0" w:line="170"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develop and introduce new or enhanced solutions on a timely basis, our ability to attract and retain customers could be impaired and our competitive position could be harmed.</w:t>
      </w:r>
    </w:p>
    <w:p>
      <w:pPr>
        <w:spacing w:after="0" w:line="170" w:lineRule="exact"/>
        <w:rPr>
          <w:rFonts w:ascii="Arial" w:cs="Arial" w:eastAsia="Arial" w:hAnsi="Arial"/>
          <w:sz w:val="18"/>
          <w:szCs w:val="18"/>
          <w:color w:val="auto"/>
        </w:rPr>
      </w:pPr>
    </w:p>
    <w:p>
      <w:pPr>
        <w:ind w:left="740" w:right="120" w:hanging="368"/>
        <w:spacing w:after="0" w:line="308"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46" w:lineRule="exact"/>
        <w:rPr>
          <w:rFonts w:ascii="Arial" w:cs="Arial" w:eastAsia="Arial" w:hAnsi="Arial"/>
          <w:sz w:val="17"/>
          <w:szCs w:val="17"/>
          <w:color w:val="auto"/>
        </w:rPr>
      </w:pPr>
    </w:p>
    <w:p>
      <w:pPr>
        <w:ind w:left="740" w:right="60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may cancel their orders, change production quantities or delay production. If we fail to accurately forecast demand for our solutions, revenue shortfalls and/or excess, obsolete or insufficient inventory could result.</w:t>
      </w:r>
    </w:p>
    <w:p>
      <w:pPr>
        <w:spacing w:after="0" w:line="170"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a limited number of customers and end customers for a significant portion of our revenue. If we fail to retain or expand our customer relationships, our revenue could decline.</w:t>
      </w:r>
    </w:p>
    <w:p>
      <w:pPr>
        <w:spacing w:after="0" w:line="170"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governmental export and import controls that could subject us to liability or impair our ability to compete in international markets.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competition to increase in the future, which could have an adverse effect on our revenue and market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ind w:left="368" w:hanging="368"/>
        <w:spacing w:after="0"/>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operating results on a quarterly and annual basis could cause the market price of our ordinary shares to decline.</w:t>
      </w:r>
    </w:p>
    <w:p>
      <w:pPr>
        <w:spacing w:after="0" w:line="225" w:lineRule="exact"/>
        <w:rPr>
          <w:rFonts w:ascii="Arial" w:cs="Arial" w:eastAsia="Arial" w:hAnsi="Arial"/>
          <w:sz w:val="18"/>
          <w:szCs w:val="18"/>
          <w:color w:val="auto"/>
        </w:rPr>
      </w:pPr>
    </w:p>
    <w:p>
      <w:pPr>
        <w:ind w:left="368" w:hanging="368"/>
        <w:spacing w:after="0"/>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breach of our security systems may have a material adverse effect on our business.</w:t>
      </w:r>
    </w:p>
    <w:p>
      <w:pPr>
        <w:spacing w:after="0" w:line="225" w:lineRule="exact"/>
        <w:rPr>
          <w:rFonts w:ascii="Arial" w:cs="Arial" w:eastAsia="Arial" w:hAnsi="Arial"/>
          <w:sz w:val="18"/>
          <w:szCs w:val="18"/>
          <w:color w:val="auto"/>
        </w:rPr>
      </w:pPr>
    </w:p>
    <w:p>
      <w:pPr>
        <w:ind w:left="368" w:right="50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170" w:lineRule="exact"/>
        <w:rPr>
          <w:rFonts w:ascii="Arial" w:cs="Arial" w:eastAsia="Arial" w:hAnsi="Arial"/>
          <w:sz w:val="18"/>
          <w:szCs w:val="18"/>
          <w:color w:val="auto"/>
        </w:rPr>
      </w:pPr>
    </w:p>
    <w:p>
      <w:pPr>
        <w:ind w:left="368" w:right="26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While we intend to continue to invest in research and development, we may be unable to make the substantial investments that are required to remain competitive in our business.</w:t>
      </w:r>
    </w:p>
    <w:p>
      <w:pPr>
        <w:spacing w:after="0" w:line="170" w:lineRule="exact"/>
        <w:rPr>
          <w:rFonts w:ascii="Arial" w:cs="Arial" w:eastAsia="Arial" w:hAnsi="Arial"/>
          <w:sz w:val="18"/>
          <w:szCs w:val="18"/>
          <w:color w:val="auto"/>
        </w:rPr>
      </w:pPr>
    </w:p>
    <w:p>
      <w:pPr>
        <w:ind w:left="368" w:right="8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average selling prices of video and image processing solutions in our target markets have historically decreased over time and will likely do so in the future, which could harm our revenue and gross margins.</w:t>
      </w:r>
    </w:p>
    <w:p>
      <w:pPr>
        <w:spacing w:after="0" w:line="170" w:lineRule="exact"/>
        <w:rPr>
          <w:rFonts w:ascii="Arial" w:cs="Arial" w:eastAsia="Arial" w:hAnsi="Arial"/>
          <w:sz w:val="18"/>
          <w:szCs w:val="18"/>
          <w:color w:val="auto"/>
        </w:rPr>
      </w:pPr>
    </w:p>
    <w:p>
      <w:pPr>
        <w:ind w:left="368" w:hanging="368"/>
        <w:spacing w:after="0"/>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do not generate revenue growth, we may not be able to execute our business plan and our operating results could suffer.</w:t>
      </w:r>
    </w:p>
    <w:p>
      <w:pPr>
        <w:spacing w:after="0" w:line="225" w:lineRule="exact"/>
        <w:rPr>
          <w:rFonts w:ascii="Arial" w:cs="Arial" w:eastAsia="Arial" w:hAnsi="Arial"/>
          <w:sz w:val="18"/>
          <w:szCs w:val="18"/>
          <w:color w:val="auto"/>
        </w:rPr>
      </w:pPr>
    </w:p>
    <w:p>
      <w:pPr>
        <w:ind w:left="368" w:right="66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 We may have difficulty accurately predicting our future revenue and appropriately budgeting our expenses.</w:t>
      </w:r>
    </w:p>
    <w:p>
      <w:pPr>
        <w:spacing w:after="0" w:line="170" w:lineRule="exact"/>
        <w:rPr>
          <w:rFonts w:ascii="Arial" w:cs="Arial" w:eastAsia="Arial" w:hAnsi="Arial"/>
          <w:sz w:val="18"/>
          <w:szCs w:val="18"/>
          <w:color w:val="auto"/>
        </w:rPr>
      </w:pPr>
    </w:p>
    <w:p>
      <w:pPr>
        <w:ind w:left="368" w:right="80" w:hanging="368"/>
        <w:spacing w:after="0" w:line="263"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83" w:lineRule="exact"/>
        <w:rPr>
          <w:rFonts w:ascii="Arial" w:cs="Arial" w:eastAsia="Arial" w:hAnsi="Arial"/>
          <w:sz w:val="18"/>
          <w:szCs w:val="18"/>
          <w:color w:val="auto"/>
        </w:rPr>
      </w:pPr>
    </w:p>
    <w:p>
      <w:pPr>
        <w:ind w:left="368" w:hanging="368"/>
        <w:spacing w:after="0"/>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warranty and product liability claims and to product recalls which could adversely affect our business.</w:t>
      </w:r>
    </w:p>
    <w:p>
      <w:pPr>
        <w:spacing w:after="0" w:line="225" w:lineRule="exact"/>
        <w:rPr>
          <w:rFonts w:ascii="Arial" w:cs="Arial" w:eastAsia="Arial" w:hAnsi="Arial"/>
          <w:sz w:val="18"/>
          <w:szCs w:val="18"/>
          <w:color w:val="auto"/>
        </w:rPr>
      </w:pPr>
    </w:p>
    <w:p>
      <w:pPr>
        <w:ind w:left="368" w:right="4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substantial portion of our revenue is processed through a single distributor and the loss of this distributor, or our inability to collect from them, may cause disruptions in our shipments, which may adversely affect our operations and financial condition.</w:t>
      </w:r>
    </w:p>
    <w:p>
      <w:pPr>
        <w:spacing w:after="0" w:line="170" w:lineRule="exact"/>
        <w:rPr>
          <w:rFonts w:ascii="Arial" w:cs="Arial" w:eastAsia="Arial" w:hAnsi="Arial"/>
          <w:sz w:val="18"/>
          <w:szCs w:val="18"/>
          <w:color w:val="auto"/>
        </w:rPr>
      </w:pPr>
    </w:p>
    <w:p>
      <w:pPr>
        <w:ind w:left="368" w:hanging="368"/>
        <w:spacing w:after="0"/>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risks associated with our distributors' product inventories.</w:t>
      </w:r>
    </w:p>
    <w:p>
      <w:pPr>
        <w:spacing w:after="0" w:line="225" w:lineRule="exact"/>
        <w:rPr>
          <w:rFonts w:ascii="Arial" w:cs="Arial" w:eastAsia="Arial" w:hAnsi="Arial"/>
          <w:sz w:val="18"/>
          <w:szCs w:val="18"/>
          <w:color w:val="auto"/>
        </w:rPr>
      </w:pPr>
    </w:p>
    <w:p>
      <w:pPr>
        <w:ind w:left="368" w:hanging="368"/>
        <w:spacing w:after="0"/>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Deterioration of the financial conditions of our customers could adversely affect our operating results.</w:t>
      </w:r>
    </w:p>
    <w:p>
      <w:pPr>
        <w:spacing w:after="0" w:line="225" w:lineRule="exact"/>
        <w:rPr>
          <w:rFonts w:ascii="Arial" w:cs="Arial" w:eastAsia="Arial" w:hAnsi="Arial"/>
          <w:sz w:val="18"/>
          <w:szCs w:val="18"/>
          <w:color w:val="auto"/>
        </w:rPr>
      </w:pPr>
    </w:p>
    <w:p>
      <w:pPr>
        <w:ind w:left="368"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Camera manufacturers incorporate components supplied by multiple third parties, and a supply shortage or delay in delivery of these components could delay orders for our solutions by our customers.</w:t>
      </w:r>
    </w:p>
    <w:p>
      <w:pPr>
        <w:spacing w:after="0" w:line="170" w:lineRule="exact"/>
        <w:rPr>
          <w:rFonts w:ascii="Arial" w:cs="Arial" w:eastAsia="Arial" w:hAnsi="Arial"/>
          <w:sz w:val="18"/>
          <w:szCs w:val="18"/>
          <w:color w:val="auto"/>
        </w:rPr>
      </w:pPr>
    </w:p>
    <w:p>
      <w:pPr>
        <w:ind w:left="368" w:right="6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70" w:lineRule="exact"/>
        <w:rPr>
          <w:rFonts w:ascii="Arial" w:cs="Arial" w:eastAsia="Arial" w:hAnsi="Arial"/>
          <w:sz w:val="18"/>
          <w:szCs w:val="18"/>
          <w:color w:val="auto"/>
        </w:rPr>
      </w:pPr>
    </w:p>
    <w:p>
      <w:pPr>
        <w:ind w:left="368" w:right="300" w:hanging="368"/>
        <w:spacing w:after="0" w:line="263"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parties’ assertions of infringement of their intellectual property rights could result in our having to incur significant costs and cause our operating results to suffer. Any potential dispute involving our patents or other intellectual property could affect our customers, which could trigger our indemnification obligations to them and result in substantial expense to us.</w:t>
      </w:r>
    </w:p>
    <w:p>
      <w:pPr>
        <w:spacing w:after="0" w:line="183" w:lineRule="exact"/>
        <w:rPr>
          <w:rFonts w:ascii="Arial" w:cs="Arial" w:eastAsia="Arial" w:hAnsi="Arial"/>
          <w:sz w:val="18"/>
          <w:szCs w:val="18"/>
          <w:color w:val="auto"/>
        </w:rPr>
      </w:pPr>
    </w:p>
    <w:p>
      <w:pPr>
        <w:ind w:left="368" w:right="20" w:hanging="368"/>
        <w:spacing w:after="0" w:line="308" w:lineRule="auto"/>
        <w:tabs>
          <w:tab w:leader="none" w:pos="368" w:val="left"/>
        </w:tabs>
        <w:numPr>
          <w:ilvl w:val="0"/>
          <w:numId w:val="9"/>
        </w:numPr>
        <w:rPr>
          <w:rFonts w:ascii="Arial" w:cs="Arial" w:eastAsia="Arial" w:hAnsi="Arial"/>
          <w:sz w:val="17"/>
          <w:szCs w:val="17"/>
          <w:color w:val="auto"/>
        </w:rPr>
      </w:pPr>
      <w:r>
        <w:rPr>
          <w:rFonts w:ascii="Arial" w:cs="Arial" w:eastAsia="Arial" w:hAnsi="Arial"/>
          <w:sz w:val="17"/>
          <w:szCs w:val="17"/>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46" w:lineRule="exact"/>
        <w:rPr>
          <w:rFonts w:ascii="Arial" w:cs="Arial" w:eastAsia="Arial" w:hAnsi="Arial"/>
          <w:sz w:val="17"/>
          <w:szCs w:val="17"/>
          <w:color w:val="auto"/>
        </w:rPr>
      </w:pPr>
    </w:p>
    <w:p>
      <w:pPr>
        <w:ind w:left="368" w:right="6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70" w:lineRule="exact"/>
        <w:rPr>
          <w:rFonts w:ascii="Arial" w:cs="Arial" w:eastAsia="Arial" w:hAnsi="Arial"/>
          <w:sz w:val="18"/>
          <w:szCs w:val="18"/>
          <w:color w:val="auto"/>
        </w:rPr>
      </w:pPr>
    </w:p>
    <w:p>
      <w:pPr>
        <w:ind w:left="368" w:right="72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numerous regulatory compliance requirements, which are costly to comply with, and our failure to comply with these requirements could harm our business and operating results.</w:t>
      </w:r>
    </w:p>
    <w:p>
      <w:pPr>
        <w:spacing w:after="0" w:line="38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8"/>
          </w:cols>
          <w:pgMar w:left="692" w:top="557"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in a material way.</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global COVID-19 pandemic has significantly affected the populations and businesses of many countries. Our business has been, and is expected to continue to be, adversely impacted by the effects of the COVID-19 pandemic. In addition to global macroeconomic effects, the COVID-19 pandemic and related adverse public health developments have been causing, and are expected to continue to cause, disruption to our operations. We have had to impose remote or work from home conditions in many of our offices, including the United States, Italy, Japan, South Korea and Taiwan. While we have not yet experienced a significant disruption of our operations as a result of the COVID-19 pandemic, if the remote or work from home conditions continue for an extended period of time, we may experience delays in product development, a decreased ability to support our customers, reduced design win activity, and overall lack of productivity. In addition, we and our suppliers, third-party distributors and customers have been, and are expected to continue to be, disrupted by quarantines and restrictions on certain employees’ ability to perform their jobs, office closures or restrictions, disruptions to shipping infrastructure, or other travel or health-related restrictions. Depending on the magnitude of such effects on our manufacturing activities or the operations of our suppliers, third-party distributors or sub-contractors, our supply chain, manufacturing and product shipments could be delayed, which could materially adversely affect our business, results of operations and financial condition. Disruptions may also adversely affect our customers’ ability to manufacture their products, which in turn could reduce their demand for our products. For example, Taiwan has recently experienced a significant rise in cases of COVID-19 that, if such conditions persist or worsen, could impact our third-party contractors’ ability to assemble, test and ship our products and negatively impair our operations and financial results. Moreover, the semiconductor industry in general is currently experiencing significant shortages of capacity, due in part to COVID-19, which has resulted in a lengthening of the manufacturing lead time for our products and could be impacting the normal forecasting and ordering patterns of our customers. In addition, the COVID-19 pandemic or other disease outbreaks will, in the short-term, and could over the longer term, adversely affect the economies and financial markets of many countries, resulting in an economic downturn or recession that could adversely affect demand for our products and impact our results of operations and financial condition. There can be no assurance that any decrease in sales resulting from the COVID-19 pandemic will be offset by increased sales in subsequent periods. These effects, alone or taken together, could have a material adverse effect on our business, results of operations, legal exposure, or financial condition. The extent of the COVID-19 pandemic’s effect on our operational and financial performance will depend on future developments, including the duration, spread and intensity of the pandemic, all of which are uncertain and difficult to predict. Due to the constantly evolving global conditions, we are not able at this time to estimate the long-term effect of these factors on our business, but the adverse impact on our business, results of operations, financial condition and cash flows could be material.</w:t>
      </w:r>
    </w:p>
    <w:p>
      <w:pPr>
        <w:spacing w:after="0" w:line="17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49" w:lineRule="exact"/>
        <w:rPr>
          <w:sz w:val="20"/>
          <w:szCs w:val="20"/>
          <w:color w:val="auto"/>
        </w:rPr>
      </w:pPr>
    </w:p>
    <w:p>
      <w:pPr>
        <w:ind w:right="40" w:firstLine="510"/>
        <w:spacing w:after="0" w:line="252" w:lineRule="auto"/>
        <w:rPr>
          <w:sz w:val="20"/>
          <w:szCs w:val="20"/>
          <w:color w:val="auto"/>
        </w:rPr>
      </w:pPr>
      <w:r>
        <w:rPr>
          <w:rFonts w:ascii="Arial" w:cs="Arial" w:eastAsia="Arial" w:hAnsi="Arial"/>
          <w:sz w:val="16"/>
          <w:szCs w:val="16"/>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computer vision,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170" w:lineRule="exact"/>
        <w:rPr>
          <w:sz w:val="20"/>
          <w:szCs w:val="20"/>
          <w:color w:val="auto"/>
        </w:rPr>
      </w:pPr>
    </w:p>
    <w:p>
      <w:pPr>
        <w:ind w:right="80" w:firstLine="510"/>
        <w:spacing w:after="0" w:line="227" w:lineRule="auto"/>
        <w:rPr>
          <w:sz w:val="20"/>
          <w:szCs w:val="20"/>
          <w:color w:val="auto"/>
        </w:rPr>
      </w:pPr>
      <w:r>
        <w:rPr>
          <w:rFonts w:ascii="Arial" w:cs="Arial" w:eastAsia="Arial" w:hAnsi="Arial"/>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other products or other product categories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b w:val="1"/>
          <w:bCs w:val="1"/>
          <w:i w:val="1"/>
          <w:iCs w:val="1"/>
          <w:color w:val="auto"/>
        </w:rPr>
        <w:t>If we fail to penetrate new markets, our revenue and financial condition could be harmed.</w:t>
      </w:r>
    </w:p>
    <w:p>
      <w:pPr>
        <w:spacing w:after="0" w:line="117"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Years ago, a substantial portion of our revenue was generated from sales of our SoCs to OEMs and ODMs of HD video cameras, including IP security cameras, wearable cameras and drones. Our revenue from several of these markets, however, has experienced significant declines. As a result, we believe that our future revenue growth, if any, will significantly depend on our ability to expand within the camera markets with our new artificial intelligence, or AI, computer vision SoC solutions, particularly in emerging markets such as the OEM automotive, robotics and industrial markets, as well as the existing professional IP security and home security and monitoring camera markets. Each of these markets presents distinct and substantial risks and, in many cases, requires us to develop new functionality or software to address the particular requirements of that market. We anticipate that as we continue to move into new markets, such as the OEM automotive, robotics and industrial markets, we will likely face competition from larger competitors with greater resources and more history in these markets. If any of these markets do not develop as we currently anticipate, or if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If we fail to penetrate these or other new markets we are targeting, our financial condition would likely</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suffer. Moreover, if we are successful in achieving design wins in these new markets, it will likely take longer to generate revenue from such design wins than in our current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Shortages in, or increased costs of, wafers and materials could adversely impact our gross margins and lead to reduced revenues.</w:t>
      </w:r>
    </w:p>
    <w:p>
      <w:pPr>
        <w:spacing w:after="0" w:line="129"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The semiconductor industry is currently experiencing significant shortages of manufacturing capacity, which has resulted in a lengthening of the manufacturing lead time for our products. If this capacity shortage continues for an extensive period of time, it could negatively impact our ability to meet our customer’s demand for our products and have an adverse impact on our revenue, results of operations and customer relationships. In addition, silicon wafers constitute a material portion of our product cost. If we are unable to purchase wafers at favorable prices, our results of operations and financial condition will be adversely affected. It is also possible during this time of supply chain capacity shortage that customers may place orders for our products that exceed their actual demand, which may lead to us manufacturing a surplus of products and could have a negative impact on our results or operations and cash reserves.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Our primary inventory warehouse is located in Hong Kong and may be affected by continued political, social and economic conditions in Hong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Kong.</w:t>
      </w:r>
    </w:p>
    <w:p>
      <w:pPr>
        <w:spacing w:after="0" w:line="103"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operate a warehouse facility in Hong Kong through which the substantial majority of our finished SoCs are shipped to customers or logistic partners. BIS has imposed additional restrictions on exports and reexports of U.S.-controlled items to Hong Kong by removing preferential treatment that Hong Kong used to receive and imposing more stringent licensing requirements similar to those applicable to China. Hong Kong has experienced, and continues to experience, significant political unrest and social strife, including protests that resulted in the closing of the Hong Kong international airport on August 12, 2019 for two days. In response to national security legislation adopted by the Chinese government, the U.S. Secretary of State certified to the U.S. Congress on May 27, 2020 that Hong Kong no longer maintains a sufficient degree of autonomy from China to warrant special treatment by the U.S. While such certification does not have an immediate impact on Hong Kong for trade or other purposes, this action represents an escalation in political and trade tensions involving the U.S, China and Hong Kong. It is possible that the U.S. government may take future measures to impose stricter export controls or duties on shipments made to Hong Kong, add additional parties to the Entity List, or reduce preferential treatment currently accorded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find alternative potentially costlier methods of shipping our finished SoCs to customers and logistic partners. While we are taking measures to attempt to maintain the continuity of our product delivery operations notwithstanding the impact on the use of our Hong Kong facility of the continued or deteriorating conditions in Hong Kong or other future unforeseen problems there, we cannot ensure that these measures will be successful in eliminating disruptions in our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right="440" w:firstLine="510"/>
        <w:spacing w:after="0" w:line="277" w:lineRule="auto"/>
        <w:rPr>
          <w:sz w:val="20"/>
          <w:szCs w:val="20"/>
          <w:color w:val="auto"/>
        </w:rPr>
      </w:pPr>
      <w:r>
        <w:rPr>
          <w:rFonts w:ascii="Arial" w:cs="Arial" w:eastAsia="Arial" w:hAnsi="Arial"/>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6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The COVID-19 pandemic has had a negative impact on the global economy and may decrease or delay development of new markets and new programs in emerging markets. If our key target markets, such as automotive cameras, IP security cameras and cameras for robotic applications, do not grow, grow slower, or do not develop in ways that we currently expect, demand for our computer vision, video and image processing SoCs may not materialize as expected, and our business and operating results could suffer.</w:t>
      </w:r>
    </w:p>
    <w:p>
      <w:pPr>
        <w:spacing w:after="0" w:line="166"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62"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w:t>
      </w:r>
    </w:p>
    <w:p>
      <w:pPr>
        <w:spacing w:after="0" w:line="17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 This risk may be exacerbated during the current period of supply chain constraints by customers placing orders with us that could exceed their actual demand for our solutions.</w:t>
      </w:r>
    </w:p>
    <w:p>
      <w:pPr>
        <w:spacing w:after="0" w:line="16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We have in the past had customers significantly increase their requested production quantities with little or no advance notice. If we do not fulfill customer demands in a timely manner, our customers may cancel their orders and we may be subject to customer claims for cost of replacement.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 In addition, any significant future cancellations or deferrals of product orders could harm our margins, increase our write-offs due to product obsolescence and restrict our ability to fund our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ind w:right="460" w:firstLine="51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2021, the customers representing 10% or more of our revenue were WT Microelectronics Co., Ltd., formerly Wintech Microelectronics Co., Ltd., or Wintech, our distributor, and Chicony Electronics Co., Ltd., or Chicony, a direct ODM customer, which accounted for approximately 63% and 16% of total revenue, respectively. For the three months ended April 30, 2021, the customers representing 10% or more of revenue were Wintech and Chicony, which accounted for approximately 63% and 16%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operate in a dynamic environment characterized by rapidly changing technologies and technological obsolescence. To compete successfully, we must design, develop, market and sell enhanced solutions that provide increasingly higher levels of performance and functionality and that meet the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for video compression; or the requirement of additional functionality included in video processors. In addition,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82"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expect that we will need to establish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78"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3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are focused on selling our computer vision,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For example, in the past we had achieved certain design wins and projected substantial future revenue as a result of such design wins. Subsequently, based on factors outside of our control, the applicable end customers abruptly cancelled the projects, with no notice to us, resulting in a loss of projected revenue.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firstLine="510"/>
        <w:spacing w:after="0" w:line="255" w:lineRule="auto"/>
        <w:rPr>
          <w:sz w:val="20"/>
          <w:szCs w:val="20"/>
          <w:color w:val="auto"/>
        </w:rPr>
      </w:pPr>
      <w:r>
        <w:rPr>
          <w:rFonts w:ascii="Arial" w:cs="Arial" w:eastAsia="Arial" w:hAnsi="Arial"/>
          <w:sz w:val="18"/>
          <w:szCs w:val="18"/>
          <w:color w:val="auto"/>
        </w:rPr>
        <w:t>Our customers generally take a considerable amount of time to evaluate our solutions. The typical time from early engagement by our sales force to actual product introduction runs from nine to 12 months, though it will likely take significantly longer in new markets such as the OEM automotive and robotics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expect competition to increase in the future, which could have an adverse effect on our revenue and market share.</w:t>
      </w:r>
    </w:p>
    <w:p>
      <w:pPr>
        <w:spacing w:after="0" w:line="11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global semiconductor market in general, and the computer vision, video and 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9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competitors range from large, international companies with greater resources offering a wide range of semiconductor products to smaller, nimble companies specializing in narrow markets. In the security camera market, our primary competitors include AMLogic Inc., HiSilicon Technologies Co., Ltd., or HiSilicon, which is owned by Huawei Technologies Co., Ingenic Semiconductor Co., Ltd., Novatek Microelectronics Corp., or Novatek, OmniVision Technologies, Inc., Qualcomm Incorporated, or Qualcomm, SigmaStar Technology Corp., Socionext Inc., or Socionext, an entity created from the merger of the system LSI businesses of Fujitsu Ltd. and Panasonic Corporation, and Texas Instruments Incorporated, or Texas Instruments, as well as vertically integrated divisions of security camera device OEMs, including Axis, Hanwha Techwin, and Google LLC, which is owned by Alphabet, Inc. In the automotive camera market, we primarily compete against Allwinner Technology Co., Ltd., Horizon Robotics Inc., iCatch Technology, Inc., Mobileye, a subsidiary of Intel Corporation, or Intel, Novatek, NVIDIA Corporation, or NVIDIA, NXP Semiconductors N.V., Qualcomm, Renesas Electronics Corporation, Texas Instruments and Xilinx Inc. In the robotics and emerging applications markets, our primary competitors are Fuzhou Rockchip Electronics Co., Ltd., NVIDIA, Qualcomm, and Texas Instruments. In the other applications markets, our primary competitors are HiSilicon, Movidius Ltd., a subsidiary of Intel, NVIDIA, Qualcomm, Socionext, and vertically integrated divisions of our OEM customer, Shenzhen Dajiang Baiwang Technology Co., Ltd., or Dajiang Baiwang.</w:t>
      </w:r>
    </w:p>
    <w:p>
      <w:pPr>
        <w:spacing w:after="0" w:line="179"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80" w:lineRule="exact"/>
        <w:rPr>
          <w:sz w:val="20"/>
          <w:szCs w:val="20"/>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anticipate market and technology trends and successfully develop solutions that meet market needs;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identifying and penetrating new markets, applications and customers;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understand the price points and performance metrics of competing products in the marketplace;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that of competing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gain access to leading design tools and product specifications at the same time as our competitors;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OEMs and ODMs;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products’ effective implementation of video processing standards;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international operations in a timely and cost-efficient manner;</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support our customers’ incorporation of our solutions into their products; and</w:t>
      </w:r>
    </w:p>
    <w:p>
      <w:pPr>
        <w:spacing w:after="0" w:line="117" w:lineRule="exact"/>
        <w:rPr>
          <w:rFonts w:ascii="Arial" w:cs="Arial" w:eastAsia="Arial" w:hAnsi="Arial"/>
          <w:sz w:val="18"/>
          <w:szCs w:val="18"/>
          <w:color w:val="auto"/>
        </w:rPr>
      </w:pPr>
    </w:p>
    <w:p>
      <w:pPr>
        <w:ind w:left="1520" w:right="60" w:hanging="500"/>
        <w:spacing w:after="0" w:line="27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recruit design and application engineers with expertise in computer vision, video and image processing technologies and sales and marketing personnel.</w:t>
      </w:r>
    </w:p>
    <w:p>
      <w:pPr>
        <w:spacing w:after="0" w:line="170"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breach of our security systems may have a material adverse effect on our business.</w:t>
      </w:r>
    </w:p>
    <w:p>
      <w:pPr>
        <w:spacing w:after="0" w:line="22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Security breaches, computer malware and computer hacking attacks have become more prevalent and sophisticated. These threats are constantly evolving, making it increasingly difficult to successfully defend against or implement adequate preventive measures. Moreover, as a result of the COVID-19 pandemic, the need for remote work and remote access to our systems has increased significantly, which also increases our cybersecurity risk profile.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and attacks to their products, which could impact our systems. For example, in 2020, SolarWinds Corp., one of our third-party IT infrastructure software providers, was subject to a data security breach. Our investigation of the breach, which was supported by a third-party security expert, has not identified any adverse impact to our business or operations, but there can be no guarantee we will not experience such an impact.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39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70" w:lineRule="exact"/>
        <w:rPr>
          <w:sz w:val="20"/>
          <w:szCs w:val="20"/>
          <w:color w:val="auto"/>
        </w:rPr>
      </w:pPr>
    </w:p>
    <w:p>
      <w:pPr>
        <w:ind w:right="220" w:firstLine="510"/>
        <w:spacing w:after="0" w:line="288" w:lineRule="auto"/>
        <w:rPr>
          <w:sz w:val="20"/>
          <w:szCs w:val="20"/>
          <w:color w:val="auto"/>
        </w:rPr>
      </w:pPr>
      <w:r>
        <w:rPr>
          <w:rFonts w:ascii="Arial" w:cs="Arial" w:eastAsia="Arial" w:hAnsi="Arial"/>
          <w:sz w:val="16"/>
          <w:szCs w:val="16"/>
          <w:color w:val="auto"/>
        </w:rPr>
        <w:t>The semiconductor industry requires substantial investment in research and development in order to bring to market new and enhanced solutions. Our research and development expense was $140.8 million, $129.7 million and $128.1 million in fiscal years 2021, 2020 and 2019, respectively. For the three months ended April 30, 2021, our research and development expense was $37.9 million. We expect to increase our research and development expenditures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10 and 5 nanometer, or nm, costs significantly more than required to develop in larger process nodes, such as 28nm or 14nm.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seriously harm our business.</w:t>
      </w:r>
    </w:p>
    <w:p>
      <w:pPr>
        <w:spacing w:after="0" w:line="11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rely on highly skilled personnel and, if we are unable to hire, retain or motivate key personnel, we may not be able to grow effectively.</w:t>
      </w:r>
    </w:p>
    <w:p>
      <w:pPr>
        <w:spacing w:after="0" w:line="140"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7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The average selling prices of video and image processing solutions in our target markets have typically decreased over time and will likely do so in the future, which could harm our revenue and gross margins.</w:t>
      </w:r>
    </w:p>
    <w:p>
      <w:pPr>
        <w:spacing w:after="0" w:line="62"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w:t>
      </w:r>
    </w:p>
    <w:p>
      <w:pPr>
        <w:spacing w:after="0" w:line="4"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factors. We expect that we will have to address pricing pressures again in the future, particularly in markets experiencing consolidation, which could require us to reduce the prices of our SoC solutions and harm our operating results.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are unable to manage any future growth, we may not be able to execute our business plan and our operating results could suffer.</w:t>
      </w:r>
    </w:p>
    <w:p>
      <w:pPr>
        <w:spacing w:after="0" w:line="14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our growth successfully and handle the responsibilities of being a public company, we believe we must effectively, among other things:</w:t>
      </w:r>
    </w:p>
    <w:p>
      <w:pPr>
        <w:spacing w:after="0" w:line="80" w:lineRule="exact"/>
        <w:rPr>
          <w:sz w:val="20"/>
          <w:szCs w:val="20"/>
          <w:color w:val="auto"/>
        </w:rPr>
      </w:pPr>
    </w:p>
    <w:p>
      <w:pPr>
        <w:ind w:left="1520" w:right="100" w:hanging="500"/>
        <w:spacing w:after="0" w:line="263"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 hire, train and manage additional qualified engineers for our research and development activities, particularly in our offices in Asia and especially for the positions of semiconductor design and systems, applications engineering and computer vision development;</w:t>
      </w:r>
    </w:p>
    <w:p>
      <w:pPr>
        <w:spacing w:after="0" w:line="75"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additional sales and business development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additional finance and accounting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and improve our administrative, financial and operational systems, procedures and controls; and</w:t>
      </w:r>
    </w:p>
    <w:p>
      <w:pPr>
        <w:spacing w:after="0" w:line="117" w:lineRule="exact"/>
        <w:rPr>
          <w:rFonts w:ascii="Arial" w:cs="Arial" w:eastAsia="Arial" w:hAnsi="Arial"/>
          <w:sz w:val="18"/>
          <w:szCs w:val="18"/>
          <w:color w:val="auto"/>
        </w:rPr>
      </w:pPr>
    </w:p>
    <w:p>
      <w:pPr>
        <w:ind w:left="1520" w:right="200" w:hanging="500"/>
        <w:spacing w:after="0" w:line="277"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our information technology support for enterprise resource planning and design engineering by adapting and expanding our systems and tool capabilities, and properly training new hires as to their use.</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able to secure sufficient manufacturing capacity.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right="40" w:firstLine="510"/>
        <w:spacing w:after="0" w:line="259" w:lineRule="auto"/>
        <w:rPr>
          <w:sz w:val="20"/>
          <w:szCs w:val="20"/>
          <w:color w:val="auto"/>
        </w:rPr>
      </w:pPr>
      <w:r>
        <w:rPr>
          <w:rFonts w:ascii="Arial" w:cs="Arial" w:eastAsia="Arial" w:hAnsi="Arial"/>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In addition, development of products to address emerging markets, such as the OEM automotive and robotics markets, could negatively impact our ability to develop new products for our current markets, which may harm our financial condition, particularly in the near term.</w:t>
      </w:r>
    </w:p>
    <w:p>
      <w:pPr>
        <w:spacing w:after="0" w:line="187"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Deterioration of the financial conditions of our customers could adversely affect our operating results.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Deterioration of the financial condition of our distributors or customers could adversely impact our collection of accounts receivable. For the three months ended April 30, 2021, the customers representing 10% or more of revenue and accounts receivable were Wintech and Chicony, which accounted for approximately 63% and 16% of total revenue, respectively. As of April 30, 2021, accounts receivable with Wintech and Chicony were approximately $17.0 million and $11.3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and the economic impact of the COVID-19 pandemic could lead to a similar downturn in future periods. These downturns have been characterized by diminished product demand, production overcapacity, high inventory levels and accelerated erosion of average selling prices. Any future downturns could harm our business and operating results. Furthermore, any significant upturn in the semiconductor industry could result in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 The semiconductor industry is currently experiencing significant shortages of capacity, which has resulted in a lengthening of the manufacturing lead time for our products. This capacity shortage has negatively impacted our ability to meet our customers’ demand, and if this capacity shortage continues for an extensive period of time, it could further negatively impact our ability to meet our customers’ demand for our products and have an adverse impact on our revenue, results of operations and customer relationships. In addition, it is possible during this time of supply chain capacity shortage that customers may place orders for our products that exceed their actual demand, which may lead to us manufacturing a surplus of products, which could have a negative impact on our results or operations and cash reserves.</w:t>
      </w:r>
    </w:p>
    <w:p>
      <w:pPr>
        <w:spacing w:after="0" w:line="174"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76"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20" w:firstLine="510"/>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5nm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Samsung, who is one of the few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Rapidly changing industry standards could make our video and image processing solutions obsolete, which would cause our operating results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suffer.</w:t>
      </w:r>
    </w:p>
    <w:p>
      <w:pPr>
        <w:spacing w:after="0" w:line="103"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72" w:lineRule="exact"/>
        <w:rPr>
          <w:sz w:val="20"/>
          <w:szCs w:val="20"/>
          <w:color w:val="auto"/>
        </w:rPr>
      </w:pPr>
    </w:p>
    <w:p>
      <w:pPr>
        <w:ind w:right="520" w:firstLine="510"/>
        <w:spacing w:after="0" w:line="375" w:lineRule="auto"/>
        <w:rPr>
          <w:sz w:val="20"/>
          <w:szCs w:val="20"/>
          <w:color w:val="auto"/>
        </w:rPr>
      </w:pPr>
      <w:r>
        <w:rPr>
          <w:rFonts w:ascii="Arial" w:cs="Arial" w:eastAsia="Arial" w:hAnsi="Arial"/>
          <w:sz w:val="15"/>
          <w:szCs w:val="15"/>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have research and development design centers and business development offices in China, Japan, Italy,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53" w:lineRule="exact"/>
        <w:rPr>
          <w:sz w:val="20"/>
          <w:szCs w:val="20"/>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and more difficult collection of receivables;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enforcing contracts generally;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geopolitical instability and military conflicts;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1520" w:right="80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travel restrictions;</w:t>
      </w:r>
    </w:p>
    <w:p>
      <w:pPr>
        <w:spacing w:after="0" w:line="117" w:lineRule="exact"/>
        <w:rPr>
          <w:rFonts w:ascii="Arial" w:cs="Arial" w:eastAsia="Arial" w:hAnsi="Arial"/>
          <w:sz w:val="18"/>
          <w:szCs w:val="18"/>
          <w:color w:val="auto"/>
        </w:rPr>
      </w:pPr>
    </w:p>
    <w:p>
      <w:pPr>
        <w:ind w:left="1520" w:right="58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3" w:name="page44"/>
    <w:bookmarkEnd w:id="43"/>
    <w:p>
      <w:pPr>
        <w:ind w:left="1520" w:right="12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imposed by the U.S. government on our ability to do business with certain companies or in certain countries as a result of international political conflicts;</w:t>
      </w:r>
    </w:p>
    <w:p>
      <w:pPr>
        <w:spacing w:after="0" w:line="62" w:lineRule="exact"/>
        <w:rPr>
          <w:rFonts w:ascii="Arial" w:cs="Arial" w:eastAsia="Arial" w:hAnsi="Arial"/>
          <w:sz w:val="18"/>
          <w:szCs w:val="18"/>
          <w:color w:val="auto"/>
        </w:rPr>
      </w:pPr>
    </w:p>
    <w:p>
      <w:pPr>
        <w:ind w:left="1520" w:right="86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standards and practices in the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health issues, pandemics, and natural disasters; and</w:t>
      </w:r>
    </w:p>
    <w:p>
      <w:pPr>
        <w:spacing w:after="0" w:line="225"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37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shareholders, reduce our financial resources and harm our business.</w:t>
      </w:r>
    </w:p>
    <w:p>
      <w:pPr>
        <w:spacing w:after="0" w:line="170"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In the future, we may acquire other businesses, products or technologies. Other than our acquisition of VisLab S.r.l., or VisLab, in June 2015, we have not made any acquisitions to date and do not have any agreements or commitments for any specific acquisition at this time. Our ability to make and successfully integrate acquisitions is unproven.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complexity of calculating our tax provision may result in errors that could result in restatements of our financial statements.</w:t>
      </w:r>
    </w:p>
    <w:p>
      <w:pPr>
        <w:spacing w:after="0" w:line="129"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are incorporated in the Cayman Islands and our operations are subject to income and transaction taxes in the United States, China, Hong Kong, Japan, Italy,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or Results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Fluctuations in our operating results on a quarterly and annual basis could cause the market price of our ordinary shares to decline.</w:t>
      </w:r>
    </w:p>
    <w:p>
      <w:pPr>
        <w:spacing w:after="0" w:line="12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demand, sales cycles, product mix, and prices for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forecasting, scheduling, rescheduling or cancellation of orders by our customers;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shifts in consumer or manufacturer preferences and any resultant change in demand for video and image capture devices into which our solutions are incorporated;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 including new entrants or pricing pressures;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left="1520" w:right="2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our customers’ ability to manufacture and ship products that incorporate our solutions caused by internal and external factors beyond our control;</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define, design and release new solutions in a timely manner that meet our customers’ needs;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manufacturing costs, including wafer, test and assembly costs, mask costs, manufacturing yields and product quality and reliability;</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availability of adequate manufacturing capacity from our manufacturing subcontractors;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product announcements by our competitors or by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incurrence of research and development and related new products expenditures;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write-downs of inventory for excess quantities and technological obsolescence;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investment or other asset values;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our share price, which may lead to higher stock-based compensation expense;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our effective tax rate;</w:t>
      </w:r>
    </w:p>
    <w:p>
      <w:pPr>
        <w:spacing w:after="0" w:line="117"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litigation, especially related to intellectual property.</w:t>
      </w:r>
    </w:p>
    <w:p>
      <w:pPr>
        <w:spacing w:after="0" w:line="22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Moreover, the semiconductor industry has historically been cyclical in nature, reflecting overall economic conditions as well as budgeting and buying patterns of consumers. For example, the semiconductor industry is currently experiencing significant shortages of capacity, which has resulted in a lengthening of the manufacturing lead time for our products and could be impacting the normal forecasting and ordering patterns of our customers.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 For example, our revenue declined</w:t>
      </w:r>
    </w:p>
    <w:p>
      <w:pPr>
        <w:spacing w:after="0" w:line="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2.5% in fiscal year 2021, increased 0.4% in fiscal year 2020 and declined 23% in fiscal year 2019. We incurred a net loss in fiscal years 2021, 2020, and 2019, respectively. For the three months ended April 30, 2021, while our revenue increased by 28.3% compared to the same period in fiscal year 2021, we incurred a net loss of $10.8 million. We may experience similar fluctuations or declines in revenue or net losses in the future, which would harm our financial results.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do not generate revenue growth, we may not be able to execute our business plan and our operating results could suffer.</w:t>
      </w:r>
    </w:p>
    <w:p>
      <w:pPr>
        <w:spacing w:after="0" w:line="23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believe that our future revenue growth, if any, will significantly depend on our ability to expand within our existing camera markets, such as the existing professional IP security and home security and monitoring camera markets, and successfully penetrate new markets, such as the OEM automotive, robotics and industrial markets, with our new AI computer vision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Our revenue declined 2.5% in fiscal year 2021, increased 0.4% in fiscal year 2020 and declined 23% in fiscal year 2019. We incurred net loss in fiscal years 2021, 2020, and 2019, respectively. For the three months ended April 2021, while our revenue increased by 28.3% compared to the same period in fiscal year 2021, we continued a net loss of $10.8 million. Accordingly, if we are unable to generate or maintain adequate revenue growth, our financial results could suffer and our stock price could decline.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have difficulty accurately predicting our future revenue and appropriately budgeting our expenses.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left="520"/>
        <w:spacing w:after="0"/>
        <w:rPr>
          <w:sz w:val="20"/>
          <w:szCs w:val="20"/>
          <w:color w:val="auto"/>
        </w:rPr>
      </w:pPr>
      <w:r>
        <w:rPr>
          <w:rFonts w:ascii="Arial" w:cs="Arial" w:eastAsia="Arial" w:hAnsi="Arial"/>
          <w:sz w:val="16"/>
          <w:szCs w:val="16"/>
          <w:b w:val="1"/>
          <w:bCs w:val="1"/>
          <w:i w:val="1"/>
          <w:iCs w:val="1"/>
          <w:color w:val="auto"/>
        </w:rPr>
        <w:t>Changes to financial accounting standards may affect our results of operations and could cause us to change our business practices.</w:t>
      </w:r>
    </w:p>
    <w:p>
      <w:pPr>
        <w:spacing w:after="0" w:line="24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6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may adversely affect our operating results.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88%, 90% and 87% of our total revenue in fiscal years 2021, 2020 and 2019, respectively. For the three months ended April 30, 2021, sales to customers in Asia accounted for approximately 90%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8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5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cannot predict our future capital needs, and we may not be able to obtain additional financing to fund our operations.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92"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b w:val="1"/>
          <w:bCs w:val="1"/>
          <w:i w:val="1"/>
          <w:iCs w:val="1"/>
          <w:color w:val="auto"/>
        </w:rPr>
        <w:t>Our marketable securities portfolio could experience a decline in market value, which could materially and adversely affect our financial results.</w:t>
      </w:r>
    </w:p>
    <w:p>
      <w:pPr>
        <w:spacing w:after="0" w:line="62" w:lineRule="exact"/>
        <w:rPr>
          <w:sz w:val="20"/>
          <w:szCs w:val="20"/>
          <w:color w:val="auto"/>
        </w:rPr>
      </w:pPr>
    </w:p>
    <w:p>
      <w:pPr>
        <w:ind w:right="240" w:firstLine="510"/>
        <w:spacing w:after="0" w:line="272" w:lineRule="auto"/>
        <w:rPr>
          <w:sz w:val="20"/>
          <w:szCs w:val="20"/>
          <w:color w:val="auto"/>
        </w:rPr>
      </w:pPr>
      <w:r>
        <w:rPr>
          <w:rFonts w:ascii="Arial" w:cs="Arial" w:eastAsia="Arial" w:hAnsi="Arial"/>
          <w:sz w:val="17"/>
          <w:szCs w:val="17"/>
          <w:color w:val="auto"/>
        </w:rPr>
        <w:t>As of April 30, 2021, we had approximately $214.9 million in debt security investments. These investments consisted primarily of money market funds, commercial paper, asset-backed securities, U.S. government securities and debt securities of corporations.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other-than-temporary impairment which could adversely impact our financial results and position.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7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78" w:lineRule="exact"/>
        <w:rPr>
          <w:sz w:val="20"/>
          <w:szCs w:val="20"/>
          <w:color w:val="auto"/>
        </w:rPr>
      </w:pPr>
    </w:p>
    <w:p>
      <w:pPr>
        <w:ind w:right="20" w:firstLine="510"/>
        <w:spacing w:after="0" w:line="375" w:lineRule="auto"/>
        <w:rPr>
          <w:sz w:val="20"/>
          <w:szCs w:val="20"/>
          <w:color w:val="auto"/>
        </w:rPr>
      </w:pPr>
      <w:r>
        <w:rPr>
          <w:rFonts w:ascii="Arial" w:cs="Arial" w:eastAsia="Arial" w:hAnsi="Arial"/>
          <w:sz w:val="15"/>
          <w:szCs w:val="15"/>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Availability of capacity within our supply chain has tightened recently, which could limit the volume of products we can produce and negatively impact our business and operations.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6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7" w:name="page48"/>
    <w:bookmarkEnd w:id="47"/>
    <w:p>
      <w:pPr>
        <w:ind w:right="560" w:firstLine="510"/>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70"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We sell a significant percentage of our solutions through a single distributor, Wintech, which serves as our non-exclusive sales representative in Asia, other than Japan. Approximately 63%, 60% and 58% of our revenue was derived from sales through Wintech for the fiscal years ended January 31, 2021, 2020 and 2019, respectively, and approximately 63% of our revenue was derived from sales through Wintech for the three months ended April 30, 2021. We anticipate that a significant portion of our revenue will continue to be derived from sales through Wintech in the foreseeable future. In November 2019, WPG Holdings Co., or WPG, a Taiwan distributor, announced an unsolicited bid to acquire up to 30% of Wintech. In January 2020, WPG acquired approximately 17% of Wintech, but indicated it intended to remain a passive investor in Wintech. The acquisition of Wintech by WPG could have an adverse impact on our relationship with Wintech. Our current agreement with Wintech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are subject to risks associated with our distributors' product inventories.</w:t>
      </w:r>
    </w:p>
    <w:p>
      <w:pPr>
        <w:spacing w:after="0" w:line="117"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84"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date, we believe this resale and channel inventory data have been generally accurate. To the extent that these data are inaccurate or not received in a timely manner, we may not be able to make reserve estimates for future periods accurately or at all.</w:t>
      </w:r>
    </w:p>
    <w:p>
      <w:pPr>
        <w:spacing w:after="0" w:line="166"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a disruption in the availability of image sensors from Sony Corporation as a result of the April 14, 2016 Kumamoto, Japan earthquake impacted our customers’ ability to build or launch cameras and, as a result, negatively impacted the timing and scope of demand for our SoCs in the second and third quarters of fiscal year 2017.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left="520"/>
        <w:spacing w:after="0"/>
        <w:rPr>
          <w:sz w:val="20"/>
          <w:szCs w:val="20"/>
          <w:color w:val="auto"/>
        </w:rPr>
      </w:pPr>
      <w:r>
        <w:rPr>
          <w:rFonts w:ascii="Arial" w:cs="Arial" w:eastAsia="Arial" w:hAnsi="Arial"/>
          <w:sz w:val="17"/>
          <w:szCs w:val="17"/>
          <w:b w:val="1"/>
          <w:bCs w:val="1"/>
          <w:i w:val="1"/>
          <w:iCs w:val="1"/>
          <w:color w:val="auto"/>
        </w:rPr>
        <w:t>If our foundry vendors do not achieve satisfactory yields or quality, our reputation and customer relationships could be harmed.</w:t>
      </w:r>
    </w:p>
    <w:p>
      <w:pPr>
        <w:spacing w:after="0" w:line="129"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73"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to keep more than minimal inventory on hand. As a result, we may not be able to meet customer needs during such a transition, which could delay shipments, cause production delays, result in a decline in our sales and damage our customer relationships.</w:t>
      </w:r>
    </w:p>
    <w:p>
      <w:pPr>
        <w:spacing w:after="0" w:line="195"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87"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7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For example, in December 2006 a major earthquake occurred in Taiwan and in March 2011 a major earthquake and tsunami occurred in Japan. Although we are not aware of any significant damage suffered by our third-party contractors as a result of those natural disasters, the occurrence of additional earthquakes or other natural disasters could result in the disruption of our foundry vendor or assembly and test capacity.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sell our products to several China customers has been restricted.</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On October 9, 2019, our security camera customers Hangzhou Hikvision Digital Technology Co., Ltd, or Hikvision, and Zhejiang Dahua Technology Co., Ltd., or Dahua, were added to the Entity List of the Bureau of Industry and Security, or BIS, of the U.S. Department of Commerce, or Commerce, which imposes limitations on the supply of certain U.S. items to the listed entities. In December 2020, certain affiliated entities of our customer Shenzhen Dajiang Baiwang Technology Co., Ltd., or Dajiang Baiwang, were added to the Entity List. While the addition of Hikvision, Dahua and affiliates of Dajiang Baiwang to the Entity List negatively impacts our ability to ship items subject to BIS regulations to these listed entities, we have determined that we are able to ship some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Dahua and Dajiang Baiwang,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82"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Beyond the BIS actions relating to Hikvision, Dahua and affiliates of Dajiang Baiwang, general trade tensions between the United States and China have been escalating, which has, in our view, created and will continue to create an uncertain business environment. For example, BIS has added over 150 entities related to Huawei Technologies Co., Ltd. to the Entity List and created new controls on foreign-produced items when one of these entities is a party to the transaction.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negatively impacts Hikvision and Dahua’s ability to sell products into the U.S. security camera market and could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right="340" w:firstLine="584"/>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62" w:lineRule="exact"/>
        <w:rPr>
          <w:sz w:val="20"/>
          <w:szCs w:val="20"/>
          <w:color w:val="auto"/>
        </w:rPr>
      </w:pPr>
    </w:p>
    <w:p>
      <w:pPr>
        <w:ind w:right="140" w:firstLine="584"/>
        <w:spacing w:after="0" w:line="255" w:lineRule="auto"/>
        <w:rPr>
          <w:sz w:val="20"/>
          <w:szCs w:val="20"/>
          <w:color w:val="auto"/>
        </w:rPr>
      </w:pPr>
      <w:r>
        <w:rPr>
          <w:rFonts w:ascii="Arial" w:cs="Arial" w:eastAsia="Arial" w:hAnsi="Arial"/>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9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Compliance with export and import regulations have not had a significant impact on our business to date, but 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warranty and product liability claims and to product recalls.</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governmental laws, regulations and other legal obligations related to privacy and data protection.</w:t>
      </w:r>
    </w:p>
    <w:p>
      <w:pPr>
        <w:spacing w:after="0" w:line="225"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Similarly, California has adopted the California Consumer Privacy Act of 2018, or CCPA, which took effect in 2020. The CCPA gives California residents the right to access, delete and opt out of certain sharing of their information, and imposes penalties for failure to comply.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1" w:name="page52"/>
    <w:bookmarkEnd w:id="51"/>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78"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6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8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6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520"/>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tax returns could adversely affect our results.</w:t>
      </w:r>
    </w:p>
    <w:p>
      <w:pPr>
        <w:spacing w:after="0" w:line="14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w:t>
      </w:r>
    </w:p>
    <w:p>
      <w:pPr>
        <w:spacing w:after="0" w:line="16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84"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49"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8"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0"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left="520"/>
        <w:spacing w:after="0"/>
        <w:rPr>
          <w:sz w:val="20"/>
          <w:szCs w:val="20"/>
          <w:color w:val="auto"/>
        </w:rPr>
      </w:pPr>
      <w:r>
        <w:rPr>
          <w:rFonts w:ascii="Arial" w:cs="Arial" w:eastAsia="Arial" w:hAnsi="Arial"/>
          <w:sz w:val="16"/>
          <w:szCs w:val="16"/>
          <w:b w:val="1"/>
          <w:bCs w:val="1"/>
          <w:i w:val="1"/>
          <w:iCs w:val="1"/>
          <w:color w:val="auto"/>
        </w:rPr>
        <w:t>We may be classified as a passive foreign investment company which could result in adverse U.S. federal income tax consequences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ordinary shares.</w:t>
      </w:r>
    </w:p>
    <w:p>
      <w:pPr>
        <w:spacing w:after="0" w:line="10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Based on the current and anticipated valuation of our assets and the composition of our income and assets, we do not expect to be considered a passive foreign investment company, or PFIC, for U.S. federal income tax purposes for our 2021 fiscal year or the foreseeable future. However, a separate determination must be made at the close of each taxable year as to whether we are a PFIC for that taxable year, and we cannot assure you that we will not be a PFIC for our 2022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6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8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Prior to the Tax Act, we did not believe that we, or any of our non-U.S. subsidiaries, were considered a CFC, which is a determination made daily based on whether the 10% U.S. shareholders together own, or are considered to own under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ind w:right="80" w:firstLine="510"/>
        <w:spacing w:after="0" w:line="273" w:lineRule="auto"/>
        <w:rPr>
          <w:sz w:val="20"/>
          <w:szCs w:val="20"/>
          <w:color w:val="auto"/>
        </w:rPr>
      </w:pPr>
      <w:r>
        <w:rPr>
          <w:rFonts w:ascii="Arial" w:cs="Arial" w:eastAsia="Arial" w:hAnsi="Arial"/>
          <w:sz w:val="17"/>
          <w:szCs w:val="17"/>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62"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69" w:lineRule="exact"/>
        <w:rPr>
          <w:sz w:val="20"/>
          <w:szCs w:val="20"/>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w:t>
      </w:r>
    </w:p>
    <w:p>
      <w:pPr>
        <w:spacing w:after="0" w:line="117" w:lineRule="exact"/>
        <w:rPr>
          <w:rFonts w:ascii="Arial" w:cs="Arial" w:eastAsia="Arial" w:hAnsi="Arial"/>
          <w:sz w:val="18"/>
          <w:szCs w:val="18"/>
          <w:color w:val="auto"/>
        </w:rPr>
      </w:pPr>
    </w:p>
    <w:p>
      <w:pPr>
        <w:ind w:left="1520" w:right="2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w:t>
      </w:r>
    </w:p>
    <w:p>
      <w:pPr>
        <w:spacing w:after="0" w:line="62" w:lineRule="exact"/>
        <w:rPr>
          <w:rFonts w:ascii="Arial" w:cs="Arial" w:eastAsia="Arial" w:hAnsi="Arial"/>
          <w:sz w:val="18"/>
          <w:szCs w:val="18"/>
          <w:color w:val="auto"/>
        </w:rPr>
      </w:pPr>
    </w:p>
    <w:p>
      <w:pPr>
        <w:ind w:left="1520" w:right="14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significant impairment of our intellectual property rights from any litigation we face could harm our business and our ability to compete.</w:t>
      </w:r>
    </w:p>
    <w:p>
      <w:pPr>
        <w:spacing w:after="0" w:line="23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80" w:firstLine="450"/>
        <w:spacing w:after="0" w:line="287" w:lineRule="auto"/>
        <w:rPr>
          <w:sz w:val="20"/>
          <w:szCs w:val="20"/>
          <w:color w:val="auto"/>
        </w:rPr>
      </w:pPr>
      <w:r>
        <w:rPr>
          <w:rFonts w:ascii="Arial" w:cs="Arial" w:eastAsia="Arial" w:hAnsi="Arial"/>
          <w:sz w:val="16"/>
          <w:szCs w:val="16"/>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7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 w:name="page56"/>
    <w:bookmarkEnd w:id="55"/>
    <w:p>
      <w:pPr>
        <w:ind w:firstLine="405"/>
        <w:spacing w:after="0" w:line="296" w:lineRule="auto"/>
        <w:rPr>
          <w:sz w:val="20"/>
          <w:szCs w:val="20"/>
          <w:color w:val="auto"/>
        </w:rPr>
      </w:pPr>
      <w:r>
        <w:rPr>
          <w:rFonts w:ascii="Arial" w:cs="Arial" w:eastAsia="Arial" w:hAnsi="Arial"/>
          <w:sz w:val="16"/>
          <w:szCs w:val="16"/>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which could cause the value of your investment to decline.</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76" w:lineRule="exact"/>
        <w:rPr>
          <w:sz w:val="20"/>
          <w:szCs w:val="20"/>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including our ability to meet our future revenue and operating profit or loss projections;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operating results or those of other semiconductor or comparable companies;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fluctuations in the economic performance or market valuations of companies perceived by investors to be comparable to us;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developments in the semiconductor industry as a whole;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including conditions caused by pandemics, and slow or negative growth of related markets;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and other geopolitical activities affecting markets we address;</w:t>
      </w:r>
    </w:p>
    <w:p>
      <w:pPr>
        <w:spacing w:after="0" w:line="117" w:lineRule="exact"/>
        <w:rPr>
          <w:rFonts w:ascii="Arial" w:cs="Arial" w:eastAsia="Arial" w:hAnsi="Arial"/>
          <w:sz w:val="18"/>
          <w:szCs w:val="18"/>
          <w:color w:val="auto"/>
        </w:rPr>
      </w:pPr>
    </w:p>
    <w:p>
      <w:pPr>
        <w:ind w:left="1520" w:right="28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new products, significant contracts or orders, commercial relationships or capital commitments;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solutions on a timely basis;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demand for our customers’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to our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or social conditions in the markets where we sell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6" w:name="page57"/>
    <w:bookmarkEnd w:id="56"/>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Our actual operating results may not meet or exceed our guidance and investor expectations, which would likely cause our stock price to decline.</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66"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ordinary shares could decrease as a result of shares being sold in the market.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cause the market price of our ordinary shares to decline. We filed registration statements on Form S-8 under the Securities Act to register shares for issuance under our 2004 Stock Plan, 2012 Equity Incentive Plan and the Amended and Restated 2012 Employee Stock Purchase Plan. Our 2012 Equity Incentive Plan and the Amended and Restated 2012 Employee Stock Purchase Plan provide for automatic increases in the shares reserved for issuance under these plans which could result in additional dilution to our shareholders. These shares can be freely sold in the public market upon issuance and vesting, subject to restrictions provided under the terms of the applicable plan and/or the option agreements entered into with option holders.</w:t>
      </w:r>
    </w:p>
    <w:p>
      <w:pPr>
        <w:spacing w:after="0" w:line="164"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2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8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6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62" w:lineRule="exact"/>
        <w:rPr>
          <w:sz w:val="20"/>
          <w:szCs w:val="20"/>
          <w:color w:val="auto"/>
        </w:rPr>
      </w:pPr>
    </w:p>
    <w:p>
      <w:pPr>
        <w:ind w:left="1520" w:hanging="500"/>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62" w:lineRule="exact"/>
        <w:rPr>
          <w:rFonts w:ascii="Arial" w:cs="Arial" w:eastAsia="Arial" w:hAnsi="Arial"/>
          <w:sz w:val="18"/>
          <w:szCs w:val="18"/>
          <w:color w:val="auto"/>
        </w:rPr>
      </w:pPr>
    </w:p>
    <w:p>
      <w:pPr>
        <w:ind w:left="1520" w:right="80" w:hanging="500"/>
        <w:spacing w:after="0" w:line="277"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62" w:lineRule="exact"/>
        <w:rPr>
          <w:rFonts w:ascii="Arial" w:cs="Arial" w:eastAsia="Arial" w:hAnsi="Arial"/>
          <w:sz w:val="18"/>
          <w:szCs w:val="18"/>
          <w:color w:val="auto"/>
        </w:rPr>
      </w:pPr>
    </w:p>
    <w:p>
      <w:pPr>
        <w:ind w:left="1520" w:right="100" w:hanging="500"/>
        <w:spacing w:after="0" w:line="277"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shareholders’ meeting;</w:t>
      </w:r>
    </w:p>
    <w:p>
      <w:pPr>
        <w:spacing w:after="0" w:line="62" w:lineRule="exact"/>
        <w:rPr>
          <w:rFonts w:ascii="Arial" w:cs="Arial" w:eastAsia="Arial" w:hAnsi="Arial"/>
          <w:sz w:val="18"/>
          <w:szCs w:val="18"/>
          <w:color w:val="auto"/>
        </w:rPr>
      </w:pPr>
    </w:p>
    <w:p>
      <w:pPr>
        <w:jc w:val="both"/>
        <w:ind w:left="1520" w:right="20" w:hanging="500"/>
        <w:spacing w:after="0" w:line="342" w:lineRule="auto"/>
        <w:tabs>
          <w:tab w:leader="none" w:pos="1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15" w:lineRule="exact"/>
        <w:rPr>
          <w:rFonts w:ascii="Arial" w:cs="Arial" w:eastAsia="Arial" w:hAnsi="Arial"/>
          <w:sz w:val="16"/>
          <w:szCs w:val="16"/>
          <w:color w:val="auto"/>
        </w:rPr>
      </w:pPr>
    </w:p>
    <w:p>
      <w:pPr>
        <w:ind w:left="1520" w:right="100" w:hanging="500"/>
        <w:spacing w:after="0" w:line="277"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 special meeting of shareholders and to take action by written consent in lieu of a meeting;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ind w:left="1520" w:right="300" w:hanging="500"/>
        <w:spacing w:after="0" w:line="342" w:lineRule="auto"/>
        <w:tabs>
          <w:tab w:leader="none" w:pos="1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Holders of our ordinary shares may face difficulties in protecting their interests because we are incorporated under Cayman Islands law.</w:t>
      </w:r>
    </w:p>
    <w:p>
      <w:pPr>
        <w:spacing w:after="0" w:line="140"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Subject to limited exceptions, under Cayman Islands law, a minority shareholder may not bring a derivative action against the board of directors.</w:t>
      </w:r>
    </w:p>
    <w:p>
      <w:pPr>
        <w:spacing w:after="0" w:line="24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operations are interrupted, our business and reputation could suffer.</w:t>
      </w:r>
    </w:p>
    <w:p>
      <w:pPr>
        <w:spacing w:after="0" w:line="225"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operations and those of our manufacturers are vulnerable to interruption caused by technical breakdowns, computer hardware and software malfunctions, software viruses, infrastructure failures, regional health issues and pandemics, earthquakes, fires, severe storms, floods and other negative impacts from climate change,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and Italy. If the remote or work from home conditions continue for an extended period of time, or similar restrictions and measures are implemented in more of the locations where we have offices,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880" w:type="dxa"/>
            <w:vAlign w:val="bottom"/>
            <w:gridSpan w:val="6"/>
          </w:tcPr>
          <w:p>
            <w:pPr>
              <w:ind w:left="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0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3.1(1)</w:t>
            </w:r>
          </w:p>
        </w:tc>
        <w:tc>
          <w:tcPr>
            <w:tcW w:w="9420" w:type="dxa"/>
            <w:vAlign w:val="bottom"/>
            <w:tcBorders>
              <w:bottom w:val="single" w:sz="8" w:color="0000EE"/>
            </w:tcBorders>
            <w:gridSpan w:val="5"/>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Amended and Restated Memorandum of Association and Second Amended and Restated Articles of Association of the Registrant.</w:t>
              </w:r>
            </w:hyperlink>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10020" w:type="dxa"/>
            <w:vAlign w:val="bottom"/>
            <w:gridSpan w:val="8"/>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Certification of Principal Executive Officer Required Under Rule 13a-14(a) and 15d-14(a) of the Securities Exchange Act of 1934,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2">
              <w:r>
                <w:rPr>
                  <w:rFonts w:ascii="Arial" w:cs="Arial" w:eastAsia="Arial" w:hAnsi="Arial"/>
                  <w:sz w:val="18"/>
                  <w:szCs w:val="18"/>
                  <w:color w:val="0000EE"/>
                  <w:w w:val="84"/>
                </w:rPr>
                <w:t>amended.</w:t>
              </w:r>
            </w:hyperlink>
          </w:p>
        </w:tc>
        <w:tc>
          <w:tcPr>
            <w:tcW w:w="8920" w:type="dxa"/>
            <w:vAlign w:val="bottom"/>
            <w:tcBorders>
              <w:top w:val="single" w:sz="8" w:color="0000EE"/>
            </w:tcBorders>
            <w:gridSpan w:val="6"/>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24"/>
                <w:szCs w:val="24"/>
                <w:color w:val="auto"/>
              </w:rPr>
            </w:pPr>
          </w:p>
        </w:tc>
        <w:tc>
          <w:tcPr>
            <w:tcW w:w="95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Principal Financial Officer Required Under Rule 13a-14(a) and 15d-14(a) of the Securities Exchange Act of 1934, as</w:t>
              </w:r>
            </w:hyperlink>
          </w:p>
        </w:tc>
        <w:tc>
          <w:tcPr>
            <w:tcW w:w="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3">
              <w:r>
                <w:rPr>
                  <w:rFonts w:ascii="Arial" w:cs="Arial" w:eastAsia="Arial" w:hAnsi="Arial"/>
                  <w:sz w:val="18"/>
                  <w:szCs w:val="18"/>
                  <w:color w:val="0000EE"/>
                  <w:w w:val="84"/>
                </w:rPr>
                <w:t>amended.</w:t>
              </w:r>
            </w:hyperlink>
          </w:p>
        </w:tc>
        <w:tc>
          <w:tcPr>
            <w:tcW w:w="9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w w:val="88"/>
              </w:rPr>
              <w:t>32.1±</w:t>
            </w:r>
          </w:p>
        </w:tc>
        <w:tc>
          <w:tcPr>
            <w:tcW w:w="620" w:type="dxa"/>
            <w:vAlign w:val="bottom"/>
          </w:tcPr>
          <w:p>
            <w:pPr>
              <w:spacing w:after="0"/>
              <w:rPr>
                <w:sz w:val="24"/>
                <w:szCs w:val="24"/>
                <w:color w:val="auto"/>
              </w:rPr>
            </w:pPr>
          </w:p>
        </w:tc>
        <w:tc>
          <w:tcPr>
            <w:tcW w:w="100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of Principal Executive Officer and Principal Financial Officer Required Under Rule 13a-14(b) of the Securities Exchange Act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of 1934, as amended, and 18 U.S.C. §1350.</w:t>
              </w:r>
            </w:hyperlink>
          </w:p>
        </w:tc>
        <w:tc>
          <w:tcPr>
            <w:tcW w:w="68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8"/>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Schema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Labels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40" w:right="280" w:hanging="1132"/>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April 30, 2021,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8312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4" w:lineRule="exact"/>
        <w:rPr>
          <w:sz w:val="20"/>
          <w:szCs w:val="20"/>
          <w:color w:val="auto"/>
        </w:rPr>
      </w:pPr>
    </w:p>
    <w:p>
      <w:pPr>
        <w:ind w:left="500" w:right="200" w:hanging="492"/>
        <w:spacing w:after="0" w:line="258"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(No. 333-174838) Amendment No. 3 as filed with the Securities and Exchange Commission on September 12, 2012.</w:t>
      </w:r>
    </w:p>
    <w:p>
      <w:pPr>
        <w:spacing w:after="0" w:line="1" w:lineRule="exact"/>
        <w:rPr>
          <w:sz w:val="20"/>
          <w:szCs w:val="20"/>
          <w:color w:val="auto"/>
        </w:rPr>
      </w:pPr>
    </w:p>
    <w:p>
      <w:pPr>
        <w:ind w:left="500" w:hanging="492"/>
        <w:spacing w:after="0" w:line="25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60" w:name="page61"/>
    <w:bookmarkEnd w:id="60"/>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AMBARELLA, INC.</w:t>
      </w:r>
    </w:p>
    <w:p>
      <w:pPr>
        <w:spacing w:after="0" w:line="229" w:lineRule="exact"/>
        <w:rPr>
          <w:sz w:val="20"/>
          <w:szCs w:val="20"/>
          <w:color w:val="auto"/>
        </w:rPr>
      </w:pPr>
    </w:p>
    <w:p>
      <w:pPr>
        <w:spacing w:after="0"/>
        <w:tabs>
          <w:tab w:leader="none" w:pos="5760" w:val="left"/>
          <w:tab w:leader="none" w:pos="8000" w:val="left"/>
        </w:tabs>
        <w:rPr>
          <w:sz w:val="20"/>
          <w:szCs w:val="20"/>
          <w:color w:val="auto"/>
        </w:rPr>
      </w:pPr>
      <w:r>
        <w:rPr>
          <w:rFonts w:ascii="Arial" w:cs="Arial" w:eastAsia="Arial" w:hAnsi="Arial"/>
          <w:sz w:val="18"/>
          <w:szCs w:val="18"/>
          <w:color w:val="auto"/>
        </w:rPr>
        <w:t>Date: June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jc w:val="center"/>
        <w:ind w:left="6260"/>
        <w:spacing w:after="0"/>
        <w:rPr>
          <w:sz w:val="20"/>
          <w:szCs w:val="20"/>
          <w:color w:val="auto"/>
        </w:rPr>
      </w:pPr>
      <w:r>
        <w:rPr>
          <w:rFonts w:ascii="Arial" w:cs="Arial" w:eastAsia="Arial" w:hAnsi="Arial"/>
          <w:sz w:val="14"/>
          <w:szCs w:val="14"/>
          <w:b w:val="1"/>
          <w:bCs w:val="1"/>
          <w:color w:val="auto"/>
        </w:rPr>
        <w:t>Feng-Ming Wang</w:t>
      </w:r>
    </w:p>
    <w:p>
      <w:pPr>
        <w:jc w:val="center"/>
        <w:ind w:left="62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6"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June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jc w:val="center"/>
        <w:ind w:left="6260"/>
        <w:spacing w:after="0"/>
        <w:rPr>
          <w:sz w:val="20"/>
          <w:szCs w:val="20"/>
          <w:color w:val="auto"/>
        </w:rPr>
      </w:pPr>
      <w:r>
        <w:rPr>
          <w:rFonts w:ascii="Arial" w:cs="Arial" w:eastAsia="Arial" w:hAnsi="Arial"/>
          <w:sz w:val="14"/>
          <w:szCs w:val="14"/>
          <w:b w:val="1"/>
          <w:bCs w:val="1"/>
          <w:color w:val="auto"/>
        </w:rPr>
        <w:t>Kevin C. Eichler</w:t>
      </w:r>
    </w:p>
    <w:p>
      <w:pPr>
        <w:jc w:val="center"/>
        <w:ind w:left="626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00"/>
          </w:cols>
          <w:pgMar w:left="320" w:top="121" w:right="7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1920"/>
        <w:spacing w:after="0" w:line="266" w:lineRule="auto"/>
        <w:rPr>
          <w:sz w:val="20"/>
          <w:szCs w:val="20"/>
          <w:color w:val="auto"/>
        </w:rPr>
      </w:pPr>
      <w:r>
        <w:rPr>
          <w:rFonts w:ascii="Arial" w:cs="Arial" w:eastAsia="Arial" w:hAnsi="Arial"/>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2021</w:t>
      </w:r>
    </w:p>
    <w:p>
      <w:pPr>
        <w:spacing w:after="0" w:line="23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Feng-Ming Wang</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1940"/>
        <w:spacing w:after="0" w:line="266" w:lineRule="auto"/>
        <w:rPr>
          <w:sz w:val="20"/>
          <w:szCs w:val="20"/>
          <w:color w:val="auto"/>
        </w:rPr>
      </w:pPr>
      <w:r>
        <w:rPr>
          <w:rFonts w:ascii="Arial" w:cs="Arial" w:eastAsia="Arial" w:hAnsi="Arial"/>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Kevin C. Eichler,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2021</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5715</wp:posOffset>
            </wp:positionV>
            <wp:extent cx="2837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Kevin C. Eichler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Feng-Ming Wang, certify, pursuant to 18 U.S.C. Section 1350, as adopted pursuant to Section 906 of the Sarbanes-Oxley Act of 2002, that the Quarterly Report of Ambarella, Inc. on Form 10-Q for the fiscal quarter ended April 30, 2021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2021</w:t>
      </w:r>
    </w:p>
    <w:p>
      <w:pPr>
        <w:spacing w:after="0" w:line="23"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Feng-Ming Wang</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Feng-Ming Wang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Kevin C. Eichler, certify, pursuant to 18 U.S.C. Section 1350, as adopted pursuant to Section 906 of the Sarbanes-Oxley Act of 2002, that the Quarterly Report of Ambarella, Inc. on Form 10-Q for the fiscal quarter ended April 30, 2021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2021</w:t>
      </w:r>
    </w:p>
    <w:p>
      <w:pPr>
        <w:spacing w:after="0" w:line="23"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 Eichler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Kevin C. Eichler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9"/>
    </w:lvl>
  </w:abstractNum>
  <w:abstractNum w:abstractNumId="3">
    <w:nsid w:val="7FDCC233"/>
    <w:multiLevelType w:val="hybridMultilevel"/>
    <w:lvl w:ilvl="0">
      <w:lvlJc w:val="left"/>
      <w:lvlText w:val="%1."/>
      <w:numFmt w:val="decimal"/>
      <w:start w:val="13"/>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79" Type="http://schemas.openxmlformats.org/officeDocument/2006/relationships/hyperlink" Target="http://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2021-06-08T12:03:52Z</dcterms:created>
  <dcterms:modified xsi:type="dcterms:W3CDTF">2021-06-08T12:03:52Z</dcterms:modified>
</cp:coreProperties>
</file>