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80" w:right="140" w:hanging="572"/>
        <w:spacing w:after="0" w:line="245"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80" w:right="140" w:hanging="572"/>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to ______</w:t>
            </w:r>
          </w:p>
        </w:tc>
      </w:tr>
      <w:tr>
        <w:trPr>
          <w:trHeight w:val="20"/>
        </w:trPr>
        <w:tc>
          <w:tcPr>
            <w:tcW w:w="2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345"/>
        </w:trPr>
        <w:tc>
          <w:tcPr>
            <w:tcW w:w="366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AMBARELLA,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198"/>
              <w:spacing w:after="0"/>
              <w:rPr>
                <w:sz w:val="20"/>
                <w:szCs w:val="20"/>
                <w:color w:val="auto"/>
              </w:rPr>
            </w:pPr>
            <w:r>
              <w:rPr>
                <w:rFonts w:ascii="Times New Roman" w:cs="Times New Roman" w:eastAsia="Times New Roman" w:hAnsi="Times New Roman"/>
                <w:sz w:val="18"/>
                <w:szCs w:val="18"/>
                <w:b w:val="1"/>
                <w:bCs w:val="1"/>
                <w:color w:val="auto"/>
              </w:rPr>
              <w:t>98-0459628</w:t>
            </w:r>
          </w:p>
        </w:tc>
        <w:tc>
          <w:tcPr>
            <w:tcW w:w="0" w:type="dxa"/>
            <w:vAlign w:val="bottom"/>
          </w:tcPr>
          <w:p>
            <w:pPr>
              <w:spacing w:after="0"/>
              <w:rPr>
                <w:sz w:val="1"/>
                <w:szCs w:val="1"/>
                <w:color w:val="auto"/>
              </w:rPr>
            </w:pPr>
          </w:p>
        </w:tc>
      </w:tr>
      <w:tr>
        <w:trPr>
          <w:trHeight w:val="149"/>
        </w:trPr>
        <w:tc>
          <w:tcPr>
            <w:tcW w:w="4500" w:type="dxa"/>
            <w:vAlign w:val="bottom"/>
            <w:gridSpan w:val="2"/>
          </w:tcPr>
          <w:p>
            <w:pPr>
              <w:jc w:val="center"/>
              <w:ind w:left="109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jc w:val="center"/>
              <w:ind w:right="165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3001 Tasman Drive</w:t>
            </w: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Santa Clara, California</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398"/>
              <w:spacing w:after="0"/>
              <w:rPr>
                <w:sz w:val="20"/>
                <w:szCs w:val="20"/>
                <w:color w:val="auto"/>
              </w:rPr>
            </w:pPr>
            <w:r>
              <w:rPr>
                <w:rFonts w:ascii="Times New Roman" w:cs="Times New Roman" w:eastAsia="Times New Roman" w:hAnsi="Times New Roman"/>
                <w:sz w:val="18"/>
                <w:szCs w:val="18"/>
                <w:b w:val="1"/>
                <w:bCs w:val="1"/>
                <w:color w:val="auto"/>
              </w:rPr>
              <w:t>95054</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2"/>
        </w:trPr>
        <w:tc>
          <w:tcPr>
            <w:tcW w:w="3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(408) 734-8888</w:t>
            </w: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36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8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2"/>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62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5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$0.00045 Par Value Per Share</w:t>
            </w:r>
          </w:p>
        </w:tc>
        <w:tc>
          <w:tcPr>
            <w:tcW w:w="620" w:type="dxa"/>
            <w:vAlign w:val="bottom"/>
            <w:tcBorders>
              <w:bottom w:val="single" w:sz="8" w:color="auto"/>
            </w:tcBorders>
          </w:tcPr>
          <w:p>
            <w:pPr>
              <w:spacing w:after="0"/>
              <w:rPr>
                <w:sz w:val="22"/>
                <w:szCs w:val="22"/>
                <w:color w:val="auto"/>
              </w:rPr>
            </w:pPr>
          </w:p>
        </w:tc>
        <w:tc>
          <w:tcPr>
            <w:tcW w:w="3040" w:type="dxa"/>
            <w:vAlign w:val="bottom"/>
            <w:tcBorders>
              <w:bottom w:val="single" w:sz="8" w:color="auto"/>
              <w:right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3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9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9"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560"/>
        <w:spacing w:after="0" w:line="26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ordinary shares of the Registrant outstanding as of August 31, 2025 was 42,689,006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828040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412"/>
        </w:trPr>
        <w:tc>
          <w:tcPr>
            <w:tcW w:w="98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8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3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740" w:type="dxa"/>
            <w:vAlign w:val="bottom"/>
            <w:gridSpan w:val="6"/>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at July 31, 2025 and January 31, 2025</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and six months ended July 31, 2025 and 2024</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8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90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Comprehensive Loss for the three and six months ended July 31, 2025 and</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94"/>
              </w:rPr>
              <w:t>2024</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318"/>
        </w:trPr>
        <w:tc>
          <w:tcPr>
            <w:tcW w:w="800" w:type="dxa"/>
            <w:vAlign w:val="bottom"/>
          </w:tcPr>
          <w:p>
            <w:pPr>
              <w:spacing w:after="0"/>
              <w:rPr>
                <w:sz w:val="24"/>
                <w:szCs w:val="24"/>
                <w:color w:val="auto"/>
              </w:rPr>
            </w:pPr>
          </w:p>
        </w:tc>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Shareholders’ Equity for the three and six months ended July 31, 2025 and</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8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3"/>
              </w:rPr>
              <w:t>2024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six months ended July 31, 2025 and 2024</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4740" w:type="dxa"/>
            <w:vAlign w:val="bottom"/>
            <w:tcBorders>
              <w:left w:val="single" w:sz="8" w:color="0000FF"/>
            </w:tcBorders>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800" w:type="dxa"/>
            <w:vAlign w:val="bottom"/>
            <w:tcBorders>
              <w:right w:val="single" w:sz="8" w:color="0000FF"/>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439"/>
        </w:trPr>
        <w:tc>
          <w:tcPr>
            <w:tcW w:w="98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8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0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40" w:type="dxa"/>
            <w:vAlign w:val="bottom"/>
            <w:gridSpan w:val="7"/>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5"/>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5"/>
            <w:shd w:val="clear" w:color="auto" w:fill="0000FF"/>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780" w:type="dxa"/>
            <w:vAlign w:val="bottom"/>
            <w:gridSpan w:val="10"/>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480" w:type="dxa"/>
            <w:vAlign w:val="bottom"/>
            <w:gridSpan w:val="1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318"/>
        </w:trPr>
        <w:tc>
          <w:tcPr>
            <w:tcW w:w="8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9040" w:type="dxa"/>
            <w:vAlign w:val="bottom"/>
            <w:gridSpan w:val="16"/>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86"/>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142,739</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118,444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706,431</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129,911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Preference shares, $0.00045 par value per share, 20,000,000 shares authorized and no shares issued</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 at July 31, 2025 and January 31, 2025, respectively</w:t>
            </w:r>
          </w:p>
        </w:tc>
        <w:tc>
          <w:tcPr>
            <w:tcW w:w="32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Ordinary shares, $0.00045 par value per share, 200,000,000 shares authorized; 42,674,711 and</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41,963,959 shares issued and outstanding at July 31, 2025 and January 31, 2025, respectively</w:t>
            </w: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(296,380)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(252,057)</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576,520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706,431</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-4088130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-3256915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42"/>
        </w:trPr>
        <w:tc>
          <w:tcPr>
            <w:tcW w:w="5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95,511</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63,724</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181,383</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118,197</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46,296</w:t>
            </w:r>
          </w:p>
        </w:tc>
        <w:tc>
          <w:tcPr>
            <w:tcW w:w="100" w:type="dxa"/>
            <w:vAlign w:val="bottom"/>
          </w:tcPr>
          <w:p>
            <w:pPr>
              <w:spacing w:after="0"/>
              <w:rPr>
                <w:sz w:val="18"/>
                <w:szCs w:val="18"/>
                <w:color w:val="auto"/>
              </w:rPr>
            </w:pP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56,231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56,760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118,553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110,897</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36,736</w:t>
            </w:r>
          </w:p>
        </w:tc>
        <w:tc>
          <w:tcPr>
            <w:tcW w:w="100" w:type="dxa"/>
            <w:vAlign w:val="bottom"/>
          </w:tcPr>
          <w:p>
            <w:pPr>
              <w:spacing w:after="0"/>
              <w:rPr>
                <w:sz w:val="18"/>
                <w:szCs w:val="18"/>
                <w:color w:val="auto"/>
              </w:rPr>
            </w:pP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75,028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155,614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(75,732)</w:t>
            </w: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(71,316)</w:t>
            </w: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(34,889)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(44,323)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(72,821)</w:t>
            </w:r>
          </w:p>
        </w:tc>
      </w:tr>
      <w:tr>
        <w:trPr>
          <w:trHeight w:val="20"/>
        </w:trPr>
        <w:tc>
          <w:tcPr>
            <w:tcW w:w="5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ordinary shareholders:</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5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70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5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2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(0.85)</w:t>
            </w:r>
          </w:p>
        </w:tc>
        <w:tc>
          <w:tcPr>
            <w:tcW w:w="2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(1.78)</w:t>
            </w:r>
          </w:p>
        </w:tc>
      </w:tr>
      <w:tr>
        <w:trPr>
          <w:trHeight w:val="178"/>
        </w:trPr>
        <w:tc>
          <w:tcPr>
            <w:tcW w:w="570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w:t>
            </w:r>
          </w:p>
        </w:tc>
        <w:tc>
          <w:tcPr>
            <w:tcW w:w="3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shareholders: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5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42,546,979</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41,129,754</w:t>
            </w:r>
          </w:p>
        </w:tc>
        <w:tc>
          <w:tcPr>
            <w:tcW w:w="1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42,383,475</w:t>
            </w:r>
          </w:p>
        </w:tc>
        <w:tc>
          <w:tcPr>
            <w:tcW w:w="1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40,952,373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57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42,546,979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41,129,754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42,383,475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40,952,373</w:t>
            </w:r>
          </w:p>
        </w:tc>
        <w:tc>
          <w:tcPr>
            <w:tcW w:w="10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-2365375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-2365375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-2365375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-1799590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-1799590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-1799590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-1517015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-1517015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-1517015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-1517015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-1233805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-1233805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-1233805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-624840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-608330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-624840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-608330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-624840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-608330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-187960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42"/>
        </w:trPr>
        <w:tc>
          <w:tcPr>
            <w:tcW w:w="4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(19,995)</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(34,889)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(44,323)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(72,821)</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(20,262)</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(34,482)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(44,031)</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(72,803)</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-316865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-316865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-316865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920" w:type="dxa"/>
            <w:vAlign w:val="bottom"/>
            <w:gridSpan w:val="4"/>
          </w:tcPr>
          <w:p>
            <w:pPr>
              <w:jc w:val="center"/>
              <w:ind w:left="11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920" w:type="dxa"/>
            <w:vAlign w:val="bottom"/>
            <w:gridSpan w:val="4"/>
            <w:vMerge w:val="restart"/>
          </w:tcPr>
          <w:p>
            <w:pPr>
              <w:jc w:val="center"/>
              <w:ind w:left="110"/>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920" w:type="dxa"/>
            <w:vAlign w:val="bottom"/>
            <w:tcBorders>
              <w:bottom w:val="single" w:sz="8" w:color="auto"/>
            </w:tcBorders>
            <w:gridSpan w:val="4"/>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60" w:type="dxa"/>
            <w:vAlign w:val="bottom"/>
          </w:tcPr>
          <w:p>
            <w:pPr>
              <w:spacing w:after="0"/>
              <w:rPr>
                <w:sz w:val="12"/>
                <w:szCs w:val="12"/>
                <w:color w:val="auto"/>
              </w:rPr>
            </w:pPr>
          </w:p>
        </w:tc>
        <w:tc>
          <w:tcPr>
            <w:tcW w:w="9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80" w:type="dxa"/>
            <w:vAlign w:val="bottom"/>
          </w:tcPr>
          <w:p>
            <w:pPr>
              <w:spacing w:after="0"/>
              <w:rPr>
                <w:sz w:val="12"/>
                <w:szCs w:val="12"/>
                <w:color w:val="auto"/>
              </w:rPr>
            </w:pPr>
          </w:p>
        </w:tc>
        <w:tc>
          <w:tcPr>
            <w:tcW w:w="11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Balance--January 31,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41,963,959</w:t>
            </w: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57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813,683</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(233)</w:t>
            </w:r>
          </w:p>
        </w:tc>
        <w:tc>
          <w:tcPr>
            <w:tcW w:w="2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(252,057)</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561,412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375,046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98,755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4,479</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repurchase</w:t>
            </w: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(24,152)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 net of tax</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(24,328)</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(24,328)</w:t>
            </w:r>
          </w:p>
        </w:tc>
        <w:tc>
          <w:tcPr>
            <w:tcW w:w="0" w:type="dxa"/>
            <w:vAlign w:val="bottom"/>
          </w:tcPr>
          <w:p>
            <w:pPr>
              <w:spacing w:after="0"/>
              <w:rPr>
                <w:sz w:val="1"/>
                <w:szCs w:val="1"/>
                <w:color w:val="auto"/>
              </w:rPr>
            </w:pPr>
          </w:p>
        </w:tc>
      </w:tr>
      <w:tr>
        <w:trPr>
          <w:trHeight w:val="142"/>
        </w:trPr>
        <w:tc>
          <w:tcPr>
            <w:tcW w:w="46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Balance--April 30, 2025</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42,413,608</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848,756</w:t>
            </w:r>
          </w:p>
        </w:tc>
        <w:tc>
          <w:tcPr>
            <w:tcW w:w="220" w:type="dxa"/>
            <w:vAlign w:val="bottom"/>
            <w:tcBorders>
              <w:top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326</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(276,385)</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572,716</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20" w:type="dxa"/>
            <w:vAlign w:val="bottom"/>
            <w:shd w:val="clear" w:color="auto" w:fill="CFF0FC"/>
          </w:tcPr>
          <w:p>
            <w:pPr>
              <w:ind w:left="100"/>
              <w:spacing w:after="0" w:line="12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261,103</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170</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23,896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 net of tax</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(19,995)</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(19,995)</w:t>
            </w:r>
          </w:p>
        </w:tc>
        <w:tc>
          <w:tcPr>
            <w:tcW w:w="0" w:type="dxa"/>
            <w:vAlign w:val="bottom"/>
          </w:tcPr>
          <w:p>
            <w:pPr>
              <w:spacing w:after="0"/>
              <w:rPr>
                <w:sz w:val="1"/>
                <w:szCs w:val="1"/>
                <w:color w:val="auto"/>
              </w:rPr>
            </w:pPr>
          </w:p>
        </w:tc>
      </w:tr>
      <w:tr>
        <w:trPr>
          <w:trHeight w:val="182"/>
        </w:trPr>
        <w:tc>
          <w:tcPr>
            <w:tcW w:w="4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Balance--July 31, 2025</w:t>
            </w: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42,674,711</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ind w:right="573"/>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872,822</w:t>
            </w: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33"/>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(296,380)</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576,520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4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920" w:type="dxa"/>
            <w:vAlign w:val="bottom"/>
            <w:gridSpan w:val="4"/>
          </w:tcPr>
          <w:p>
            <w:pPr>
              <w:jc w:val="center"/>
              <w:ind w:left="11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920" w:type="dxa"/>
            <w:vAlign w:val="bottom"/>
            <w:gridSpan w:val="4"/>
            <w:vMerge w:val="restart"/>
          </w:tcPr>
          <w:p>
            <w:pPr>
              <w:jc w:val="center"/>
              <w:ind w:left="110"/>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920" w:type="dxa"/>
            <w:vAlign w:val="bottom"/>
            <w:tcBorders>
              <w:bottom w:val="single" w:sz="8" w:color="auto"/>
            </w:tcBorders>
            <w:gridSpan w:val="4"/>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60" w:type="dxa"/>
            <w:vAlign w:val="bottom"/>
          </w:tcPr>
          <w:p>
            <w:pPr>
              <w:spacing w:after="0"/>
              <w:rPr>
                <w:sz w:val="12"/>
                <w:szCs w:val="12"/>
                <w:color w:val="auto"/>
              </w:rPr>
            </w:pPr>
          </w:p>
        </w:tc>
        <w:tc>
          <w:tcPr>
            <w:tcW w:w="9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80" w:type="dxa"/>
            <w:vAlign w:val="bottom"/>
          </w:tcPr>
          <w:p>
            <w:pPr>
              <w:spacing w:after="0"/>
              <w:rPr>
                <w:sz w:val="12"/>
                <w:szCs w:val="12"/>
                <w:color w:val="auto"/>
              </w:rPr>
            </w:pPr>
          </w:p>
        </w:tc>
        <w:tc>
          <w:tcPr>
            <w:tcW w:w="11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Balance--January 31, 2024</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40,520,558</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573"/>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694,967</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(183)</w:t>
            </w:r>
          </w:p>
        </w:tc>
        <w:tc>
          <w:tcPr>
            <w:tcW w:w="26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(134,931)</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559,871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367,413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97,074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 net of tax</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(37,932)</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(37,932)</w:t>
            </w:r>
          </w:p>
        </w:tc>
        <w:tc>
          <w:tcPr>
            <w:tcW w:w="0" w:type="dxa"/>
            <w:vAlign w:val="bottom"/>
          </w:tcPr>
          <w:p>
            <w:pPr>
              <w:spacing w:after="0"/>
              <w:rPr>
                <w:sz w:val="1"/>
                <w:szCs w:val="1"/>
                <w:color w:val="auto"/>
              </w:rPr>
            </w:pPr>
          </w:p>
        </w:tc>
      </w:tr>
      <w:tr>
        <w:trPr>
          <w:trHeight w:val="182"/>
        </w:trPr>
        <w:tc>
          <w:tcPr>
            <w:tcW w:w="4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Balance--April 30, 2024</w:t>
            </w: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40,985,045</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728,842</w:t>
            </w: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(572)</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(172,863)</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555,425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62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287,626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1,014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25,593</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 net of tax</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(34,889)</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(34,889)</w:t>
            </w:r>
          </w:p>
        </w:tc>
        <w:tc>
          <w:tcPr>
            <w:tcW w:w="0" w:type="dxa"/>
            <w:vAlign w:val="bottom"/>
          </w:tcPr>
          <w:p>
            <w:pPr>
              <w:spacing w:after="0"/>
              <w:rPr>
                <w:sz w:val="1"/>
                <w:szCs w:val="1"/>
                <w:color w:val="auto"/>
              </w:rPr>
            </w:pPr>
          </w:p>
        </w:tc>
      </w:tr>
      <w:tr>
        <w:trPr>
          <w:trHeight w:val="142"/>
        </w:trPr>
        <w:tc>
          <w:tcPr>
            <w:tcW w:w="46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Balance--July 31, 2024</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41,272,671</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573"/>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755,449</w:t>
            </w:r>
          </w:p>
        </w:tc>
        <w:tc>
          <w:tcPr>
            <w:tcW w:w="220" w:type="dxa"/>
            <w:vAlign w:val="bottom"/>
            <w:tcBorders>
              <w:top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(165)</w:t>
            </w:r>
          </w:p>
        </w:tc>
        <w:tc>
          <w:tcPr>
            <w:tcW w:w="1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33"/>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(207,752)</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547,551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-2485390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-2485390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-2485390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-2485390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-2485390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-1876425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-1859280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-1876425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-1859280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-1876425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-1859280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-1876425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-1859280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-1876425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-1859280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-530860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-513715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-530860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-513715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-530860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-513715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-530860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-513715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-530860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-513715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-127635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-127635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-127635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-127635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-127635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0" w:type="dxa"/>
            <w:vAlign w:val="bottom"/>
          </w:tcPr>
          <w:p>
            <w:pPr>
              <w:spacing w:after="0"/>
              <w:rPr>
                <w:sz w:val="15"/>
                <w:szCs w:val="15"/>
                <w:color w:val="auto"/>
              </w:rPr>
            </w:pPr>
          </w:p>
        </w:tc>
        <w:tc>
          <w:tcPr>
            <w:tcW w:w="272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8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96"/>
        </w:trPr>
        <w:tc>
          <w:tcPr>
            <w:tcW w:w="78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900" w:type="dxa"/>
            <w:vAlign w:val="bottom"/>
          </w:tcPr>
          <w:p>
            <w:pPr>
              <w:jc w:val="right"/>
              <w:ind w:right="78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(44,323)</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(72,821)</w:t>
            </w:r>
          </w:p>
        </w:tc>
      </w:tr>
      <w:tr>
        <w:trPr>
          <w:trHeight w:val="203"/>
        </w:trPr>
        <w:tc>
          <w:tcPr>
            <w:tcW w:w="78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12,755</w:t>
            </w:r>
          </w:p>
        </w:tc>
        <w:tc>
          <w:tcPr>
            <w:tcW w:w="120" w:type="dxa"/>
            <w:vAlign w:val="bottom"/>
          </w:tcPr>
          <w:p>
            <w:pPr>
              <w:spacing w:after="0"/>
              <w:rPr>
                <w:sz w:val="17"/>
                <w:szCs w:val="17"/>
                <w:color w:val="auto"/>
              </w:rPr>
            </w:pPr>
          </w:p>
        </w:tc>
      </w:tr>
      <w:tr>
        <w:trPr>
          <w:trHeight w:val="203"/>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Amortization (accretion) of premium (discount) on marketable debt securities, net</w:t>
            </w:r>
          </w:p>
        </w:tc>
        <w:tc>
          <w:tcPr>
            <w:tcW w:w="9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(371)</w:t>
            </w: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Stock-based compensation</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53,648</w:t>
            </w:r>
          </w:p>
        </w:tc>
        <w:tc>
          <w:tcPr>
            <w:tcW w:w="120" w:type="dxa"/>
            <w:vAlign w:val="bottom"/>
          </w:tcPr>
          <w:p>
            <w:pPr>
              <w:spacing w:after="0"/>
              <w:rPr>
                <w:sz w:val="17"/>
                <w:szCs w:val="17"/>
                <w:color w:val="auto"/>
              </w:rPr>
            </w:pPr>
          </w:p>
        </w:tc>
      </w:tr>
      <w:tr>
        <w:trPr>
          <w:trHeight w:val="203"/>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Deferred income taxes</w:t>
            </w:r>
          </w:p>
        </w:tc>
        <w:tc>
          <w:tcPr>
            <w:tcW w:w="9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(174)</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 non-cash items, net</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20" w:type="dxa"/>
            <w:vAlign w:val="bottom"/>
          </w:tcPr>
          <w:p>
            <w:pPr>
              <w:spacing w:after="0"/>
              <w:rPr>
                <w:sz w:val="17"/>
                <w:szCs w:val="17"/>
                <w:color w:val="auto"/>
              </w:rPr>
            </w:pPr>
          </w:p>
        </w:tc>
      </w:tr>
      <w:tr>
        <w:trPr>
          <w:trHeight w:val="203"/>
        </w:trPr>
        <w:tc>
          <w:tcPr>
            <w:tcW w:w="78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receivable</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(13,129)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w:t>
            </w:r>
          </w:p>
        </w:tc>
        <w:tc>
          <w:tcPr>
            <w:tcW w:w="120" w:type="dxa"/>
            <w:vAlign w:val="bottom"/>
          </w:tcPr>
          <w:p>
            <w:pPr>
              <w:spacing w:after="0"/>
              <w:rPr>
                <w:sz w:val="17"/>
                <w:szCs w:val="17"/>
                <w:color w:val="auto"/>
              </w:rPr>
            </w:pPr>
          </w:p>
        </w:tc>
      </w:tr>
      <w:tr>
        <w:trPr>
          <w:trHeight w:val="202"/>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Inventories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(1,422)</w:t>
            </w: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tcPr>
          <w:p>
            <w:pPr>
              <w:spacing w:after="0"/>
              <w:rPr>
                <w:sz w:val="17"/>
                <w:szCs w:val="17"/>
                <w:color w:val="auto"/>
              </w:rPr>
            </w:pPr>
          </w:p>
        </w:tc>
      </w:tr>
      <w:tr>
        <w:trPr>
          <w:trHeight w:val="203"/>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non-current assets</w:t>
            </w:r>
          </w:p>
        </w:tc>
        <w:tc>
          <w:tcPr>
            <w:tcW w:w="9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payable</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(9,060)</w:t>
            </w:r>
          </w:p>
        </w:tc>
      </w:tr>
      <w:tr>
        <w:trPr>
          <w:trHeight w:val="203"/>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14,692</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Income taxes payable</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(732)</w:t>
            </w:r>
          </w:p>
        </w:tc>
      </w:tr>
      <w:tr>
        <w:trPr>
          <w:trHeight w:val="203"/>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Deferred revenue</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5,307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4,258</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(1,945)</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(1,987)</w:t>
            </w:r>
          </w:p>
        </w:tc>
      </w:tr>
      <w:tr>
        <w:trPr>
          <w:trHeight w:val="203"/>
        </w:trPr>
        <w:tc>
          <w:tcPr>
            <w:tcW w:w="7800" w:type="dxa"/>
            <w:vAlign w:val="bottom"/>
            <w:tcBorders>
              <w:bottom w:val="single" w:sz="8" w:color="CFF0FC"/>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9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1,787</w:t>
            </w:r>
          </w:p>
        </w:tc>
        <w:tc>
          <w:tcPr>
            <w:tcW w:w="120" w:type="dxa"/>
            <w:vAlign w:val="bottom"/>
          </w:tcPr>
          <w:p>
            <w:pPr>
              <w:spacing w:after="0"/>
              <w:rPr>
                <w:sz w:val="17"/>
                <w:szCs w:val="17"/>
                <w:color w:val="auto"/>
              </w:rPr>
            </w:pPr>
          </w:p>
        </w:tc>
      </w:tr>
      <w:tr>
        <w:trPr>
          <w:trHeight w:val="196"/>
        </w:trPr>
        <w:tc>
          <w:tcPr>
            <w:tcW w:w="78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investments</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(34,569)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(8,261)</w:t>
            </w:r>
          </w:p>
        </w:tc>
      </w:tr>
      <w:tr>
        <w:trPr>
          <w:trHeight w:val="203"/>
        </w:trPr>
        <w:tc>
          <w:tcPr>
            <w:tcW w:w="78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Sales of investments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4,647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9,239</w:t>
            </w:r>
          </w:p>
        </w:tc>
        <w:tc>
          <w:tcPr>
            <w:tcW w:w="120" w:type="dxa"/>
            <w:vAlign w:val="bottom"/>
            <w:shd w:val="clear" w:color="auto" w:fill="CFF0FC"/>
          </w:tcPr>
          <w:p>
            <w:pPr>
              <w:spacing w:after="0"/>
              <w:rPr>
                <w:sz w:val="17"/>
                <w:szCs w:val="17"/>
                <w:color w:val="auto"/>
              </w:rPr>
            </w:pPr>
          </w:p>
        </w:tc>
      </w:tr>
      <w:tr>
        <w:trPr>
          <w:trHeight w:val="216"/>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8,475</w:t>
            </w:r>
          </w:p>
        </w:tc>
        <w:tc>
          <w:tcPr>
            <w:tcW w:w="120" w:type="dxa"/>
            <w:vAlign w:val="bottom"/>
          </w:tcPr>
          <w:p>
            <w:pPr>
              <w:spacing w:after="0"/>
              <w:rPr>
                <w:sz w:val="18"/>
                <w:szCs w:val="18"/>
                <w:color w:val="auto"/>
              </w:rPr>
            </w:pPr>
          </w:p>
        </w:tc>
      </w:tr>
      <w:tr>
        <w:trPr>
          <w:trHeight w:val="203"/>
        </w:trPr>
        <w:tc>
          <w:tcPr>
            <w:tcW w:w="78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Purchase of tangible and intangible assets</w:t>
            </w:r>
          </w:p>
        </w:tc>
        <w:tc>
          <w:tcPr>
            <w:tcW w:w="9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(8,688)</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(3,696)</w:t>
            </w:r>
          </w:p>
        </w:tc>
      </w:tr>
      <w:tr>
        <w:trPr>
          <w:trHeight w:val="20"/>
        </w:trPr>
        <w:tc>
          <w:tcPr>
            <w:tcW w:w="7800" w:type="dxa"/>
            <w:vAlign w:val="bottom"/>
            <w:tcBorders>
              <w:right w:val="single" w:sz="8" w:color="CFF0FC"/>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8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(21,099)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5,757</w:t>
            </w:r>
          </w:p>
        </w:tc>
        <w:tc>
          <w:tcPr>
            <w:tcW w:w="120" w:type="dxa"/>
            <w:vAlign w:val="bottom"/>
          </w:tcPr>
          <w:p>
            <w:pPr>
              <w:spacing w:after="0"/>
              <w:rPr>
                <w:sz w:val="17"/>
                <w:szCs w:val="17"/>
                <w:color w:val="auto"/>
              </w:rPr>
            </w:pPr>
          </w:p>
        </w:tc>
      </w:tr>
      <w:tr>
        <w:trPr>
          <w:trHeight w:val="196"/>
        </w:trPr>
        <w:tc>
          <w:tcPr>
            <w:tcW w:w="78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 repurchase</w:t>
            </w:r>
          </w:p>
        </w:tc>
        <w:tc>
          <w:tcPr>
            <w:tcW w:w="9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78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4,893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5,950</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Long-term financing payment for intangible assets</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(4,549)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(4,483)</w:t>
            </w:r>
          </w:p>
        </w:tc>
      </w:tr>
      <w:tr>
        <w:trPr>
          <w:trHeight w:val="20"/>
        </w:trPr>
        <w:tc>
          <w:tcPr>
            <w:tcW w:w="7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800" w:type="dxa"/>
            <w:vAlign w:val="bottom"/>
            <w:tcBorders>
              <w:right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9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(656)</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1,467</w:t>
            </w:r>
          </w:p>
        </w:tc>
        <w:tc>
          <w:tcPr>
            <w:tcW w:w="120" w:type="dxa"/>
            <w:vAlign w:val="bottom"/>
            <w:shd w:val="clear" w:color="auto" w:fill="CFF0FC"/>
          </w:tcPr>
          <w:p>
            <w:pPr>
              <w:spacing w:after="0"/>
              <w:rPr>
                <w:sz w:val="17"/>
                <w:szCs w:val="17"/>
                <w:color w:val="auto"/>
              </w:rPr>
            </w:pPr>
          </w:p>
        </w:tc>
      </w:tr>
      <w:tr>
        <w:trPr>
          <w:trHeight w:val="20"/>
        </w:trPr>
        <w:tc>
          <w:tcPr>
            <w:tcW w:w="7800" w:type="dxa"/>
            <w:vAlign w:val="bottom"/>
            <w:tcBorders>
              <w:right w:val="single" w:sz="8" w:color="CFF0FC"/>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(1,448)</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9,011</w:t>
            </w:r>
          </w:p>
        </w:tc>
        <w:tc>
          <w:tcPr>
            <w:tcW w:w="120" w:type="dxa"/>
            <w:vAlign w:val="bottom"/>
          </w:tcPr>
          <w:p>
            <w:pPr>
              <w:spacing w:after="0"/>
              <w:rPr>
                <w:sz w:val="17"/>
                <w:szCs w:val="17"/>
                <w:color w:val="auto"/>
              </w:rPr>
            </w:pPr>
          </w:p>
        </w:tc>
      </w:tr>
      <w:tr>
        <w:trPr>
          <w:trHeight w:val="203"/>
        </w:trPr>
        <w:tc>
          <w:tcPr>
            <w:tcW w:w="780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9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144,629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144,921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900" w:type="dxa"/>
            <w:vAlign w:val="bottom"/>
          </w:tcPr>
          <w:p>
            <w:pPr>
              <w:jc w:val="right"/>
              <w:ind w:right="78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143,181</w:t>
            </w:r>
          </w:p>
        </w:tc>
        <w:tc>
          <w:tcPr>
            <w:tcW w:w="160" w:type="dxa"/>
            <w:vAlign w:val="bottom"/>
          </w:tcPr>
          <w:p>
            <w:pPr>
              <w:spacing w:after="0"/>
              <w:rPr>
                <w:sz w:val="17"/>
                <w:szCs w:val="17"/>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153,932</w:t>
            </w:r>
          </w:p>
        </w:tc>
        <w:tc>
          <w:tcPr>
            <w:tcW w:w="12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800" w:type="dxa"/>
            <w:vAlign w:val="bottom"/>
            <w:tcBorders>
              <w:right w:val="single" w:sz="8" w:color="CFF0FC"/>
            </w:tcBorders>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9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900" w:type="dxa"/>
            <w:vAlign w:val="bottom"/>
          </w:tcPr>
          <w:p>
            <w:pPr>
              <w:jc w:val="right"/>
              <w:ind w:right="78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60" w:type="dxa"/>
            <w:vAlign w:val="bottom"/>
          </w:tcPr>
          <w:p>
            <w:pPr>
              <w:spacing w:after="0"/>
              <w:rPr>
                <w:sz w:val="17"/>
                <w:szCs w:val="17"/>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12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800" w:type="dxa"/>
            <w:vAlign w:val="bottom"/>
            <w:tcBorders>
              <w:right w:val="single" w:sz="8" w:color="CFF0FC"/>
            </w:tcBorders>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noncash investing activities:</w:t>
            </w:r>
          </w:p>
        </w:tc>
        <w:tc>
          <w:tcPr>
            <w:tcW w:w="9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Unpaid liabilities related to tangible and intangible assets purchases</w:t>
            </w:r>
          </w:p>
        </w:tc>
        <w:tc>
          <w:tcPr>
            <w:tcW w:w="900" w:type="dxa"/>
            <w:vAlign w:val="bottom"/>
          </w:tcPr>
          <w:p>
            <w:pPr>
              <w:jc w:val="right"/>
              <w:ind w:right="78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2,227</w:t>
            </w:r>
          </w:p>
        </w:tc>
        <w:tc>
          <w:tcPr>
            <w:tcW w:w="160" w:type="dxa"/>
            <w:vAlign w:val="bottom"/>
          </w:tcPr>
          <w:p>
            <w:pPr>
              <w:spacing w:after="0"/>
              <w:rPr>
                <w:sz w:val="17"/>
                <w:szCs w:val="17"/>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2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-2596515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-2596515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-1799590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-1799590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-993775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-728345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left="480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Ambarella, Inc. (the Company) was incorporated in the Cayman Islands on January 15, 2004. The Company is a leading developer of low-power semiconductor solutions offering powerful artificial intelligence (AI) processing, advanced image signal processing, and high-definition (HD) and Ultra HD compression.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products fully integrate high-definition video processing, image processing, AI algorithms, audio processing and system functions onto a single chip. These low power SoCs deliver exceptional video and image quality and can extract valuable data from high-resolution video and radar streams. The Company is currently addressing a broad range of human and AI applications, including video security, advanced driver assistance systems (ADAS), electronic mirrors, drive recorders, driver/cabin monitoring systems, autonomous driving, and industrial and robotic applications.</w:t>
      </w:r>
    </w:p>
    <w:p>
      <w:pPr>
        <w:spacing w:after="0" w:line="18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sells its solutions to leading original equipment manufacturers, or OEMs, who include the Company’s SoCs in their products, and original design manufacturers, or ODMs, who include the Company’s SoCs in the products that they supply to OEMs, globally.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2025 fiscal year filed with the SEC on March 28, 2025 (the Form 10-K) and updated, as necessary, in this Form 10-Q. The year-end condensed consolidated balance sheet data presented for comparative purposes was derived from audited financial statements.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7"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Company’s significant accounting policies described in Note 1, </w:t>
      </w:r>
      <w:r>
        <w:rPr>
          <w:rFonts w:ascii="Times New Roman" w:cs="Times New Roman" w:eastAsia="Times New Roman" w:hAnsi="Times New Roman"/>
          <w:sz w:val="18"/>
          <w:szCs w:val="18"/>
          <w:i w:val="1"/>
          <w:iCs w:val="1"/>
          <w:color w:val="auto"/>
        </w:rPr>
        <w:t>Organization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of the Notes to Consolidated Financial Statements included in the Company’s Annual Report on Form 10-K for the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January 31, 2025.</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 w:name="page9"/>
    <w:bookmarkEnd w:id="8"/>
    <w:p>
      <w:pPr>
        <w:ind w:right="320" w:firstLine="554"/>
        <w:spacing w:after="0" w:line="256" w:lineRule="auto"/>
        <w:rPr>
          <w:sz w:val="20"/>
          <w:szCs w:val="20"/>
          <w:color w:val="auto"/>
        </w:rPr>
      </w:pPr>
      <w:r>
        <w:rPr>
          <w:rFonts w:ascii="Times New Roman" w:cs="Times New Roman" w:eastAsia="Times New Roman" w:hAnsi="Times New Roman"/>
          <w:sz w:val="18"/>
          <w:szCs w:val="18"/>
          <w:color w:val="auto"/>
        </w:rPr>
        <w:t>A substantial portion of the Company’s revenue is derived from sales through two of its distributors, WT Microelectronics Co., Ltd., formerly Wintech Microelectronics Co., Ltd., or WT, which serves as its non-exclusive sales representative and fulfillment partner in Asia other than Japan, and Hakuto Co., Ltd., or Hakuto, a Japanese distributor, and to one ODM, Chicony Electronics Co., Ltd., or Chicony, which manufactures devices incorporating the Company’s solutions on behalf of multiple end-customers. Termination of the relationships with these customers could result in a temporary or permanent loss of revenue. Furthermore, any credit issues from these customers could impair their abilities to make timely payment to the Company. See Note 15 for additional information regarding revenue and credit concentration with these customers.</w:t>
      </w:r>
    </w:p>
    <w:p>
      <w:pPr>
        <w:spacing w:after="0" w:line="187" w:lineRule="exact"/>
        <w:rPr>
          <w:sz w:val="20"/>
          <w:szCs w:val="20"/>
          <w:color w:val="auto"/>
        </w:rPr>
      </w:pPr>
    </w:p>
    <w:p>
      <w:pPr>
        <w:ind w:right="40" w:firstLine="55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fixed deposits, corporate bonds, asset-backed securities and U.S. government securities which management assesses to be highly liquid. The Company does not hold or issue financial instruments for trading purposes.</w:t>
      </w:r>
    </w:p>
    <w:p>
      <w:pPr>
        <w:spacing w:after="0" w:line="187"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the first quarter of fiscal year 2026, the Company entered into a Letter of Credit of approximately $0.4 million with a financial institution as collateral for the security deposit on its new office lease located in Santa Clara, California. Refer to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Notes to Consolidated Financial Statements for detailed lease information included in the Company’s Annual Report on Form 10-K for the fiscal year ended January 31, 2025 . The Letter of Credit is irrevocable for one year, during which the Company has the obligation to maintain the full amount of the Letter of Credit. The restricted cash also includes those amounts required to be set aside to secure certain transactions in a foreign entity. The following table presents cash, cash equivalents and restricted cash reported on the condensed consolidated balance sheets, and the totals are presented on the condensed consolidated statements of cash flows: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278"/>
              <w:spacing w:after="0" w:line="118" w:lineRule="exact"/>
              <w:rPr>
                <w:sz w:val="20"/>
                <w:szCs w:val="20"/>
                <w:color w:val="auto"/>
              </w:rPr>
            </w:pPr>
            <w:r>
              <w:rPr>
                <w:rFonts w:ascii="Times New Roman" w:cs="Times New Roman" w:eastAsia="Times New Roman" w:hAnsi="Times New Roman"/>
                <w:sz w:val="13"/>
                <w:szCs w:val="13"/>
                <w:b w:val="1"/>
                <w:bCs w:val="1"/>
                <w:color w:val="auto"/>
              </w:rPr>
              <w:t>July 31,</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161"/>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ind w:right="278"/>
              <w:spacing w:after="0" w:line="118" w:lineRule="exact"/>
              <w:rPr>
                <w:sz w:val="20"/>
                <w:szCs w:val="20"/>
                <w:color w:val="auto"/>
              </w:rPr>
            </w:pPr>
            <w:r>
              <w:rPr>
                <w:rFonts w:ascii="Times New Roman" w:cs="Times New Roman" w:eastAsia="Times New Roman" w:hAnsi="Times New Roman"/>
                <w:sz w:val="13"/>
                <w:szCs w:val="13"/>
                <w:b w:val="1"/>
                <w:bCs w:val="1"/>
                <w:color w:val="auto"/>
              </w:rPr>
              <w:t>July 31,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21"/>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320" w:type="dxa"/>
            <w:vAlign w:val="bottom"/>
            <w:gridSpan w:val="3"/>
          </w:tcPr>
          <w:p>
            <w:pPr>
              <w:jc w:val="right"/>
              <w:ind w:right="738"/>
              <w:spacing w:after="0" w:line="155"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142,739</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144,622</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153,925</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144,914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80" w:type="dxa"/>
            <w:vAlign w:val="bottom"/>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as presented in the condensed consolidated</w:t>
            </w:r>
          </w:p>
        </w:tc>
        <w:tc>
          <w:tcPr>
            <w:tcW w:w="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143,181</w:t>
            </w:r>
          </w:p>
        </w:tc>
        <w:tc>
          <w:tcPr>
            <w:tcW w:w="3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144,629</w:t>
            </w:r>
          </w:p>
        </w:tc>
        <w:tc>
          <w:tcPr>
            <w:tcW w:w="3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153,932</w:t>
            </w:r>
          </w:p>
        </w:tc>
        <w:tc>
          <w:tcPr>
            <w:tcW w:w="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144,921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CFF0FC"/>
          </w:tcPr>
          <w:p>
            <w:pPr>
              <w:ind w:left="60"/>
              <w:spacing w:after="0" w:line="194" w:lineRule="exact"/>
              <w:rPr>
                <w:sz w:val="20"/>
                <w:szCs w:val="20"/>
                <w:color w:val="auto"/>
              </w:rPr>
            </w:pPr>
            <w:r>
              <w:rPr>
                <w:rFonts w:ascii="Times New Roman" w:cs="Times New Roman" w:eastAsia="Times New Roman" w:hAnsi="Times New Roman"/>
                <w:sz w:val="18"/>
                <w:szCs w:val="18"/>
                <w:color w:val="auto"/>
              </w:rPr>
              <w:t>statements of cash flows</w:t>
            </w:r>
          </w:p>
        </w:tc>
        <w:tc>
          <w:tcPr>
            <w:tcW w:w="300" w:type="dxa"/>
            <w:vAlign w:val="bottom"/>
            <w:gridSpan w:val="2"/>
            <w:vMerge w:val="continue"/>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300" w:type="dxa"/>
            <w:vAlign w:val="bottom"/>
            <w:gridSpan w:val="2"/>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-24765</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This new guidance requires additional disclosures related to effective tax rate reconciliation, disaggregated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paid and other modified income tax-related disclosures. The ASU shall be applied on a prospective basis with retrospective application permitted, and is effective for annual periods beginning after December 15, 2024. The Company expects to adopt this new guidance for its fiscal period ending January 31, 2026. The Company expects that such adoption will only have an impact on its financial disclosures and does not believe it will have a material impact on its consolidated financial statements.</w:t>
      </w:r>
    </w:p>
    <w:p>
      <w:pPr>
        <w:spacing w:after="0" w:line="18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new guidance requires public entities to provide disaggregated disclosures,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financial statements, of certain categories of expenses that are included in expense line items on the face of income statement. The ASU may be applied prospectively or retrospectively and is effective for fiscal years beginning after December 15, 2026 and for interim periods beginning after December 15, 2027. Early adoption is permitted. The Company is currently evaluating the impact of adoption of this new guidance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new guidance simplifies the estimation of credit losses on current accounts receivable and current contract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arising from transactions accounted for under </w:t>
      </w:r>
      <w:r>
        <w:rPr>
          <w:rFonts w:ascii="Times New Roman" w:cs="Times New Roman" w:eastAsia="Times New Roman" w:hAnsi="Times New Roman"/>
          <w:sz w:val="18"/>
          <w:szCs w:val="18"/>
          <w:i w:val="1"/>
          <w:iCs w:val="1"/>
          <w:color w:val="auto"/>
        </w:rPr>
        <w:t>ASC 606, Revenue from Contracts with Customers</w:t>
      </w:r>
      <w:r>
        <w:rPr>
          <w:rFonts w:ascii="Times New Roman" w:cs="Times New Roman" w:eastAsia="Times New Roman" w:hAnsi="Times New Roman"/>
          <w:sz w:val="18"/>
          <w:szCs w:val="18"/>
          <w:color w:val="auto"/>
        </w:rPr>
        <w:t>, and allows all entities to elect a practical expedient to assume that the current conditions as of the balance sheet date will remain unchanged for the remaining life of the asset when developing a reasonable and supportable forecast as part of estimating expected credit losses on these assets. The new guidance is effective for fiscal years beginning after December 15, 2025, and interim periods within those fiscal years. Early adoption is permitted. The Company is currently evaluating the impact of adoption of this new guidance on its consolidated financial statements and disclosures.</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9"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w:t>
      </w:r>
    </w:p>
    <w:p>
      <w:pPr>
        <w:spacing w:after="0" w:line="121" w:lineRule="exact"/>
        <w:rPr>
          <w:sz w:val="20"/>
          <w:szCs w:val="20"/>
          <w:color w:val="auto"/>
        </w:rPr>
      </w:pPr>
    </w:p>
    <w:p>
      <w:pPr>
        <w:ind w:right="340" w:firstLine="554"/>
        <w:spacing w:after="0" w:line="266" w:lineRule="auto"/>
        <w:rPr>
          <w:sz w:val="20"/>
          <w:szCs w:val="20"/>
          <w:color w:val="auto"/>
        </w:rPr>
      </w:pPr>
      <w:r>
        <w:rPr>
          <w:rFonts w:ascii="Times New Roman" w:cs="Times New Roman" w:eastAsia="Times New Roman" w:hAnsi="Times New Roman"/>
          <w:sz w:val="18"/>
          <w:szCs w:val="18"/>
          <w:color w:val="auto"/>
        </w:rPr>
        <w:t>The Company invests a portion of its cash in money market funds, fixed deposits and marketable debt securities that are denominated in United States dollars. The marketable debt security portfolio consists of corporate bonds, asset-backed securities and U.S. government securities. All of the investments are classified as available-for-sale securities and reported at fair value in the condensed consolidated balance sheets as follows: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July 31, 2025</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5"/>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center"/>
              <w:ind w:left="1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Fixed deposits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61,601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126,247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spacing w:after="0"/>
              <w:rPr>
                <w:sz w:val="17"/>
                <w:szCs w:val="17"/>
                <w:color w:val="auto"/>
              </w:rPr>
            </w:pPr>
          </w:p>
        </w:tc>
        <w:tc>
          <w:tcPr>
            <w:tcW w:w="1020" w:type="dxa"/>
            <w:vAlign w:val="bottom"/>
            <w:gridSpan w:val="2"/>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5"/>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As of January 31, 2025</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5"/>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center"/>
              <w:ind w:left="1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Fixed deposits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-1567815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-1567815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-1567815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-1567815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4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breakdown of unrealized losses as of July 31, 2025 and January 31, 2025, respectively, aggregated by investment category and length of time that individual securities have been in a continuous loss position: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 of July 31, 2025</w:t>
            </w: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5"/>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center"/>
              <w:ind w:left="196"/>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gridSpan w:val="2"/>
          </w:tcPr>
          <w:p>
            <w:pPr>
              <w:jc w:val="right"/>
              <w:ind w:right="268"/>
              <w:spacing w:after="0" w:line="124"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20,568</w:t>
            </w:r>
          </w:p>
        </w:tc>
        <w:tc>
          <w:tcPr>
            <w:tcW w:w="14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gridSpan w:val="2"/>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54,284</w:t>
            </w:r>
          </w:p>
        </w:tc>
        <w:tc>
          <w:tcPr>
            <w:tcW w:w="140" w:type="dxa"/>
            <w:vAlign w:val="bottom"/>
            <w:shd w:val="clear" w:color="auto" w:fill="CFF0FC"/>
          </w:tcPr>
          <w:p>
            <w:pPr>
              <w:spacing w:after="0"/>
              <w:rPr>
                <w:sz w:val="16"/>
                <w:szCs w:val="16"/>
                <w:color w:val="auto"/>
              </w:rPr>
            </w:pPr>
          </w:p>
        </w:tc>
        <w:tc>
          <w:tcPr>
            <w:tcW w:w="2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90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57,026</w:t>
            </w:r>
          </w:p>
        </w:tc>
        <w:tc>
          <w:tcPr>
            <w:tcW w:w="6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4"/>
        </w:trPr>
        <w:tc>
          <w:tcPr>
            <w:tcW w:w="3280" w:type="dxa"/>
            <w:vAlign w:val="bottom"/>
            <w:gridSpan w:val="2"/>
            <w:shd w:val="clear" w:color="auto" w:fill="CFF0FC"/>
          </w:tcPr>
          <w:p>
            <w:pPr>
              <w:ind w:left="60"/>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14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gridSpan w:val="2"/>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560" w:type="dxa"/>
            <w:vAlign w:val="bottom"/>
            <w:gridSpan w:val="3"/>
            <w:vMerge w:val="continue"/>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960" w:type="dxa"/>
            <w:vAlign w:val="bottom"/>
            <w:gridSpan w:val="3"/>
            <w:vMerge w:val="continue"/>
            <w:shd w:val="clear" w:color="auto" w:fill="CFF0FC"/>
          </w:tcPr>
          <w:p>
            <w:pPr>
              <w:spacing w:after="0"/>
              <w:rPr>
                <w:sz w:val="18"/>
                <w:szCs w:val="18"/>
                <w:color w:val="auto"/>
              </w:rPr>
            </w:pPr>
          </w:p>
        </w:tc>
        <w:tc>
          <w:tcPr>
            <w:tcW w:w="660" w:type="dxa"/>
            <w:vAlign w:val="bottom"/>
            <w:gridSpan w:val="2"/>
            <w:vMerge w:val="continue"/>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5"/>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center"/>
              <w:ind w:left="196"/>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gridSpan w:val="2"/>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23,200</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9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25,344</w:t>
            </w:r>
          </w:p>
        </w:tc>
        <w:tc>
          <w:tcPr>
            <w:tcW w:w="6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25,189</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51,632</w:t>
            </w:r>
          </w:p>
        </w:tc>
        <w:tc>
          <w:tcPr>
            <w:tcW w:w="140" w:type="dxa"/>
            <w:vAlign w:val="bottom"/>
          </w:tcPr>
          <w:p>
            <w:pPr>
              <w:spacing w:after="0"/>
              <w:rPr>
                <w:sz w:val="16"/>
                <w:szCs w:val="16"/>
                <w:color w:val="auto"/>
              </w:rPr>
            </w:pP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9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62,928</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194"/>
        </w:trPr>
        <w:tc>
          <w:tcPr>
            <w:tcW w:w="328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1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Borders>
              <w:bottom w:val="single" w:sz="8" w:color="auto"/>
            </w:tcBorders>
            <w:gridSpan w:val="3"/>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July 31, 2025</w:t>
            </w:r>
          </w:p>
        </w:tc>
        <w:tc>
          <w:tcPr>
            <w:tcW w:w="180" w:type="dxa"/>
            <w:vAlign w:val="bottom"/>
          </w:tcPr>
          <w:p>
            <w:pPr>
              <w:spacing w:after="0"/>
              <w:rPr>
                <w:sz w:val="13"/>
                <w:szCs w:val="13"/>
                <w:color w:val="auto"/>
              </w:rPr>
            </w:pPr>
          </w:p>
        </w:tc>
        <w:tc>
          <w:tcPr>
            <w:tcW w:w="1340" w:type="dxa"/>
            <w:vAlign w:val="bottom"/>
            <w:tcBorders>
              <w:bottom w:val="single" w:sz="8" w:color="auto"/>
            </w:tcBorders>
            <w:gridSpan w:val="5"/>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28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3"/>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equivalents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4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8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Included in marketable debt securities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118,444</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4240" w:type="dxa"/>
            <w:vAlign w:val="bottom"/>
            <w:gridSpan w:val="8"/>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8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126,306</w:t>
            </w:r>
          </w:p>
        </w:tc>
        <w:tc>
          <w:tcPr>
            <w:tcW w:w="4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109,492</w:t>
            </w:r>
          </w:p>
        </w:tc>
        <w:tc>
          <w:tcPr>
            <w:tcW w:w="80" w:type="dxa"/>
            <w:vAlign w:val="bottom"/>
            <w:shd w:val="clear" w:color="auto" w:fill="CFF0FC"/>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700" w:type="dxa"/>
            <w:vAlign w:val="bottom"/>
          </w:tcPr>
          <w:p>
            <w:pPr>
              <w:spacing w:after="0"/>
              <w:rPr>
                <w:sz w:val="24"/>
                <w:szCs w:val="24"/>
                <w:color w:val="auto"/>
              </w:rPr>
            </w:pPr>
          </w:p>
        </w:tc>
        <w:tc>
          <w:tcPr>
            <w:tcW w:w="15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50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-3470910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-3453765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-3470910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-3453765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-3470910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-3453765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-3470910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-3453765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-3470910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-3453765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-3470910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-3453765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-2399665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-2399665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-2399665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-2399665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-2399665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-2399665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-933450</wp:posOffset>
            </wp:positionV>
            <wp:extent cx="431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-916305</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The contractual maturities of the investments at July 31, 2025 and January 31, 2025 were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6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98"/>
              <w:spacing w:after="0" w:line="155" w:lineRule="exact"/>
              <w:rPr>
                <w:sz w:val="20"/>
                <w:szCs w:val="20"/>
                <w:color w:val="auto"/>
              </w:rPr>
            </w:pPr>
            <w:r>
              <w:rPr>
                <w:rFonts w:ascii="Times New Roman" w:cs="Times New Roman" w:eastAsia="Times New Roman" w:hAnsi="Times New Roman"/>
                <w:sz w:val="14"/>
                <w:szCs w:val="14"/>
                <w:b w:val="1"/>
                <w:bCs w:val="1"/>
                <w:color w:val="auto"/>
              </w:rPr>
              <w:t>July 31, 2025</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3"/>
                <w:szCs w:val="13"/>
                <w:color w:val="auto"/>
              </w:rPr>
            </w:pPr>
          </w:p>
        </w:tc>
      </w:tr>
      <w:tr>
        <w:trPr>
          <w:trHeight w:val="210"/>
        </w:trPr>
        <w:tc>
          <w:tcPr>
            <w:tcW w:w="6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31,781</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35,405</w:t>
            </w:r>
          </w:p>
        </w:tc>
        <w:tc>
          <w:tcPr>
            <w:tcW w:w="80" w:type="dxa"/>
            <w:vAlign w:val="bottom"/>
            <w:shd w:val="clear" w:color="auto" w:fill="CFF0FC"/>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w w:val="99"/>
              </w:rPr>
              <w:t>Due in 1</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74,087</w:t>
            </w:r>
          </w:p>
        </w:tc>
        <w:tc>
          <w:tcPr>
            <w:tcW w:w="80" w:type="dxa"/>
            <w:vAlign w:val="bottom"/>
          </w:tcPr>
          <w:p>
            <w:pPr>
              <w:spacing w:after="0"/>
              <w:rPr>
                <w:sz w:val="18"/>
                <w:szCs w:val="18"/>
                <w:color w:val="auto"/>
              </w:rPr>
            </w:pPr>
          </w:p>
        </w:tc>
      </w:tr>
      <w:tr>
        <w:trPr>
          <w:trHeight w:val="216"/>
        </w:trPr>
        <w:tc>
          <w:tcPr>
            <w:tcW w:w="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Due in 5</w:t>
            </w:r>
          </w:p>
        </w:tc>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- 15 years</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126,306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109,492</w:t>
            </w:r>
          </w:p>
        </w:tc>
        <w:tc>
          <w:tcPr>
            <w:tcW w:w="8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431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unrealized gains and losses on the available-for-sale securities were primarily caused by fluctuations in market value and interest rates as a result of the economic environment.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(loss) in the condensed consolidated balance sheets. The credit-related losses were not material for the three and six months ended July 31, 2025 and 2024, respectively.</w:t>
      </w:r>
    </w:p>
    <w:p>
      <w:pPr>
        <w:spacing w:after="0" w:line="18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applied for disclosure of the inputs used to measure fair value. This hierarchy prioritizes the inputs into three broad levels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1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the Company’s own assumptions used to measure assets and liabilities at fair value. The inputs require significant management judgment or estimation.</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money market funds and fixed deposits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7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financial instruments measured on a recurring basis as of July 31, 2025 and January 31, 2025,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As of July 31, 2025</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3"/>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420" w:type="dxa"/>
            <w:vAlign w:val="bottom"/>
            <w:gridSpan w:val="2"/>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Fixed deposits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61,728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61,728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36,354</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36,354</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126,306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42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4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spacing w:after="0"/>
              <w:rPr>
                <w:sz w:val="17"/>
                <w:szCs w:val="17"/>
                <w:color w:val="auto"/>
              </w:rPr>
            </w:pPr>
          </w:p>
        </w:tc>
        <w:tc>
          <w:tcPr>
            <w:tcW w:w="1020" w:type="dxa"/>
            <w:vAlign w:val="bottom"/>
            <w:gridSpan w:val="2"/>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3"/>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420" w:type="dxa"/>
            <w:vAlign w:val="bottom"/>
            <w:gridSpan w:val="2"/>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Fixed deposits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42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-2536825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-2536825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-2536825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-2536825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-1207770</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-1207770</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-1207770</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-1207770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at July 31, 2025 and January 31, 2025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Work-in-progress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July 31, 2025</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124"/>
        </w:trPr>
        <w:tc>
          <w:tcPr>
            <w:tcW w:w="200" w:type="dxa"/>
            <w:vAlign w:val="bottom"/>
          </w:tcPr>
          <w:p>
            <w:pPr>
              <w:spacing w:after="0"/>
              <w:rPr>
                <w:sz w:val="10"/>
                <w:szCs w:val="10"/>
                <w:color w:val="auto"/>
              </w:rPr>
            </w:pPr>
          </w:p>
        </w:tc>
        <w:tc>
          <w:tcPr>
            <w:tcW w:w="1260" w:type="dxa"/>
            <w:vAlign w:val="bottom"/>
          </w:tcPr>
          <w:p>
            <w:pPr>
              <w:jc w:val="center"/>
              <w:ind w:left="637"/>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1640" w:type="dxa"/>
            <w:vAlign w:val="bottom"/>
            <w:gridSpan w:val="3"/>
          </w:tcPr>
          <w:p>
            <w:pPr>
              <w:jc w:val="right"/>
              <w:ind w:right="1035"/>
              <w:spacing w:after="0" w:line="124" w:lineRule="exact"/>
              <w:rPr>
                <w:sz w:val="20"/>
                <w:szCs w:val="20"/>
                <w:color w:val="auto"/>
              </w:rPr>
            </w:pPr>
            <w:r>
              <w:rPr>
                <w:rFonts w:ascii="Times New Roman" w:cs="Times New Roman" w:eastAsia="Times New Roman" w:hAnsi="Times New Roman"/>
                <w:sz w:val="14"/>
                <w:szCs w:val="14"/>
                <w:b w:val="1"/>
                <w:bCs w:val="1"/>
                <w:color w:val="auto"/>
                <w:w w:val="76"/>
              </w:rPr>
              <w:t>thousands)</w:t>
            </w:r>
          </w:p>
        </w:tc>
      </w:tr>
      <w:tr>
        <w:trPr>
          <w:trHeight w:val="216"/>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auto"/>
                <w:w w:val="96"/>
              </w:rPr>
              <w:t>22,234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20,546</w:t>
            </w:r>
          </w:p>
        </w:tc>
      </w:tr>
      <w:tr>
        <w:trPr>
          <w:trHeight w:val="234"/>
        </w:trPr>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left="657"/>
              <w:spacing w:after="0"/>
              <w:rPr>
                <w:sz w:val="20"/>
                <w:szCs w:val="20"/>
                <w:color w:val="auto"/>
              </w:rPr>
            </w:pPr>
            <w:r>
              <w:rPr>
                <w:rFonts w:ascii="Times New Roman" w:cs="Times New Roman" w:eastAsia="Times New Roman" w:hAnsi="Times New Roman"/>
                <w:sz w:val="18"/>
                <w:szCs w:val="18"/>
                <w:color w:val="auto"/>
                <w:w w:val="96"/>
              </w:rPr>
              <w:t>11,574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13,882</w:t>
            </w:r>
          </w:p>
        </w:tc>
      </w:tr>
      <w:tr>
        <w:trPr>
          <w:trHeight w:val="209"/>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657"/>
              <w:spacing w:after="0"/>
              <w:rPr>
                <w:sz w:val="20"/>
                <w:szCs w:val="20"/>
                <w:color w:val="auto"/>
              </w:rPr>
            </w:pPr>
            <w:r>
              <w:rPr>
                <w:rFonts w:ascii="Times New Roman" w:cs="Times New Roman" w:eastAsia="Times New Roman" w:hAnsi="Times New Roman"/>
                <w:sz w:val="18"/>
                <w:szCs w:val="18"/>
                <w:color w:val="auto"/>
                <w:w w:val="96"/>
              </w:rPr>
              <w:t>33,808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34,428</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29" w:lineRule="exact"/>
        <w:rPr>
          <w:sz w:val="20"/>
          <w:szCs w:val="20"/>
          <w:color w:val="auto"/>
        </w:rPr>
      </w:pPr>
    </w:p>
    <w:p>
      <w:pPr>
        <w:sectPr>
          <w:pgSz w:w="11900" w:h="16838" w:orient="portrait"/>
          <w:cols w:equalWidth="0" w:num="2">
            <w:col w:w="6080" w:space="300"/>
            <w:col w:w="4860"/>
          </w:cols>
          <w:pgMar w:left="320" w:top="981" w:right="339" w:bottom="1440" w:gutter="0" w:footer="0" w:header="0"/>
        </w:sect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was approximately $1.2 million and $1.2 million for the three months ended July 31, 2025 and 2024, respectively, and was approximately $2.3 million and $2.4 million for the six months ended July 31, 2025 and 2024, respectively. Property and equipment at July 31, 2025 and January 31, 2025 consisted of the following:</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8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95"/>
              <w:spacing w:after="0" w:line="155" w:lineRule="exact"/>
              <w:rPr>
                <w:sz w:val="20"/>
                <w:szCs w:val="20"/>
                <w:color w:val="auto"/>
              </w:rPr>
            </w:pPr>
            <w:r>
              <w:rPr>
                <w:rFonts w:ascii="Times New Roman" w:cs="Times New Roman" w:eastAsia="Times New Roman" w:hAnsi="Times New Roman"/>
                <w:sz w:val="14"/>
                <w:szCs w:val="14"/>
                <w:b w:val="1"/>
                <w:bCs w:val="1"/>
                <w:color w:val="auto"/>
              </w:rPr>
              <w:t>July 31, 2025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3"/>
                <w:szCs w:val="13"/>
                <w:color w:val="auto"/>
              </w:rPr>
            </w:pPr>
          </w:p>
        </w:tc>
      </w:tr>
      <w:tr>
        <w:trPr>
          <w:trHeight w:val="142"/>
        </w:trPr>
        <w:tc>
          <w:tcPr>
            <w:tcW w:w="4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40" w:type="dxa"/>
            <w:vAlign w:val="bottom"/>
            <w:gridSpan w:val="4"/>
          </w:tcPr>
          <w:p>
            <w:pPr>
              <w:jc w:val="right"/>
              <w:ind w:right="932"/>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80" w:type="dxa"/>
            <w:vAlign w:val="bottom"/>
          </w:tcPr>
          <w:p>
            <w:pPr>
              <w:spacing w:after="0"/>
              <w:rPr>
                <w:sz w:val="12"/>
                <w:szCs w:val="12"/>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27,488</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25,730</w:t>
            </w:r>
          </w:p>
        </w:tc>
        <w:tc>
          <w:tcPr>
            <w:tcW w:w="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Tools and equipment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8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8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39,493</w:t>
            </w:r>
          </w:p>
        </w:tc>
        <w:tc>
          <w:tcPr>
            <w:tcW w:w="8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(32,356)</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(30,409)</w:t>
            </w:r>
          </w:p>
        </w:tc>
      </w:tr>
      <w:tr>
        <w:trPr>
          <w:trHeight w:val="209"/>
        </w:trPr>
        <w:tc>
          <w:tcPr>
            <w:tcW w:w="488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80" w:type="dxa"/>
            <w:vAlign w:val="bottom"/>
            <w:tcBorders>
              <w:top w:val="single" w:sz="8" w:color="CFF0FC"/>
            </w:tcBorders>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-453390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identifiable intangible assets acquired in a business combination.</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primarily consist of software licenses as well as developed technology, customer relationships and trade name that were acquired from business combinations.</w:t>
      </w:r>
    </w:p>
    <w:p>
      <w:pPr>
        <w:spacing w:after="0" w:line="5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certain software license agreements with third parties from time-to-time. The software licenses consist of noncancelable on-premise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July 31, 2025, software license liabilities of approximately $4.8 million were recorded in accrued and other current liabilities and approximately $0.4 million were recorded in other long-term liabilities in the condensed consolidated balance sheets.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intangible assets as of July 31, 2025 and January 31, 2025 were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July 31, 2025</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21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080" w:type="dxa"/>
            <w:vAlign w:val="bottom"/>
            <w:gridSpan w:val="3"/>
          </w:tcPr>
          <w:p>
            <w:pPr>
              <w:jc w:val="right"/>
              <w:ind w:right="479"/>
              <w:spacing w:after="0" w:line="155"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46,891</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(23,569)</w:t>
            </w:r>
          </w:p>
        </w:tc>
        <w:tc>
          <w:tcPr>
            <w:tcW w:w="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45,051</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(18,755)</w:t>
            </w: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26,296</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(5,500)</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(4,767)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2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83,791</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(41,912)</w:t>
            </w:r>
          </w:p>
        </w:tc>
        <w:tc>
          <w:tcPr>
            <w:tcW w:w="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41,879</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81,951</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(34,672)</w:t>
            </w: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47,279</w:t>
            </w:r>
          </w:p>
        </w:tc>
        <w:tc>
          <w:tcPr>
            <w:tcW w:w="10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140" w:type="dxa"/>
            <w:vAlign w:val="bottom"/>
          </w:tcPr>
          <w:p>
            <w:pPr>
              <w:spacing w:after="0"/>
              <w:rPr>
                <w:sz w:val="24"/>
                <w:szCs w:val="24"/>
                <w:color w:val="auto"/>
              </w:rPr>
            </w:pPr>
          </w:p>
        </w:tc>
        <w:tc>
          <w:tcPr>
            <w:tcW w:w="230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-933450</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-916305</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-933450</wp:posOffset>
            </wp:positionV>
            <wp:extent cx="514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-916305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-933450</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-916305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-933450</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-916305</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-933450</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-916305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-933450</wp:posOffset>
            </wp:positionV>
            <wp:extent cx="59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-916305</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3" w:name="page14"/>
    <w:bookmarkEnd w:id="13"/>
    <w:p>
      <w:pPr>
        <w:ind w:firstLine="509"/>
        <w:spacing w:after="0" w:line="254" w:lineRule="auto"/>
        <w:rPr>
          <w:sz w:val="20"/>
          <w:szCs w:val="20"/>
          <w:color w:val="auto"/>
        </w:rPr>
      </w:pPr>
      <w:r>
        <w:rPr>
          <w:rFonts w:ascii="Times New Roman" w:cs="Times New Roman" w:eastAsia="Times New Roman" w:hAnsi="Times New Roman"/>
          <w:sz w:val="18"/>
          <w:szCs w:val="18"/>
          <w:color w:val="auto"/>
        </w:rPr>
        <w:t>The amortization expense associated with software licenses was approximately $3.3 million and $3.0 million for the three months ended July 31, 2025 and 2024, respectively, and was approximately $6.8 million and $6.0 million for the six months ended July 31, 2025 and 2024, respectively. The amortization expense associated with acquisition-related intangible assets, including developed technology, customer relationships and trade name, was approximately $1.2 million and $1.2 million for the three months ended July 31, 2025 and 2024, respectively, and was approximately $2.4 million and $2.4 million for the six months ended July 31, 2025 and 2024, respectively. As of July 31, 2025, the Company has not commenced amortization with respect to approximately $7.0 million of software licenses with alternative uses that are to be sold, leased or otherwise marketed as part of products. Once the associated products are available for general release to customers, the Company will commence amortization on a product-by-product basis over the remaining estimated economic life of the products. The expected future amortization expense related to the intangible assets as of July 31, 2025 is as follows:</w:t>
      </w:r>
    </w:p>
    <w:p>
      <w:pPr>
        <w:spacing w:after="0" w:line="38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3"/>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380" w:type="dxa"/>
            <w:vAlign w:val="bottom"/>
            <w:vMerge w:val="restart"/>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0" w:type="dxa"/>
            <w:vAlign w:val="bottom"/>
          </w:tcPr>
          <w:p>
            <w:pPr>
              <w:spacing w:after="0"/>
              <w:rPr>
                <w:sz w:val="1"/>
                <w:szCs w:val="1"/>
                <w:color w:val="auto"/>
              </w:rPr>
            </w:pPr>
          </w:p>
        </w:tc>
      </w:tr>
      <w:tr>
        <w:trPr>
          <w:trHeight w:val="133"/>
        </w:trPr>
        <w:tc>
          <w:tcPr>
            <w:tcW w:w="700" w:type="dxa"/>
            <w:vAlign w:val="bottom"/>
            <w:tcBorders>
              <w:bottom w:val="single" w:sz="8" w:color="auto"/>
            </w:tcBorders>
            <w:vMerge w:val="continue"/>
          </w:tcPr>
          <w:p>
            <w:pPr>
              <w:spacing w:after="0"/>
              <w:rPr>
                <w:sz w:val="11"/>
                <w:szCs w:val="11"/>
                <w:color w:val="auto"/>
              </w:rPr>
            </w:pPr>
          </w:p>
        </w:tc>
        <w:tc>
          <w:tcPr>
            <w:tcW w:w="4380" w:type="dxa"/>
            <w:vAlign w:val="bottom"/>
            <w:vMerge w:val="continue"/>
          </w:tcPr>
          <w:p>
            <w:pPr>
              <w:spacing w:after="0"/>
              <w:rPr>
                <w:sz w:val="11"/>
                <w:szCs w:val="11"/>
                <w:color w:val="auto"/>
              </w:rPr>
            </w:pPr>
          </w:p>
        </w:tc>
        <w:tc>
          <w:tcPr>
            <w:tcW w:w="22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3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0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 (6 months remaining)</w:t>
            </w:r>
          </w:p>
        </w:tc>
        <w:tc>
          <w:tcPr>
            <w:tcW w:w="2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4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438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4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2030</w:t>
            </w:r>
          </w:p>
        </w:tc>
        <w:tc>
          <w:tcPr>
            <w:tcW w:w="438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2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future amortization expenses:</w:t>
            </w:r>
          </w:p>
        </w:tc>
        <w:tc>
          <w:tcPr>
            <w:tcW w:w="2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tcBorders>
            <w:shd w:val="clear" w:color="auto" w:fill="CFF0FC"/>
          </w:tcPr>
          <w:p>
            <w:pPr>
              <w:spacing w:after="0" w:line="20" w:lineRule="exact"/>
              <w:rPr>
                <w:sz w:val="1"/>
                <w:szCs w:val="1"/>
                <w:color w:val="auto"/>
              </w:rPr>
            </w:pPr>
          </w:p>
        </w:tc>
        <w:tc>
          <w:tcPr>
            <w:tcW w:w="438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Goodwill and intangible assets are tested for impairment at least annually, in the fourth fiscal quarter, or more frequently if events or changes in circumstances indicate that they may be impaired. There were no goodwill and intangible asset impairments for the three and six months ended July 31, 2025 and 2024,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at July 31, 2025 and January 31, 2025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9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96"/>
              <w:spacing w:after="0" w:line="155" w:lineRule="exact"/>
              <w:rPr>
                <w:sz w:val="20"/>
                <w:szCs w:val="20"/>
                <w:color w:val="auto"/>
              </w:rPr>
            </w:pPr>
            <w:r>
              <w:rPr>
                <w:rFonts w:ascii="Times New Roman" w:cs="Times New Roman" w:eastAsia="Times New Roman" w:hAnsi="Times New Roman"/>
                <w:sz w:val="14"/>
                <w:szCs w:val="14"/>
                <w:b w:val="1"/>
                <w:bCs w:val="1"/>
                <w:color w:val="auto"/>
              </w:rPr>
              <w:t>July 31, 2025</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3"/>
                <w:szCs w:val="13"/>
                <w:color w:val="auto"/>
              </w:rPr>
            </w:pPr>
          </w:p>
        </w:tc>
      </w:tr>
      <w:tr>
        <w:trPr>
          <w:trHeight w:val="142"/>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20" w:type="dxa"/>
            <w:vAlign w:val="bottom"/>
            <w:gridSpan w:val="3"/>
          </w:tcPr>
          <w:p>
            <w:pPr>
              <w:jc w:val="right"/>
              <w:ind w:right="913"/>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80" w:type="dxa"/>
            <w:vAlign w:val="bottom"/>
          </w:tcPr>
          <w:p>
            <w:pPr>
              <w:spacing w:after="0"/>
              <w:rPr>
                <w:sz w:val="12"/>
                <w:szCs w:val="12"/>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22,941</w:t>
            </w: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development costs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32,929</w:t>
            </w:r>
          </w:p>
        </w:tc>
        <w:tc>
          <w:tcPr>
            <w:tcW w:w="8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current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deposit liability</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80" w:type="dxa"/>
            <w:vAlign w:val="bottom"/>
          </w:tcPr>
          <w:p>
            <w:pPr>
              <w:spacing w:after="0"/>
              <w:rPr>
                <w:sz w:val="18"/>
                <w:szCs w:val="18"/>
                <w:color w:val="auto"/>
              </w:rPr>
            </w:pPr>
          </w:p>
        </w:tc>
      </w:tr>
      <w:tr>
        <w:trPr>
          <w:trHeight w:val="216"/>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80,781</w:t>
            </w:r>
          </w:p>
        </w:tc>
        <w:tc>
          <w:tcPr>
            <w:tcW w:w="8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The accrued employee compensation primarily consists of accrued payroll and accrued employee benefits, as well as employee stock purchase plan withholding. In the first quarter of fiscal year 2026, approximately $9.8 million of annual bonus was paid, of which $3.7 million was paid in cash and $6.1 million was settled with fully vested restricted stock units. The $13.5 million of development deposit liability represents a cash advance from a customer for funding a development project that is subject to certain refund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8"/>
          <w:szCs w:val="18"/>
          <w:color w:val="auto"/>
        </w:rPr>
        <w:t>There were no material lease agreements entered into, or modified, during the six months ended July 31, 2025. The operating lease expense was approximately $0.9 million and $1.0 million for the three months ended July 31, 2025 and 2024, respectively, and was approximately $1.8 million and $2.0 million for the six months ended July 31, 2025 and 2024, respectively. The Company's short-term leases and finance leases were not material as of July 31, 2025 and January 31, 2025, respectively.</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the operating leases is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4" w:name="page15"/>
    <w:bookmarkEnd w:id="14"/>
    <w:tbl>
      <w:tblPr>
        <w:tblLayout w:type="fixed"/>
        <w:tblInd w:w="11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42"/>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20" w:type="dxa"/>
            <w:vAlign w:val="bottom"/>
            <w:gridSpan w:val="3"/>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8"/>
        </w:trPr>
        <w:tc>
          <w:tcPr>
            <w:tcW w:w="43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paid for operating leases included in operating cash</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flows</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80" w:type="dxa"/>
            <w:vAlign w:val="bottom"/>
            <w:shd w:val="clear" w:color="auto" w:fill="CFF0FC"/>
          </w:tcPr>
          <w:p>
            <w:pPr>
              <w:spacing w:after="0"/>
              <w:rPr>
                <w:sz w:val="20"/>
                <w:szCs w:val="20"/>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lease assets obtained in exchange for lease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obligations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80" w:type="dxa"/>
            <w:vAlign w:val="bottom"/>
          </w:tcPr>
          <w:p>
            <w:pPr>
              <w:spacing w:after="0"/>
              <w:rPr>
                <w:sz w:val="20"/>
                <w:szCs w:val="20"/>
                <w:color w:val="auto"/>
              </w:rPr>
            </w:pPr>
          </w:p>
        </w:tc>
      </w:tr>
    </w:tbl>
    <w:p>
      <w:pPr>
        <w:spacing w:after="0" w:line="198"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As of July 31, 2025, the weighted average remaining lease term is 2.16 years, and the weighted average discount rate is 3.25 percent. Future minimum lease payments for the lease liabilities are as follows: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120" w:type="dxa"/>
            <w:vAlign w:val="bottom"/>
            <w:vMerge w:val="restart"/>
          </w:tcPr>
          <w:p>
            <w:pPr>
              <w:spacing w:after="0"/>
              <w:rPr>
                <w:sz w:val="15"/>
                <w:szCs w:val="15"/>
                <w:color w:val="auto"/>
              </w:rPr>
            </w:pPr>
          </w:p>
        </w:tc>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0" w:type="dxa"/>
            <w:vAlign w:val="bottom"/>
          </w:tcPr>
          <w:p>
            <w:pPr>
              <w:spacing w:after="0"/>
              <w:rPr>
                <w:sz w:val="1"/>
                <w:szCs w:val="1"/>
                <w:color w:val="auto"/>
              </w:rPr>
            </w:pPr>
          </w:p>
        </w:tc>
      </w:tr>
      <w:tr>
        <w:trPr>
          <w:trHeight w:val="133"/>
        </w:trPr>
        <w:tc>
          <w:tcPr>
            <w:tcW w:w="700" w:type="dxa"/>
            <w:vAlign w:val="bottom"/>
            <w:tcBorders>
              <w:bottom w:val="single" w:sz="8" w:color="auto"/>
            </w:tcBorders>
            <w:vMerge w:val="continue"/>
          </w:tcPr>
          <w:p>
            <w:pPr>
              <w:spacing w:after="0"/>
              <w:rPr>
                <w:sz w:val="11"/>
                <w:szCs w:val="11"/>
                <w:color w:val="auto"/>
              </w:rPr>
            </w:pPr>
          </w:p>
        </w:tc>
        <w:tc>
          <w:tcPr>
            <w:tcW w:w="412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40" w:type="dxa"/>
            <w:vAlign w:val="bottom"/>
            <w:tcBorders>
              <w:top w:val="single" w:sz="8" w:color="auto"/>
            </w:tcBorders>
          </w:tcPr>
          <w:p>
            <w:pPr>
              <w:jc w:val="center"/>
              <w:ind w:right="43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2026 (6 months remaining)</w:t>
            </w:r>
          </w:p>
        </w:tc>
        <w:tc>
          <w:tcPr>
            <w:tcW w:w="18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4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4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4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2030</w:t>
            </w:r>
          </w:p>
        </w:tc>
        <w:tc>
          <w:tcPr>
            <w:tcW w:w="4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13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future annual minimum lease payments</w:t>
            </w:r>
          </w:p>
        </w:tc>
        <w:tc>
          <w:tcPr>
            <w:tcW w:w="1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interest</w:t>
            </w: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tcBorders>
            <w:shd w:val="clear" w:color="auto" w:fill="CFF0FC"/>
          </w:tcPr>
          <w:p>
            <w:pPr>
              <w:spacing w:after="0" w:line="20" w:lineRule="exact"/>
              <w:rPr>
                <w:sz w:val="1"/>
                <w:szCs w:val="1"/>
                <w:color w:val="auto"/>
              </w:rPr>
            </w:pPr>
          </w:p>
        </w:tc>
        <w:tc>
          <w:tcPr>
            <w:tcW w:w="41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Deferred Revenue</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Deferred revenue is primarily related to nonrecurring engineering (NRE) charges that are either invoiced or paid but for which the related performance obligations are not yet satisfied, as well as, for product shipments, a portion of a transaction price that exceeds the weighted average selling price for products sold to date under tiered-pricing contracts that contain material rights. During the six months ended July 31, 2025 and 2024, the amount recognized as revenue that was included in the deferred revenue balance at the end of prior fiscal year was approximately $7.7 million and $0.6 million, respectively.</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July 31, 2025, the amount of remaining unsatisfied performance obligations on contracts, primarily consisting of NRE project service agreements and product purchase orders with original contract duration of more than one year, was approximately $39.2 million, of which approximately 81% is expected to be recognized within the next 12 months. This does not include amounts from contracts that have an original expected contract duration of one year or less.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at July 31, 2025 and January 31, 2025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97"/>
              <w:spacing w:after="0" w:line="155" w:lineRule="exact"/>
              <w:rPr>
                <w:sz w:val="20"/>
                <w:szCs w:val="20"/>
                <w:color w:val="auto"/>
              </w:rPr>
            </w:pPr>
            <w:r>
              <w:rPr>
                <w:rFonts w:ascii="Times New Roman" w:cs="Times New Roman" w:eastAsia="Times New Roman" w:hAnsi="Times New Roman"/>
                <w:sz w:val="14"/>
                <w:szCs w:val="14"/>
                <w:b w:val="1"/>
                <w:bCs w:val="1"/>
                <w:color w:val="auto"/>
              </w:rPr>
              <w:t>July 31, 2025</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3"/>
                <w:szCs w:val="13"/>
                <w:color w:val="auto"/>
              </w:rPr>
            </w:pPr>
          </w:p>
        </w:tc>
      </w:tr>
      <w:tr>
        <w:trPr>
          <w:trHeight w:val="142"/>
        </w:trPr>
        <w:tc>
          <w:tcPr>
            <w:tcW w:w="4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20" w:type="dxa"/>
            <w:vAlign w:val="bottom"/>
            <w:gridSpan w:val="3"/>
          </w:tcPr>
          <w:p>
            <w:pPr>
              <w:jc w:val="right"/>
              <w:ind w:right="913"/>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80" w:type="dxa"/>
            <w:vAlign w:val="bottom"/>
          </w:tcPr>
          <w:p>
            <w:pPr>
              <w:spacing w:after="0"/>
              <w:rPr>
                <w:sz w:val="12"/>
                <w:szCs w:val="12"/>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Pr>
          <w:p>
            <w:pPr>
              <w:spacing w:after="0"/>
              <w:rPr>
                <w:sz w:val="18"/>
                <w:szCs w:val="18"/>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non-current</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8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r>
      <w:tr>
        <w:trPr>
          <w:trHeight w:val="229"/>
        </w:trPr>
        <w:tc>
          <w:tcPr>
            <w:tcW w:w="4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80" w:type="dxa"/>
            <w:vAlign w:val="bottom"/>
            <w:shd w:val="clear" w:color="auto" w:fill="CFF0FC"/>
          </w:tcPr>
          <w:p>
            <w:pPr>
              <w:spacing w:after="0"/>
              <w:rPr>
                <w:sz w:val="19"/>
                <w:szCs w:val="19"/>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431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431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63" w:lineRule="exact"/>
        <w:rPr>
          <w:sz w:val="20"/>
          <w:szCs w:val="20"/>
          <w:color w:val="auto"/>
        </w:rPr>
      </w:pPr>
    </w:p>
    <w:p>
      <w:pPr>
        <w:ind w:left="520" w:right="9340" w:hanging="512"/>
        <w:spacing w:after="0" w:line="377" w:lineRule="auto"/>
        <w:tabs>
          <w:tab w:leader="none" w:pos="28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b w:val="1"/>
          <w:bCs w:val="1"/>
          <w:i w:val="1"/>
          <w:iCs w:val="1"/>
          <w:color w:val="auto"/>
        </w:rPr>
        <w:t>Preference shares</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preference shares issued and outstanding as of July 31, 2025 and January 31, 2025, respectively.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In the first quarter of fiscal year 2026, the Company added 524,549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w:t>
      </w:r>
    </w:p>
    <w:p>
      <w:pPr>
        <w:spacing w:after="0" w:line="2" w:lineRule="exact"/>
        <w:rPr>
          <w:sz w:val="20"/>
          <w:szCs w:val="20"/>
          <w:color w:val="auto"/>
        </w:rPr>
      </w:pPr>
    </w:p>
    <w:p>
      <w:pPr>
        <w:ind w:right="420" w:firstLine="8"/>
        <w:spacing w:after="0" w:line="260"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and one quarter percent (1.25%) of the aggregate number of ordinary shares outstanding on February 1st of each fiscal year, or (iii) an amount determined by the Company’s Board of Directors or a duly authorized committee of the Board of Directors.</w:t>
      </w:r>
    </w:p>
    <w:p>
      <w:pPr>
        <w:spacing w:after="0" w:line="73"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of July 31, 2025 and January 31, 2025, the following ordinary shares were reserved for future issuance under the Company’s equity plans and employee stock purchase plan:</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64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1640" w:type="dxa"/>
            <w:vAlign w:val="bottom"/>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July 31, 2025</w:t>
            </w:r>
          </w:p>
        </w:tc>
        <w:tc>
          <w:tcPr>
            <w:tcW w:w="126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2"/>
                <w:szCs w:val="12"/>
                <w:color w:val="auto"/>
              </w:rPr>
            </w:pPr>
          </w:p>
        </w:tc>
      </w:tr>
      <w:tr>
        <w:trPr>
          <w:trHeight w:val="191"/>
        </w:trPr>
        <w:tc>
          <w:tcPr>
            <w:tcW w:w="48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Shares reserved for options, restricted stock and</w:t>
            </w:r>
          </w:p>
        </w:tc>
        <w:tc>
          <w:tcPr>
            <w:tcW w:w="13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units under equity plans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4,355,421</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4,991,570</w:t>
            </w:r>
          </w:p>
        </w:tc>
        <w:tc>
          <w:tcPr>
            <w:tcW w:w="80" w:type="dxa"/>
            <w:vAlign w:val="bottom"/>
            <w:shd w:val="clear" w:color="auto" w:fill="CFF0FC"/>
          </w:tcPr>
          <w:p>
            <w:pPr>
              <w:spacing w:after="0"/>
              <w:rPr>
                <w:sz w:val="20"/>
                <w:szCs w:val="20"/>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4,062,385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3,636,591</w:t>
            </w:r>
          </w:p>
        </w:tc>
        <w:tc>
          <w:tcPr>
            <w:tcW w:w="80" w:type="dxa"/>
            <w:vAlign w:val="bottom"/>
          </w:tcPr>
          <w:p>
            <w:pPr>
              <w:spacing w:after="0"/>
              <w:rPr>
                <w:sz w:val="20"/>
                <w:szCs w:val="20"/>
                <w:color w:val="auto"/>
              </w:rPr>
            </w:pPr>
          </w:p>
        </w:tc>
      </w:tr>
    </w:tbl>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200" w:firstLine="450"/>
        <w:spacing w:after="0" w:line="255" w:lineRule="auto"/>
        <w:rPr>
          <w:sz w:val="20"/>
          <w:szCs w:val="20"/>
          <w:color w:val="auto"/>
        </w:rPr>
      </w:pPr>
      <w:r>
        <w:rPr>
          <w:rFonts w:ascii="Times New Roman" w:cs="Times New Roman" w:eastAsia="Times New Roman" w:hAnsi="Times New Roman"/>
          <w:sz w:val="18"/>
          <w:szCs w:val="18"/>
          <w:color w:val="auto"/>
        </w:rPr>
        <w:t>On May 28, 2025, the Company's Board of Directors approved an extension of the Company's existing share repurchase program for an additional twelve months through June 30, 2026. During the six months ended July 31, 2025, the Company repurchased a total of 24,152 shares for approximately $1.0 million in cash. As of July 31, 2025, there was approximately $48.0 million available for repurchases under the current repurchase program through June 30, 2026.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for the periods indicated:</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Cost of revenue</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stock-based compensation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5"/>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60" w:type="dxa"/>
            <w:vAlign w:val="bottom"/>
          </w:tcPr>
          <w:p>
            <w:pPr>
              <w:spacing w:after="0"/>
              <w:rPr>
                <w:sz w:val="13"/>
                <w:szCs w:val="13"/>
                <w:color w:val="auto"/>
              </w:rPr>
            </w:pPr>
          </w:p>
        </w:tc>
        <w:tc>
          <w:tcPr>
            <w:tcW w:w="18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73"/>
        </w:trPr>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31,</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(in</w:t>
            </w:r>
          </w:p>
        </w:tc>
        <w:tc>
          <w:tcPr>
            <w:tcW w:w="980" w:type="dxa"/>
            <w:vAlign w:val="bottom"/>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3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36,016</w:t>
            </w:r>
          </w:p>
        </w:tc>
        <w:tc>
          <w:tcPr>
            <w:tcW w:w="0" w:type="dxa"/>
            <w:vAlign w:val="bottom"/>
          </w:tcPr>
          <w:p>
            <w:pPr>
              <w:spacing w:after="0"/>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16,192</w:t>
            </w:r>
          </w:p>
        </w:tc>
        <w:tc>
          <w:tcPr>
            <w:tcW w:w="0" w:type="dxa"/>
            <w:vAlign w:val="bottom"/>
          </w:tcPr>
          <w:p>
            <w:pPr>
              <w:spacing w:after="0"/>
              <w:rPr>
                <w:sz w:val="1"/>
                <w:szCs w:val="1"/>
                <w:color w:val="auto"/>
              </w:rPr>
            </w:pPr>
          </w:p>
        </w:tc>
      </w:tr>
      <w:tr>
        <w:trPr>
          <w:trHeight w:val="209"/>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25,188</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51,318</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53,648</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-719455</wp:posOffset>
            </wp:positionV>
            <wp:extent cx="4989195"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-445135</wp:posOffset>
            </wp:positionV>
            <wp:extent cx="4989195"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-162560</wp:posOffset>
            </wp:positionV>
            <wp:extent cx="4989195" cy="16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80" w:space="720"/>
            <w:col w:w="5540"/>
          </w:cols>
          <w:pgMar w:left="320" w:top="1305" w:right="339" w:bottom="1440" w:gutter="0" w:footer="0" w:header="0"/>
          <w:type w:val="continuous"/>
        </w:sect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July 31, 2025, approximately $2.6 million of stock-based compensation expense was accrued in accrued and other current liabilities in the condensed consolidated balance sheets. Total unrecognized compensation cost related to unvested restricted stock units at July 31, 2025 was approximately $137.5 million and is expected to be recognized over a weighted-average period of 2.23 years. Total unrecognized compensation cost related to unvested stock options at July 31, 2025 was immaterial.</w:t>
      </w:r>
    </w:p>
    <w:p>
      <w:pPr>
        <w:spacing w:after="0" w:line="180"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assumptions used to estimate the fair value of employee stock purchase plan awards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60" w:type="dxa"/>
            <w:vAlign w:val="bottom"/>
          </w:tcPr>
          <w:p>
            <w:pPr>
              <w:spacing w:after="0"/>
              <w:rPr>
                <w:sz w:val="15"/>
                <w:szCs w:val="15"/>
                <w:color w:val="auto"/>
              </w:rPr>
            </w:pPr>
          </w:p>
        </w:tc>
        <w:tc>
          <w:tcPr>
            <w:tcW w:w="34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42"/>
        </w:trPr>
        <w:tc>
          <w:tcPr>
            <w:tcW w:w="5660" w:type="dxa"/>
            <w:vAlign w:val="bottom"/>
            <w:gridSpan w:val="2"/>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9"/>
        </w:trPr>
        <w:tc>
          <w:tcPr>
            <w:tcW w:w="1140" w:type="dxa"/>
            <w:vAlign w:val="bottom"/>
          </w:tcPr>
          <w:p>
            <w:pPr>
              <w:spacing w:after="0"/>
              <w:rPr>
                <w:sz w:val="18"/>
                <w:szCs w:val="18"/>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Volatility</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4.29%</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5.38%</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Expected term (years)</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Dividend yield</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648"/>
        </w:trPr>
        <w:tc>
          <w:tcPr>
            <w:tcW w:w="632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period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4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2025</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226,616</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24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(17,284)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(9,119)</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July 31, 2025</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200,213</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24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740" w:type="dxa"/>
            <w:vAlign w:val="bottom"/>
            <w:tcBorders>
              <w:top w:val="single" w:sz="8" w:color="CFF0FC"/>
            </w:tcBorders>
          </w:tcPr>
          <w:p>
            <w:pPr>
              <w:spacing w:after="0"/>
              <w:rPr>
                <w:sz w:val="18"/>
                <w:szCs w:val="18"/>
                <w:color w:val="auto"/>
              </w:rPr>
            </w:pPr>
          </w:p>
        </w:tc>
        <w:tc>
          <w:tcPr>
            <w:tcW w:w="11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July 31, 2025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200,154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-281940</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July 31, 2025 was $66.09, as reported by The Nasdaq Global Select Market. The intrinsic value of exercised options is calculated based on the difference between the fair market value of the Company’s ordinary shares on the exercise date and the exercise price.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activities for the period indicated:</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2025</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2,645,379</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(618,865)</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(164,827)</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July 31, 2025</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2,413,542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2025, the aggregate intrinsic value of unvested restricted stock units was $159.5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Ordinary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ordinary share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6"/>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00" w:type="dxa"/>
            <w:vAlign w:val="bottom"/>
          </w:tcPr>
          <w:p>
            <w:pPr>
              <w:spacing w:after="0"/>
              <w:rPr>
                <w:sz w:val="15"/>
                <w:szCs w:val="15"/>
                <w:color w:val="auto"/>
              </w:rPr>
            </w:pPr>
          </w:p>
        </w:tc>
        <w:tc>
          <w:tcPr>
            <w:tcW w:w="29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w:t>
            </w:r>
          </w:p>
        </w:tc>
        <w:tc>
          <w:tcPr>
            <w:tcW w:w="154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share and per share data)</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(19,995)</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(34,889)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(44,323)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(72,821)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9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ordinary shares - basic</w:t>
            </w:r>
          </w:p>
        </w:tc>
        <w:tc>
          <w:tcPr>
            <w:tcW w:w="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42,546,979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41,129,754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42,383,475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40,952,373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39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ordinary shares - diluted</w:t>
            </w:r>
          </w:p>
        </w:tc>
        <w:tc>
          <w:tcPr>
            <w:tcW w:w="8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42,546,979</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41,129,754</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42,383,475</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40,952,373</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3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ordinary share: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(0.47)</w:t>
            </w: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(0.85)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39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2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8"/>
              <w:spacing w:after="0" w:line="196" w:lineRule="exact"/>
              <w:rPr>
                <w:sz w:val="20"/>
                <w:szCs w:val="20"/>
                <w:color w:val="auto"/>
              </w:rPr>
            </w:pPr>
            <w:r>
              <w:rPr>
                <w:rFonts w:ascii="Times New Roman" w:cs="Times New Roman" w:eastAsia="Times New Roman" w:hAnsi="Times New Roman"/>
                <w:sz w:val="18"/>
                <w:szCs w:val="18"/>
                <w:color w:val="auto"/>
              </w:rPr>
              <w:t>(0.85)</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-1396365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-1379220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-1396365</wp:posOffset>
            </wp:positionV>
            <wp:extent cx="596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-1379220</wp:posOffset>
            </wp:positionV>
            <wp:extent cx="596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-1396365</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-1379220</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-1396365</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-1379220</wp:posOffset>
            </wp:positionV>
            <wp:extent cx="603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-1096645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-1079500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-1096645</wp:posOffset>
            </wp:positionV>
            <wp:extent cx="596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-1079500</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-1096645</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-1079500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-1096645</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excluded from the computation of diluted net loss per ordinary share as their effect would have been antidilutive:</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50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80" w:type="dxa"/>
            <w:vAlign w:val="bottom"/>
          </w:tcPr>
          <w:p>
            <w:pPr>
              <w:spacing w:after="0"/>
              <w:rPr>
                <w:sz w:val="15"/>
                <w:szCs w:val="15"/>
                <w:color w:val="auto"/>
              </w:rPr>
            </w:pPr>
          </w:p>
        </w:tc>
        <w:tc>
          <w:tcPr>
            <w:tcW w:w="26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42"/>
        </w:trPr>
        <w:tc>
          <w:tcPr>
            <w:tcW w:w="478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72,032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206,350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82,416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212,630</w:t>
            </w:r>
          </w:p>
        </w:tc>
        <w:tc>
          <w:tcPr>
            <w:tcW w:w="12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673,201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1,722,605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717,380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1,906,833</w:t>
            </w:r>
          </w:p>
        </w:tc>
        <w:tc>
          <w:tcPr>
            <w:tcW w:w="12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1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2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7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751,967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1,939,052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809,823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2,129,126</w:t>
            </w:r>
          </w:p>
        </w:tc>
        <w:tc>
          <w:tcPr>
            <w:tcW w:w="12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-170815</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income taxes for the periods indicated:</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6"/>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42"/>
        </w:trPr>
        <w:tc>
          <w:tcPr>
            <w:tcW w:w="3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3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4"/>
          </w:tcPr>
          <w:p>
            <w:pPr>
              <w:jc w:val="center"/>
              <w:ind w:right="597"/>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(19,742)</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(34,142)</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(43,425)</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(71,316)</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The Company recorded an expense for income taxes of $0.3 million and $0.9 million for the three and six months ended July 31, 2025, respectively. The Company recorded an expense for income taxes of $0.7 million and $1.5 million for the three and six months ended July 31, 2024, respectively. The decreases in income tax expense for the three and six months ended July 31, 2025, as compared to the same periods in the prior fiscal year, were primarily due to a decrease in the proportion of profits generated in the U.S. and reduction in U.S. tax expenses because of the One Big Beautiful Bill Act (OBBBA).</w:t>
      </w:r>
    </w:p>
    <w:p>
      <w:pPr>
        <w:spacing w:after="0" w:line="16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July 4, 2025, President Trump signed the OBBBA, which includes a broad range of tax reform provisions affecting businesses. The OBBBA includes numerous changes to existing tax law including extending or making permanent certain business and international tax measures initially established under the 2017 Tax Cuts and Jobs Act, which were set to expire. The Company is in the process of evaluating the financial statement impact of these provisions to future periods, but does not expect the OBBBA to have a material impact on its consolidated financial statements.</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files federal and state income tax returns in the United States and in various foreign jurisdictions. The Company’s fiscal years 2022 through 2025 are generally open and subject to potential examination by U.S. federal tax authorities. The Company’s fiscal years 2021 through 2025 are generally open and subject to potential examination by state tax authorities. The Company’s fiscal years 2018 to 2025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As of July 31, 2025, the gross amount of unrecognized tax benefits was approximately $21.2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At this time the Company is not able to reasonably estimate the amount of tax reserve that will reverse within the next 12 months.</w:t>
      </w:r>
    </w:p>
    <w:p>
      <w:pPr>
        <w:spacing w:after="0" w:line="399" w:lineRule="exact"/>
        <w:rPr>
          <w:sz w:val="20"/>
          <w:szCs w:val="20"/>
          <w:color w:val="auto"/>
        </w:rPr>
      </w:pPr>
    </w:p>
    <w:p>
      <w:pPr>
        <w:ind w:left="520" w:right="7860" w:hanging="512"/>
        <w:spacing w:after="0" w:line="582" w:lineRule="auto"/>
        <w:tabs>
          <w:tab w:leader="none" w:pos="281"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Contract Manufacturer Commitments</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8" w:name="page19"/>
    <w:bookmarkEnd w:id="18"/>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July 31, 2025 and January 31, 2025, total manufacturing purchase commitments were approximately $69.3 million and $56.4 million, respectively. On a quarterly basis, the Company also reviews and assesses the need for any expected loss liabilities for products that it does not expect to sell for which it has committed purchases from suppliers and records the liabilities in accrued and other current liabilities in the condensed consolidated balance sheets. There were no material loss liabilities recorded in the condensed consolidated balance sheets from adverse purchase commitments as of July 31, 2025 and January 31, 2025, respectively.</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other commitments as compared to the other commitments described in the Company's Annual Report on Form 10-K for the 2025 fiscal year filed with the SEC on March 28, 2025.</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as of July 31, 2025, and no liabilities have been recorded for these obligations in the condensed consolidated balance sheets as of July 31, 2025 and January 31, 2025, respectively.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ind w:right="120" w:firstLine="562"/>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 As of July 31, 2025 and January 31, 2025, there were no accruals for contingent liabilities related to such matters recorded in the condensed consolidated balance sheets.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229" w:lineRule="exact"/>
        <w:rPr>
          <w:sz w:val="20"/>
          <w:szCs w:val="20"/>
          <w:color w:val="auto"/>
        </w:rPr>
      </w:pPr>
    </w:p>
    <w:p>
      <w:pPr>
        <w:ind w:firstLine="554"/>
        <w:spacing w:after="0" w:line="254" w:lineRule="auto"/>
        <w:rPr>
          <w:sz w:val="20"/>
          <w:szCs w:val="20"/>
          <w:color w:val="auto"/>
        </w:rPr>
      </w:pPr>
      <w:r>
        <w:rPr>
          <w:rFonts w:ascii="Times New Roman" w:cs="Times New Roman" w:eastAsia="Times New Roman" w:hAnsi="Times New Roman"/>
          <w:sz w:val="18"/>
          <w:szCs w:val="18"/>
          <w:color w:val="auto"/>
        </w:rPr>
        <w:t xml:space="preserve">The Company operates as a single operating and reportable segment and derives substantially all of its revenue from development and sales of low-power AI-based processing and video and image processing SoC solutions. In determination of a reportable segment, the Company considers the research and development deployed, the nature of production process, the distribution channels of SoCs, as well as the Company’s management structure. The Chief Executive Officer of the Company has been identified as the Chief Operating Decision Maker (the CODM) and manages the Company’s operations as a whole. The CODM uses net loss presented on a consolidated basis to evaluate the financial performance and allocate resources. The CODM also monitors budget versus actual results of the operating segment. The measure of reportable segment assets is reported within the condensed consolidated balance sheets as total assets. The accounting policies for the measurement of net loss and total assets of the reportable segment have been described in the Note 1, </w:t>
      </w:r>
      <w:r>
        <w:rPr>
          <w:rFonts w:ascii="Times New Roman" w:cs="Times New Roman" w:eastAsia="Times New Roman" w:hAnsi="Times New Roman"/>
          <w:sz w:val="18"/>
          <w:szCs w:val="18"/>
          <w:i w:val="1"/>
          <w:iCs w:val="1"/>
          <w:color w:val="auto"/>
        </w:rPr>
        <w:t xml:space="preserve">Organization and Summary of Significant Accounting Policies </w:t>
      </w:r>
      <w:r>
        <w:rPr>
          <w:rFonts w:ascii="Times New Roman" w:cs="Times New Roman" w:eastAsia="Times New Roman" w:hAnsi="Times New Roman"/>
          <w:sz w:val="18"/>
          <w:szCs w:val="18"/>
          <w:color w:val="auto"/>
        </w:rPr>
        <w:t>of the Notes to Consolidated Financial Statements included in the Company's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2025 fiscal year filed with the SEC on March 28, 2025.</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revenue by geographic region based on bill-to location for the periods indicated.</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42"/>
        </w:trPr>
        <w:tc>
          <w:tcPr>
            <w:tcW w:w="39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68,137</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39,830</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122,036</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73,515</w:t>
            </w:r>
          </w:p>
        </w:tc>
        <w:tc>
          <w:tcPr>
            <w:tcW w:w="8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Taiwan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26,370</w:t>
            </w:r>
          </w:p>
        </w:tc>
        <w:tc>
          <w:tcPr>
            <w:tcW w:w="8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8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80" w:type="dxa"/>
            <w:vAlign w:val="bottom"/>
          </w:tcPr>
          <w:p>
            <w:pPr>
              <w:spacing w:after="0"/>
              <w:rPr>
                <w:sz w:val="18"/>
                <w:szCs w:val="18"/>
                <w:color w:val="auto"/>
              </w:rPr>
            </w:pPr>
          </w:p>
        </w:tc>
      </w:tr>
      <w:tr>
        <w:trPr>
          <w:trHeight w:val="216"/>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95,511</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63,724</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181,383</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118,197</w:t>
            </w:r>
          </w:p>
        </w:tc>
        <w:tc>
          <w:tcPr>
            <w:tcW w:w="8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-170815</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property and equipment were located in the United States, Taiwan, Europe and Asia Pacific region other than Taiwan. As of July 31, 2025, the net amount of fixed assets located in these regions was approximately $5.0 million, $3.7 million, $1.1 million and $0.3 million, respectively. As of January 31, 2025, the net amount of these fixed assets located in these regions was approximately $3.7 million, $4.0 million, $1.1 million and $0.3 million,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Additional Segment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significant segment expenses included in the condensed consolidated net loss for the periods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6"/>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53"/>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3"/>
          </w:tcPr>
          <w:p>
            <w:pPr>
              <w:jc w:val="center"/>
              <w:ind w:right="60"/>
              <w:spacing w:after="0" w:line="124"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4160" w:type="dxa"/>
            <w:vAlign w:val="bottom"/>
            <w:vMerge w:val="continue"/>
          </w:tcPr>
          <w:p>
            <w:pPr>
              <w:spacing w:after="0"/>
              <w:rPr>
                <w:sz w:val="20"/>
                <w:szCs w:val="20"/>
                <w:color w:val="auto"/>
              </w:rPr>
            </w:pPr>
          </w:p>
        </w:tc>
        <w:tc>
          <w:tcPr>
            <w:tcW w:w="1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95,511</w:t>
            </w:r>
          </w:p>
        </w:tc>
        <w:tc>
          <w:tcPr>
            <w:tcW w:w="16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63,724</w:t>
            </w:r>
          </w:p>
        </w:tc>
        <w:tc>
          <w:tcPr>
            <w:tcW w:w="140" w:type="dxa"/>
            <w:vAlign w:val="bottom"/>
          </w:tcPr>
          <w:p>
            <w:pPr>
              <w:spacing w:after="0"/>
              <w:rPr>
                <w:sz w:val="20"/>
                <w:szCs w:val="20"/>
                <w:color w:val="auto"/>
              </w:rPr>
            </w:pPr>
          </w:p>
        </w:tc>
        <w:tc>
          <w:tcPr>
            <w:tcW w:w="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181,383</w:t>
            </w:r>
          </w:p>
        </w:tc>
        <w:tc>
          <w:tcPr>
            <w:tcW w:w="26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Less cost and expense:</w:t>
            </w: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cost</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Employee-related</w:t>
            </w: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63,525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Semiconductor development cost</w:t>
            </w: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Tools &amp; equipment</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Facilities-related</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(a)</w:t>
            </w: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(4,354)</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(19,995)</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(34,889)</w:t>
            </w:r>
          </w:p>
        </w:tc>
        <w:tc>
          <w:tcPr>
            <w:tcW w:w="4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(44,323)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(72,821)</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right="480" w:hanging="3"/>
        <w:spacing w:after="0" w:line="282" w:lineRule="auto"/>
        <w:tabs>
          <w:tab w:leader="none" w:pos="7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segment items include amortization of intangible assets acquired from business combinations, non-operating (income) expenses, income tax provision (benefit) and other immaterial items.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July 31, 2025, the customer representing 10% or more of revenue was WT, which accounted for approximately 71.3% and 67.4% of total revenue, respectively. For the three months ended July 31, 2024, the customers representing 10% or more of revenue were WT and Hakuto, which accounted for approximately 62.5% and 10.2% of total revenue, respectively. For the six months ended July 31, 2024, the customer representing 10% or more of revenue was WT, which accounted for approximately 62.2% of total revenue. Accounts receivable with WT was approximately $18.8 million and $12.3 million as of July 31, 2025 and January 31, 2025, respectively.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ind w:left="10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2025 and management’s discussion and analysis of our financial condition and results of operations included in our Annual Report on Form 10-K for the 2025 fiscal year filed with the Securities and Exchange Commission, or SEC, on March 28, 2025.</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operating expenses, and cost recognition,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risks associated with the overall economy, including higher inflation and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artificial intelligence and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Our recent development efforts have focused on creating advanced AI technology that enables edge devices to visually perceive the environment and make decisions based on the data collected from cameras and, most recently, other types of sensors. This category of AI technology is known as edge inference AI, and our latest SoCs integrate our state-of-the-art video processor technology together with our deep learning neural network processing technology, which we refer to as CVflow™. The CVflow-architecture supports a variety of AI algorithms, including object detection, classification and tracking, semantic and instance segmentation, image processing, stereo object detection, and terrain mapping. CVflow can process other sensor modalities including lidar and radar, and allows customers to differentiate their products by porting their own, or third-party, neural networks and/or classical AI algorithms to our CVflow-based SoCs. Our latest third generation CVflow technology enables us to address incremental and computationally intense AI applications for deep fusion, deep planning, vision-language models (VLMs) and large language models (LLMs), as well as efficiently process transformer AI networks.</w:t>
      </w:r>
    </w:p>
    <w:p>
      <w:pPr>
        <w:spacing w:after="0" w:line="82"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Our SoC designs fully integrate AI functionality, high-definition, or HD, video processing, image processing, audio processing, and system functions onto a single chip, delivering exceptional video and image quality at high compression rates, differentiated functionality and low power consumption. These AI-based technologies allow us to address a broader range of markets and applications requiring AI video features, including IP security cameras, a variety of automotive cameras, consumer cameras, and industrial and robotic applications. We anticipate that our AI technology will also enable us to capture more content per electronic system and increase our average selling price.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Our development efforts are focused on SoCs that provide human viewing, AI and radar detection functionalities. As a result, we believe that our future revenue growth, if any, will significantly depend upon our ability to expand within camera markets with our AI technology, particularly in the Internet of Things, or IoT,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capabilities, and as we target new markets.</w:t>
      </w:r>
    </w:p>
    <w:p>
      <w:pPr>
        <w:spacing w:after="0" w:line="18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Volume production may begin within 12 to 18 months after a design win, but could be longer in certain markets, depending on the complexity of our customer’s product and other factors upon which we may have little or no influence. In general, design cycles will be longer in the OEM automotive and industrial and robotics markets than in the IoT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An IoT product typically has a life cycle of 12 to 24 months. We anticipate that product life cycles will typically be longer than 24 months in the OEM automotive and industrial and robotics markets, as new product introductions occur less frequently in these markets.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21" w:lineRule="exact"/>
        <w:rPr>
          <w:sz w:val="20"/>
          <w:szCs w:val="20"/>
          <w:color w:val="auto"/>
        </w:rPr>
      </w:pPr>
    </w:p>
    <w:p>
      <w:pPr>
        <w:ind w:left="1540" w:right="60" w:hanging="514"/>
        <w:spacing w:after="0" w:line="261"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 of $95.5 million and $181.4 million for the three and six months ended July 31, 2025, respectively. This represented increases of 49.9% and 53.5%, respectively, as compared to the same periods in the prior fiscal year. The increases in revenue were primarily attributable to higher product unit shipments, an increased percentage of our sales from higher average selling price AI inference processors, and higher nonrecurring engineering (NRE) project service revenue.</w:t>
      </w:r>
    </w:p>
    <w:p>
      <w:pPr>
        <w:spacing w:after="0" w:line="71" w:lineRule="exact"/>
        <w:rPr>
          <w:rFonts w:ascii="Times New Roman" w:cs="Times New Roman" w:eastAsia="Times New Roman" w:hAnsi="Times New Roman"/>
          <w:sz w:val="18"/>
          <w:szCs w:val="18"/>
          <w:color w:val="auto"/>
        </w:rPr>
      </w:pPr>
    </w:p>
    <w:p>
      <w:pPr>
        <w:ind w:left="1540" w:right="200" w:hanging="514"/>
        <w:spacing w:after="0" w:line="258"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operating losses of $22.0 million and $47.8 million for the three and six months ended July 31, 2025, respectively, as compared to operating losses of $36.3 million and $75.7 million for the three and six months ended July 31, 2024, respectively. The reductions in operating losses were primarily attributable to higher revenue and consequently, higher gross profit, partially offset by increases in operating expenses. The increases in operating expenses primarily related to higher personnel and engineering-related costs, including chip development costs and tools and equipment expenses.</w:t>
      </w:r>
    </w:p>
    <w:p>
      <w:pPr>
        <w:spacing w:after="0" w:line="75" w:lineRule="exact"/>
        <w:rPr>
          <w:rFonts w:ascii="Times New Roman" w:cs="Times New Roman" w:eastAsia="Times New Roman" w:hAnsi="Times New Roman"/>
          <w:sz w:val="18"/>
          <w:szCs w:val="18"/>
          <w:color w:val="auto"/>
        </w:rPr>
      </w:pPr>
    </w:p>
    <w:p>
      <w:pPr>
        <w:ind w:left="1540" w:right="20" w:hanging="514"/>
        <w:spacing w:after="0" w:line="258"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$20.3 million for the six months ended July 31, 2025, as compared to $1.8 million for the six months ended July 31, 2024. The increase in cash flows from operating activities was primarily attributable to a net profit adjusted for certain non-cash items for the six months ended July 31, 2025 compared to a net loss adjusted for certain non-cash items for the six months ended July 31, 2024. This increase was partially offset by lower net working capital associated primarily with the timing of collections and payments with our customers and vendors.</w:t>
      </w:r>
    </w:p>
    <w:p>
      <w:pPr>
        <w:spacing w:after="0" w:line="75" w:lineRule="exact"/>
        <w:rPr>
          <w:rFonts w:ascii="Times New Roman" w:cs="Times New Roman" w:eastAsia="Times New Roman" w:hAnsi="Times New Roman"/>
          <w:sz w:val="18"/>
          <w:szCs w:val="18"/>
          <w:color w:val="auto"/>
        </w:rPr>
      </w:pPr>
    </w:p>
    <w:p>
      <w:pPr>
        <w:ind w:left="1540" w:hanging="514"/>
        <w:spacing w:after="0" w:line="261"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28, 2025, our Board of Directors approved an extension of the existing share repurchase program for an additional twelve months through June 30, 2026. During the six months ended July 31, 2025, we repurchased a total of 24,152 of our ordinary shares for approximately $1.0 million in cash. As of July 31, 2025, there was approximately $48.0 million available for repurchases under the repurchase program through June 30,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2" w:name="page23"/>
    <w:bookmarkEnd w:id="22"/>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AI and Computer Vision Trends</w:t>
      </w:r>
      <w:r>
        <w:rPr>
          <w:rFonts w:ascii="Times New Roman" w:cs="Times New Roman" w:eastAsia="Times New Roman" w:hAnsi="Times New Roman"/>
          <w:sz w:val="18"/>
          <w:szCs w:val="18"/>
          <w:color w:val="auto"/>
        </w:rPr>
        <w:t>. We expect that AI and computer vision functionality will become an increasingly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in many of our current and future markets, including IoT, automotive, industrial and robotics markets. As a result, we believe that our ability to develop advanced AI and computer vision technologies,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IoT, automotive, industrial and robotics markets, is vital to our ability to generate revenue growth. As such, we closely monitor our design wins with our customers. However, a design win may not successfully materialize into revenue, and even if it does result in revenue, the amount generated by each design win can vary significantly.</w:t>
      </w:r>
    </w:p>
    <w:p>
      <w:pPr>
        <w:spacing w:after="0" w:line="18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Ability to Develop and Introduce New or Enhanced Solutions</w:t>
      </w:r>
      <w:r>
        <w:rPr>
          <w:rFonts w:ascii="Times New Roman" w:cs="Times New Roman" w:eastAsia="Times New Roman" w:hAnsi="Times New Roman"/>
          <w:sz w:val="18"/>
          <w:szCs w:val="18"/>
          <w:color w:val="auto"/>
        </w:rPr>
        <w:t>. We operate in a dynamic environment characterized by rapidly changing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technological obsolescence. To compete successfully, we must design, develop, market and sell enhanced solutions with increased levels of performance and functionality that meet the expectations of our customers, including advanced process technologies.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In addition, our ability to successfully develop new and enhanced solutions depends on our continuing ability to hire, train, motivate and retain highly skilled engineers, which is not ensured. Moreover, any reliability or quality problems with our solutions could harm our reputation, increase additional development and replacement costs, and prevent us from retaining existing customers and attracting new customers.</w:t>
      </w:r>
    </w:p>
    <w:p>
      <w:pPr>
        <w:spacing w:after="0" w:line="185"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Pricing, Product Cost and Margin</w:t>
      </w:r>
      <w:r>
        <w:rPr>
          <w:rFonts w:ascii="Times New Roman" w:cs="Times New Roman" w:eastAsia="Times New Roman" w:hAnsi="Times New Roman"/>
          <w:sz w:val="18"/>
          <w:szCs w:val="18"/>
          <w:color w:val="auto"/>
        </w:rPr>
        <w:t>. Our pricing and margins depend on the volumes and features of the solutions we provide to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8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60"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Continued Concentration of Revenue by End Markets</w:t>
      </w:r>
      <w:r>
        <w:rPr>
          <w:rFonts w:ascii="Times New Roman" w:cs="Times New Roman" w:eastAsia="Times New Roman" w:hAnsi="Times New Roman"/>
          <w:sz w:val="18"/>
          <w:szCs w:val="18"/>
          <w:color w:val="auto"/>
        </w:rPr>
        <w:t>. Historically, our revenue has been significantly concentrated in a small number of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and we developed technologies to provide solutions for new markets as they emerged. Since fiscal year 2018, the IoT markets and automotive markets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markets will continue to account for a significant percentage of our total revenue for the foreseeable future. Our concentration in a limited number of markets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9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Sales Volume</w:t>
      </w:r>
      <w:r>
        <w:rPr>
          <w:rFonts w:ascii="Times New Roman" w:cs="Times New Roman" w:eastAsia="Times New Roman" w:hAnsi="Times New Roman"/>
          <w:sz w:val="18"/>
          <w:szCs w:val="18"/>
          <w:color w:val="auto"/>
        </w:rPr>
        <w:t>. A typical design win that successfully launches into the marketplace can generate a wide range of sales volumes for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3" w:name="page24"/>
    <w:bookmarkEnd w:id="23"/>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 Product Life Cycle. </w:t>
      </w:r>
      <w:r>
        <w:rPr>
          <w:rFonts w:ascii="Times New Roman" w:cs="Times New Roman" w:eastAsia="Times New Roman" w:hAnsi="Times New Roman"/>
          <w:sz w:val="18"/>
          <w:szCs w:val="18"/>
          <w:color w:val="auto"/>
        </w:rPr>
        <w:t>We estimate our customers’ product life cycles based on the customer, type of product and end market. We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commercial shipments from 12 to 18 months following a design win; however, in some markets, lengthier product and development cycles are possible, depending on the scope and nature of the project, such as in the automotive market. An IoT product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Impact of Global Supply Chain Conditions on Our Business. </w:t>
      </w:r>
      <w:r>
        <w:rPr>
          <w:rFonts w:ascii="Times New Roman" w:cs="Times New Roman" w:eastAsia="Times New Roman" w:hAnsi="Times New Roman"/>
          <w:sz w:val="18"/>
          <w:szCs w:val="18"/>
          <w:color w:val="auto"/>
        </w:rPr>
        <w:t>The semiconductor industry faced significant global supply chain challenges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past few years. Supply chain issues can impact our business as they relate to both our suppliers and our customers. Recent supply chain challenges have largely subsided but may recur in future periods with changes in the macro-economic environment, including potential retaliatory tariffs and restrictions on exports to foreign locations due to the recent imposition of tariffs by the U.S. Government on imports.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 of operations for the periods indicated:</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98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92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95,511</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63,724</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181,383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118,197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39,280</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24,983</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73,616</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56,231</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38,741</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107,767</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71,901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59,734</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56,760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118,553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110,897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18,486</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78,220</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75,028</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155,614</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147,633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(21,989)</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(36,287)</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(47,847)</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(19,742)</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(34,142)</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(43,425)</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(34,889)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-1302385</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-1302385</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-1302385</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-1302385</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-736600</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-736600</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-736600</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-736600</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-453390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-453390</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-453390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-170815</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-170815</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-170815</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operating results as a percentage of revenue of each line item for the periods indicated:</w:t>
      </w:r>
    </w:p>
    <w:p>
      <w:pPr>
        <w:spacing w:after="0" w:line="27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92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80" w:type="dxa"/>
            <w:vAlign w:val="bottom"/>
          </w:tcPr>
          <w:p>
            <w:pPr>
              <w:spacing w:after="0"/>
              <w:rPr>
                <w:sz w:val="15"/>
                <w:szCs w:val="15"/>
                <w:color w:val="auto"/>
              </w:rPr>
            </w:pPr>
          </w:p>
        </w:tc>
        <w:tc>
          <w:tcPr>
            <w:tcW w:w="19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00" w:type="dxa"/>
            <w:vAlign w:val="bottom"/>
          </w:tcPr>
          <w:p>
            <w:pPr>
              <w:spacing w:after="0"/>
              <w:rPr>
                <w:sz w:val="15"/>
                <w:szCs w:val="15"/>
                <w:color w:val="auto"/>
              </w:rPr>
            </w:pPr>
          </w:p>
        </w:tc>
      </w:tr>
      <w:tr>
        <w:trPr>
          <w:trHeight w:val="142"/>
        </w:trPr>
        <w:tc>
          <w:tcPr>
            <w:tcW w:w="36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10"/>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r>
      <w:tr>
        <w:trPr>
          <w:trHeight w:val="216"/>
        </w:trPr>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10"/>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r>
      <w:tr>
        <w:trPr>
          <w:trHeight w:val="216"/>
        </w:trPr>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10"/>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24"/>
                <w:szCs w:val="24"/>
                <w:color w:val="auto"/>
                <w:vertAlign w:val="subscript"/>
              </w:rPr>
              <w:t>%</w:t>
            </w:r>
          </w:p>
        </w:tc>
        <w:tc>
          <w:tcPr>
            <w:tcW w:w="104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(55) </w:t>
            </w:r>
            <w:r>
              <w:rPr>
                <w:rFonts w:ascii="Times New Roman" w:cs="Times New Roman" w:eastAsia="Times New Roman" w:hAnsi="Times New Roman"/>
                <w:sz w:val="24"/>
                <w:szCs w:val="24"/>
                <w:color w:val="auto"/>
                <w:vertAlign w:val="subscript"/>
              </w:rPr>
              <w:t>%</w:t>
            </w:r>
          </w:p>
        </w:tc>
        <w:tc>
          <w:tcPr>
            <w:tcW w:w="1060" w:type="dxa"/>
            <w:vAlign w:val="bottom"/>
            <w:gridSpan w:val="2"/>
          </w:tcPr>
          <w:p>
            <w:pPr>
              <w:jc w:val="right"/>
              <w:ind w:right="20"/>
              <w:spacing w:after="0" w:line="210" w:lineRule="exact"/>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24"/>
                <w:szCs w:val="24"/>
                <w:color w:val="auto"/>
                <w:vertAlign w:val="subscript"/>
              </w:rPr>
              <w:t>%</w:t>
            </w:r>
          </w:p>
        </w:tc>
        <w:tc>
          <w:tcPr>
            <w:tcW w:w="106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24"/>
                <w:szCs w:val="24"/>
                <w:color w:val="auto"/>
                <w:vertAlign w:val="subscript"/>
              </w:rPr>
              <w:t>%</w:t>
            </w:r>
          </w:p>
        </w:tc>
      </w:tr>
      <w:tr>
        <w:trPr>
          <w:trHeight w:val="20"/>
        </w:trPr>
        <w:tc>
          <w:tcPr>
            <w:tcW w:w="3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-736600</wp:posOffset>
            </wp:positionV>
            <wp:extent cx="51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-736600</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-736600</wp:posOffset>
            </wp:positionV>
            <wp:extent cx="51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-736600</wp:posOffset>
            </wp:positionV>
            <wp:extent cx="51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-453390</wp:posOffset>
            </wp:positionV>
            <wp:extent cx="514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-453390</wp:posOffset>
            </wp:positionV>
            <wp:extent cx="514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-453390</wp:posOffset>
            </wp:positionV>
            <wp:extent cx="514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51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-170815</wp:posOffset>
            </wp:positionV>
            <wp:extent cx="514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-170815</wp:posOffset>
            </wp:positionV>
            <wp:extent cx="514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514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51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24" w:name="page25"/>
    <w:bookmarkEnd w:id="24"/>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low power AI-based processing and video and image processing SoC solutions to IoT OEMs, IoT ODMs, automotive OEMs or Tier-1 automotive suppliers, either directly or through our distributors. A substantial portion of our revenue from sales was made indirectly through two of our distributors, WT Microelectronics Co., Ltd., formerly Wintech Microelectronics Co., Ltd., or WT, which serves as our non-exclusive sales representative and fulfillment partner in Asia other than Japan, and Hakuto Co., Ltd., or Hakuto, a Japanese distributor, and to one ODM, Chicony Electronics Co., Ltd., or Chicony, which manufactures devices incorporating our solutions on behalf of multiple end-customers.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average selling prices fluctuate based on the mix of our solutions sold in a period which reflects the impact of both changes in unit sales of existing solutions as well as the introduction and sales of new solutions. Our AI-based solutions generally have higher selling prices than our traditional video and image processing SoC solutions that do not enable AI functionality. Our solutions are typically characterized by a life cycle that begins with higher average selling prices and lower volumes, followed by broader market adoption, higher volumes and average selling prices that are lower than initial levels.</w:t>
      </w:r>
    </w:p>
    <w:p>
      <w:pPr>
        <w:spacing w:after="0" w:line="1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end markets into which we sell our products have seen significant changes as customer preferences have evolved in response to new technologies. As a result, the composition and timing of our revenue may change in future periods. We expect shifts in use of video capture to continue to change over time, as AI specialized use cases emerge and video capture continues to proliferate.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 reserves, facility cost allocations, amortization of developed technology and software licenses, warranty and other general overhead costs.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costs of fabrication of mask sets for prototype products, the cost and depreciation of equipment, outside services as well as allocated depreciation and facility expenses. All research and development costs are expensed as incurred. We expect our research and development expense to generally increase in absolute dollars as we continue to enhance and expand our product features and offerings and increase headcount for new SoC development and development of AI technologies.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such as accounting, tax, or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AI technology.</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primarily of interest income and yields from our cash deposits and debt security investments, realized gains and losses from equity and debt security investments, subsidies and grants issued by governments, as well as gains and losses from foreign currency transactions and remeasurements.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incorporated and domiciled in the Cayman Islands and also conduct business in several locations such as the United States, China, Taiwan, Hong Kong, Italy, South Korea, Germany,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were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July 31, 2025 and 2024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80" w:type="dxa"/>
            <w:vAlign w:val="bottom"/>
          </w:tcPr>
          <w:p>
            <w:pPr>
              <w:spacing w:after="0"/>
              <w:rPr>
                <w:sz w:val="13"/>
                <w:szCs w:val="13"/>
                <w:color w:val="auto"/>
              </w:rPr>
            </w:pPr>
          </w:p>
        </w:tc>
        <w:tc>
          <w:tcPr>
            <w:tcW w:w="124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80" w:type="dxa"/>
            <w:vAlign w:val="bottom"/>
          </w:tcPr>
          <w:p>
            <w:pPr>
              <w:spacing w:after="0"/>
              <w:rPr>
                <w:sz w:val="13"/>
                <w:szCs w:val="13"/>
                <w:color w:val="auto"/>
              </w:rPr>
            </w:pPr>
          </w:p>
        </w:tc>
        <w:tc>
          <w:tcPr>
            <w:tcW w:w="122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31,</w:t>
            </w:r>
          </w:p>
        </w:tc>
        <w:tc>
          <w:tcPr>
            <w:tcW w:w="180" w:type="dxa"/>
            <w:vAlign w:val="bottom"/>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Borders>
              <w:bottom w:val="single" w:sz="8" w:color="auto"/>
            </w:tcBorders>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800" w:type="dxa"/>
            <w:vAlign w:val="bottom"/>
            <w:tcBorders>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2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95,511</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63,724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31,787</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181,383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118,197</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63,186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for the three and six months ended July 31, 2025, as compared to the same periods in the prior fiscal year, primarily due to higher product unit shipments, an increased percentage of our sales from higher average selling price AI inference processors, and higher NRE project service revenue.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20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20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0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2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31,</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00" w:type="dxa"/>
            <w:vAlign w:val="bottom"/>
            <w:gridSpan w:val="4"/>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780" w:type="dxa"/>
            <w:vAlign w:val="bottom"/>
            <w:tcBorders>
              <w:top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20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tcBorders>
              <w:top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22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20" w:type="dxa"/>
            <w:vAlign w:val="bottom"/>
            <w:vMerge w:val="continue"/>
          </w:tcPr>
          <w:p>
            <w:pPr>
              <w:spacing w:after="0"/>
              <w:rPr>
                <w:sz w:val="12"/>
                <w:szCs w:val="12"/>
                <w:color w:val="auto"/>
              </w:rPr>
            </w:pPr>
          </w:p>
        </w:tc>
        <w:tc>
          <w:tcPr>
            <w:tcW w:w="780" w:type="dxa"/>
            <w:vAlign w:val="bottom"/>
            <w:tcBorders>
              <w:top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1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120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59.4%</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122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Gross margin decreased for the three and six months ended July 31, 2025, as compared to the same periods in the prior fiscal year, primarily due to higher manufacturing costs associated with advanced process technologies and lower sales of previously reserved inventory, partially offset by an increase in high margin NRE project service revenue.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tcBorders>
              <w:bottom w:val="single" w:sz="8" w:color="auto"/>
            </w:tcBorders>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59,734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56,760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118,553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110,897</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for the three and six months ended July 31, 2025, as compared to the same periods in the prior fiscal year, primarily due to approximately $2.1 million and $4.4 million, respectively, of additional engineering-related expenses associated with the progress and number of chips in development. The increases were also attributable to approximately $1.0 million and $3.4 million, respectively, of higher personnel costs, including stock-based compensation, employee benefits and incentive bonus, as a result of higher headcount.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4"/>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tcBorders>
              <w:bottom w:val="single" w:sz="8" w:color="auto"/>
            </w:tcBorders>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18,486</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18,268</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37,061</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36,736</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Selling, general and administrative expense increased for the three and six months ended July 31, 2025, as compared to the same periods in the prior fiscal year, primarily due to approximately $0.9 million and $0.8 million, respectively, of higher outside professional service expense associated with our business development, partially offset by approximately $0.7 million and $0.5 million, respectively, of lower personnel costs and facility-related expenses.</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5"/>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tcBorders>
              <w:bottom w:val="single" w:sz="8" w:color="auto"/>
            </w:tcBorders>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5"/>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84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marginal increase in other income, net, for the three and six months ended July 31, 2025, as compared to the same periods in the prior fiscal year, was primarily due to higher yields from debt security investments, partially offset by lower interest income from our cash deposit and higher net losses from foreign currency transactions and remeasurements.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800" w:type="dxa"/>
            <w:vAlign w:val="bottom"/>
            <w:gridSpan w:val="5"/>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31,</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Borders>
              <w:bottom w:val="single" w:sz="8" w:color="auto"/>
            </w:tcBorders>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Pr>
          <w:p>
            <w:pPr>
              <w:jc w:val="right"/>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Provision for income</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4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3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1,505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4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0.9 </w:t>
            </w:r>
            <w:r>
              <w:rPr>
                <w:rFonts w:ascii="Arial" w:cs="Arial" w:eastAsia="Arial" w:hAnsi="Arial"/>
                <w:sz w:val="19"/>
                <w:szCs w:val="19"/>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quarterly income taxes reflect an estimate of the corresponding fiscal year’s annual effective tax rate and include, when applicable, adjustments from discrete tax items arising in the quarter.</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decreases in income tax expense for the three and six months ended July 31, 2025, as compared to the same periods in the prior fiscal year, were primarily due to a decrease in the proportion of profits generated in the U.S. and reduction in U.S. tax expenses because of the One Big Beautiful Bill Act (OBBBA).</w:t>
      </w:r>
    </w:p>
    <w:p>
      <w:pPr>
        <w:spacing w:after="0" w:line="17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On July 4, 2025, President Trump signed the OBBBA, which includes a broad range of tax reform provisions affecting businesses. The OBBBA includes numerous changes to existing tax law including extending or making permanent certain business and international tax measures initially established under the 2017 Tax Cuts and Jobs Act, which were set to expire. We are in the process of evaluating the financial statement impact of these provisions to future periods, but do not expect the OBBBA to have a material impact on our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of July 31, 2025, we had cash, cash equivalents and marketable debt securities of approximately $261.2 million. We invest in highly-liquid, short-term marketable debt securities and hold these investments as available-for-sale securities. Refer to Note 2 of the Notes to Condensed Consolidated Financial Statements for additional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20,307</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18"/>
                <w:szCs w:val="18"/>
                <w:color w:val="auto"/>
              </w:rPr>
            </w:pPr>
          </w:p>
        </w:tc>
        <w:tc>
          <w:tcPr>
            <w:tcW w:w="12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(21,099)</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(656)</w:t>
            </w: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(1,448)</w:t>
            </w:r>
          </w:p>
        </w:tc>
        <w:tc>
          <w:tcPr>
            <w:tcW w:w="420" w:type="dxa"/>
            <w:vAlign w:val="bottom"/>
            <w:vMerge w:val="restart"/>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cash</w:t>
            </w:r>
          </w:p>
        </w:tc>
        <w:tc>
          <w:tcPr>
            <w:tcW w:w="30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-282575</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-282575</wp:posOffset>
            </wp:positionV>
            <wp:extent cx="431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increased for the six months ended July 31, 2025, as compared to the same period in the prior fiscal year, primarily attributable to a net profit adjusted for certain non-cash items for the six months ended July 31, 2025 compared to a net loss adjusted for certain non-cash items for the six months ended July 31, 2024. This increase was partially offset by lower net working capital associated primarily with the timing of collections and payments with our customers and vendors.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for the six months ended July 31, 2025, as compared to the same period in the prior fiscal year, primarily attributable to approximately $21.9 million of additional net cash outflow for our debt security investments and approximately $5.0 million higher payments for the purchase of capital assets and software licenses.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increased for the six months ended July 31, 2025, as compared to the same period in the prior fiscal year, primarily due to approximately $1.1 million less cash received from stock activities, as well as $1.0 million of cash paid for the repurchase of our ordinary shares.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On May 28, 2025, our Board of Directors approved an extension of the existing share repurchase program for an additional twelve months through June 30, 2026. Refer to Note 10 of the Notes to Condensed Consolidated Financial Statements for additional information.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and Capital Expenditure Requirements</w:t>
      </w:r>
    </w:p>
    <w:p>
      <w:pPr>
        <w:spacing w:after="0" w:line="11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balances will be sufficient to meet our anticipated cash requirements through at least the next 12 months. In the future, we may require more working capital to meet our operating and capital expenditure needs. If our available cash balances are insufficient to satisfy our future liquidity requirements, we may seek to sell equity or convertible debt securities or borrow funds commercially.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Purchase Obligations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2025, we had purchase obligations with our independent contract manufacturers of $69.3 million.</w:t>
      </w:r>
    </w:p>
    <w:p>
      <w:pPr>
        <w:spacing w:after="0" w:line="22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Except as described above, there were no other material changes in our contractual obligations, commitments and contingencies from those disclosed in our Annual Report on Form 10-K for the fiscal year ended January 31, 2025. Please see Item 7, “Management’s Discussion and Analysis of Financial Condition and Results of Operations – Contractual Obligations, Commitments and Contingencies” in our Annual Report on Form 10-K for the fiscal year ended January 31, 2025 for a description of our contractual obligations.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July 31, 2025, we did not engage in any off-balance sheet arrangements, including the use of structured finance, special purpose entities or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of Notes to Condensed Consolidated Financial Statements for information regarding recently issued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right="80" w:firstLine="57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2025 fiscal year filed with the SEC on March 28,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market risk as described in Part II, Item 7A. “Quantitative and Qualitative Disclosures About Market Risk” in our Annual Report on Form 10-K for the 2025 fiscal year filed with the SEC on March 28,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Based upon such evaluation, our Principal Executive Officer and Principal Financial Officer have concluded that, as of July 31, 2025,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Company’s fiscal quarter ended July 31, 2025 that have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Disclosure Controls and Internal Control over Financial Reporting</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are not engaged in any material legal proceedings at this time. Refer to Note 14, Commitments and Contingencies of the Notes to Condensed Consolidated Financial Statements included in Part I, Item 1 of this Quarterly Report on Form 10-Q.</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6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business and our industry is subject to numerous risks and uncertainties, including those described in the following Risk Factors. These risks include, but are not limited to, the following:</w:t>
      </w:r>
    </w:p>
    <w:p>
      <w:pPr>
        <w:spacing w:after="0" w:line="54" w:lineRule="exact"/>
        <w:rPr>
          <w:sz w:val="20"/>
          <w:szCs w:val="20"/>
          <w:color w:val="auto"/>
        </w:rPr>
      </w:pPr>
    </w:p>
    <w:p>
      <w:pPr>
        <w:ind w:left="1020" w:right="6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design our solutions into their product offerings, or if our customers’ product offerings are not commercially successful, our business would suffer.</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penetrate new markets, including the automotive original equipment manufacturer (OEM) and advanced driver assistance systems (ADAS) market, our revenue and financial condition could be harmed.</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introduce new or enhanced solutions that meet market requirements on a timely basis, our ability to attract and retain customers could be impaired and our competitive position could be harmed.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the global supply chain challenges could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or increased costs of, wafers and materials could adversely impact our gross margins and lead to reduced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inventory warehouse is located in Hong Kong and may be affected by political, social and economic conditions in Hong Kong.</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markets may not grow or develop as we currently expect and are subject to market risks, any of which could harm our business, revenue and operating results.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end customers for a significant portion of our revenue. If we fail to retain or expand our customer relationships, our revenue could decline.</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competition to increase in the future, which could have an adverse effect on our revenue and market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our security systems may have a material adverse effect on our business.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intend to continue to invest in research and development, we may be unable to make the substantial investments that are required to remain competitive in our business.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hire, retain or motivate key personnel, we may not be able to grow effectively which could harm our business.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of semiconductor solutions in our target markets have typically decreased over time and will likely do so in the future, which could harm our revenue and gross margins.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any future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financial conditions of our customers could adversely affect our operating results.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w:t>
      </w:r>
    </w:p>
    <w:p>
      <w:pPr>
        <w:spacing w:after="0" w:line="117" w:lineRule="exact"/>
        <w:rPr>
          <w:rFonts w:ascii="Times New Roman" w:cs="Times New Roman" w:eastAsia="Times New Roman" w:hAnsi="Times New Roman"/>
          <w:sz w:val="18"/>
          <w:szCs w:val="18"/>
          <w:color w:val="auto"/>
        </w:rPr>
      </w:pPr>
    </w:p>
    <w:p>
      <w:pPr>
        <w:ind w:left="503" w:right="320"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67"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transitioning to new wafer fabrication process technologies or achieving higher levels of design integration, which may result in reduced manufacturing yields, delays in product deliveries and increased costs.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industry standards could make our video and image processing solutions obsolete, which would cause our operating results to suffer.</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tax risks, including relating to the complexity of calculating our tax provision, changes in effective tax rates, or unfavorable tax law changes.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on a quarterly and annual basis could cause the market price of our ordinary shares to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generate revenue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jc w:val="both"/>
        <w:ind w:left="503" w:right="460"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6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incorporate components supplied by multiple third parties, and a supply shortage or delay in delivery of these components could delay orders for our solutions by our customers.</w:t>
      </w:r>
    </w:p>
    <w:p>
      <w:pPr>
        <w:spacing w:after="0" w:line="53"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processed through a single distributor and the loss of this distributor may cause disruptions in our shipments, which may adversely affect our operations and financial condition.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distributors’ product inventories.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various third-party vendors, service providers and contractors in the operation of our business.</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high inflation, recessionary concerns and trade restrictions, may impact our business and financial condition in ways that we currently cannot predict.</w:t>
      </w:r>
    </w:p>
    <w:p>
      <w:pPr>
        <w:spacing w:after="0" w:line="53"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subject us to liability or impair our ability to compete in international markets, including China. In addition, our ability to sell certain products to certain China customers has been restricted.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warranty and product liability claims and to product recalls.</w:t>
      </w:r>
    </w:p>
    <w:p>
      <w:pPr>
        <w:spacing w:after="0" w:line="117"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laws and regulatory compliance requirements, including Section 404 of the Sarbanes-Oxley Act of 2002, which are costly to comply with, and our failure to comply with these requirements could harm our business and operating results.</w:t>
      </w:r>
    </w:p>
    <w:p>
      <w:pPr>
        <w:spacing w:after="0" w:line="53"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assertions of infringement of their intellectual property rights could result in our having to incur significant costs and cause our operating results to suffer. Any potential dispute involving our intellectual property could affect our customers, which could trigger our indemnification obligations to them and result in substantial expense to us.</w:t>
      </w:r>
    </w:p>
    <w:p>
      <w:pPr>
        <w:spacing w:after="0" w:line="176"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093"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We also face certain competitive disadvantages in these markets relative to larger competitors that have significantly more resources and a longer history working with OEMs and ODMs in these markets. In addition, trade tensions and tariffs between the United States and China as well as potential new export restrictions may make it more difficult to secure future design wins with China customers.</w:t>
      </w:r>
    </w:p>
    <w:p>
      <w:pPr>
        <w:spacing w:after="0" w:line="19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Even if an OEM designs one of our SoC solutions into its product, we cannot be assured that the OEM’s product will be commercially successful over time or at all. For example, in the past we have secured design wins for customer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penetrate new markets, including the automotive OEM and ADAS market, our revenue and financial condition could be harmed.</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believe that our future revenue growth, if any, significantly depends on our ability to expand within the Internet of Things, or IoT, camera markets with our new artificial intelligence, or AI, computer vision SoC solutions, and penetrate, or further penetrate, the OEM automotive, robotics and industrial markets. Our AI computer vision SoC solutions have functionality that may also be applicable to other developing markets, such as processing of large language models (LLMs). Each of these markets presents distinct and substantial risks and, in many cases, requires us to develop new functionality or software to address the particular requirements of that market. If any of these markets do not develop as we currently anticipate, the technical requirements of these markets evolve in ways we do not anticipate, the development of such markets is delayed or impacted by factors outside of our control,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requires a substantial investment of our time and resources and we cannot assure you that we will secure design wins from these or other companies or that we will achieve meaningful revenue from the sales of our solutions into these markets. In addition, we face competition from larger competitors with greater resources and more history in these markets, which may put us at a competitive disadvantage to these larger competitors. If we fail to penetrate these or other new markets we are targeting, our financial condition would likely suffer. Moreover, if we are successful in achieving design wins in these new markets, it will likely take longer to generate revenue from such design wins than in our traditional markets.</w:t>
      </w:r>
    </w:p>
    <w:p>
      <w:pPr>
        <w:spacing w:after="0" w:line="193"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new or enhanced solutions that meet market requirements on a timely basis, our ability to attract and retain customers could be impaired and our competitive position could be harmed.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2" w:name="page33"/>
    <w:bookmarkEnd w:id="32"/>
    <w:p>
      <w:pPr>
        <w:ind w:firstLine="509"/>
        <w:spacing w:after="0" w:line="253" w:lineRule="auto"/>
        <w:rPr>
          <w:sz w:val="20"/>
          <w:szCs w:val="20"/>
          <w:color w:val="auto"/>
        </w:rPr>
      </w:pPr>
      <w:r>
        <w:rPr>
          <w:rFonts w:ascii="Times New Roman" w:cs="Times New Roman" w:eastAsia="Times New Roman" w:hAnsi="Times New Roman"/>
          <w:sz w:val="18"/>
          <w:szCs w:val="18"/>
          <w:color w:val="auto"/>
        </w:rPr>
        <w:t>We operate in a dynamic environment characterized by rapidly changing technologies. To compete successfully, we must design, develop, market and sell enhanced solutions that provide increasingly higher levels of performance and functionality and that meet the technical and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need to establish and maintain relationships with third-party suppliers or software providers in order to effectively market our solutions to end-customers. Failure to establish these relationships could harm our ability to achieve design wins.</w:t>
      </w:r>
    </w:p>
    <w:p>
      <w:pPr>
        <w:spacing w:after="0" w:line="19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we develop and introduce new solutions, we also face the risk that customers may not value or be willing to bear the cost of incorporating these newer solutions into their products, particularly if they believe their customers are satisfied with current solutions. In addition, delays in product development could impair our relationships with our customers and negatively impact sales of our solutions under development.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Impacts of the global supply chain challenges could adversely affect our business, financial condition, and results of operations.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During the COVID-19 global pandemic, various restrictions were put in place causing a temporary decline in demand for certain items. As restrictions began easing across the world, an increase in demand for products containing semiconductor chips exacerbated bottlenecks in the supply chain, resulting in a global semiconductor supply shortage impacting our industry, which resulted in a lengthening of the manufacturing lead time for our products and impacting the normal forecasting and ordering patterns of our customers. To the extent customers faced supply chain issues with respect to other components needed to pair with our products in order to produce their end products, such customers delayed orders of our products or held inventory of our products for longer periods of time, resulting in a decline in our revenue. Customers may experience or cause similar delays in the future. With respect to our suppliers, we experienced supply constraints for certain chips from Samsung Electronics Corporation (Samsung) and we may experience similar issues in the future. While these supply chain challenges have largely subsided, we remain dependent on a global supply chain that can be affected by many factors, including macroeconomic conditions and geopolitical factors such as trade wars and tariffs, and we may face similar issues in the future.</w:t>
      </w:r>
    </w:p>
    <w:p>
      <w:pPr>
        <w:spacing w:after="0" w:line="184"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13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Many of our products support AI functionality implemented in our customers’ products, such as object detection, classification and tracking, image processing, and terrain mapping. Our latest generation of products also enable us to address computationally intense AI applications for deep fusion, deep planning, multi-modal vision-language models (VLMs), and large language models (LLMs) in edge devices. The adoption of AI solutions may not develop in the manner or in the time periods we anticipate and, as the markets for AI solutions are still developing, demand for these products may be unpredictable and vary significantly from one period to another. These factors may adversely impact demand for our AI related products. In addition, compliance with evolving government regulations worldwide related to AI may increase the costs related to the development of AI products and solutions and limit global adoption, which may also adversely impact demand for our AI related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Concerns relating to the responsible use of AI in our and our customers’ products may result in reputational and financial harm and liability. AI poses emerging ethical issues and presents risks and challenges that could affect its adoption, and therefore our business. If we or our customers enable or offer solutions that draw controversy due to their perceived or actual impact on society, such as AI solutions that have unintended consequences or are controversial, we may experience reputational harm, competitive harm, financial harm or legal liability.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Shortages in, or increased costs of, wafers and materials could adversely impact our gross margins and lead to reduced revenues.</w:t>
      </w:r>
    </w:p>
    <w:p>
      <w:pPr>
        <w:spacing w:after="0" w:line="229"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Silicon wafers constitute a material portion of our product cost and if we are unable to purchase wafers at favorable prices, our results of operations and financial condition will be adversely affected. The semiconductor industry recently experienced significant shortages of manufacturing capacity, which resulted in a lengthening of the manufacturing lead time for our products and which has at times harmed our revenue. While this capacity shortage has improved, we may experience capacity restraints again in the future. We have also experienced, during times of supply chain capacity shortages, customers placing orders for our products that exceed their actual demand, which may lead to us manufacturing a surplus of products and could have a negative impact on our results of operations and cash reserves and lead to us and our customers having excess inventory.</w:t>
      </w:r>
    </w:p>
    <w:p>
      <w:pPr>
        <w:spacing w:after="0" w:line="188"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primary inventory warehouse is located in Hong Kong and may be affected by continued political, social, health and economic conditions in Hong Kong.</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operate a warehouse facility in Hong Kong through which the substantial majority of our finished SoCs are shipped to customers or our logistic partners. Hong Kong has experienced, and continues to experience, political unrest and social strife. The Bureau of Industry and Security, or BIS, of the U.S. Department of Commerce, or Commerce, imposes on Hong Kong the same stringent export and reexport controls applicable to China, including licensing requirements such as those applicable to SoCs and semiconductor end-uses.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addition,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spacing w:after="0" w:line="188"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focusing our development resources on addressing computer vision applications, primarily in the automotive and IoT markets. The application of computer vision functionality in these markets is relatively new, and we may be unable to predict the timing or development of these markets with accuracy. For example, a slower than expected adoption rate for AI technology in automotive or IP security camera applications could slow the demand for our new solutions. Similarly, changes in the projected growth rate for ADAS or autonomous driving technology in the automotive market due to government regulations or changes in consumer preferences could negatively impact demand for our solutions. If our key target markets do not grow, grow slower, or do not develop in ways that we currently expect, demand for our SoCs may not materialize as expected, and our business and operating results could suffer.</w:t>
      </w:r>
    </w:p>
    <w:p>
      <w:pPr>
        <w:spacing w:after="0" w:line="185"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customers typically do not provide us with firm, long-term purchase commitments. A substantial majority of our sales are made on a purchase order basis, which customers may seek to cancel, change or delay their product purchase commitments with little or no notice to us.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during fiscal year 2023, we increased our inventory levels. While these factors have subsided and our inventory conditions have generally returned to normal level, we may experience similar inventory level fluctuations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changes in market conditions including reductions in market activity due to pandemics, adverse changes in our product order mix and fluctuating demand for our customers’ products. Even after an order is received, our customers may seek to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8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79"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15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2025, the customer representing 10% or more of our revenue was WT Microelectronics Co., Ltd., or WT, which serves as our non-exclusive sales representative and fulfillment partner in Asia other than Japan, accounted for approximately 63% of total revenue. For the six months ended July 31, 2025, the customer representing 10% or more of our revenue was WT, which accounted for approximately 67% of total revenue. We believe that revenue from our top 10 end customers, either directly or through a distributor or an ODM, accounted for approximately 59% of our total revenue in fiscal year 2025 and accounted for approximately 64% of our total revenue for the six months ended July 31, 2025. In addition, we believe that our largest end customer in fiscal year 2026 has been Arashi Vision Inc. dba Insta360, or Arashi, for which we indirectly supply SoCs through WT to multiple ODMs that build products on behalf of Arashi. We believe that our operating results in the near term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92"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focused on selling our SoC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customers generally take a considerable amount of time to evaluate our solutions. The typical time from early engagement by our sales force to actual product introduction runs from 12 to 18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83"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of our products and our supply chain. This qualification process may take several months and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expect competition to increase in the future, which could have an adverse effect on our revenue and market share.</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greater resources, longer histories in these markets and established relationships with OEMs and ODMs. Increased competition could result in price pressure, reduced profitability and loss of market share, any of which could harm our business, revenue and operating results.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competitors range from large, international companies with greater resources offering a wide range of semiconductor products to smaller, nimble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Corp.,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9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75"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and technology trends and successfully develop solutions that meet market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price points and performance metrics of competing products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that of competing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penetrating new markets, applications and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access to leading design tools and product specifications at the same time as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OEMs and ODMs;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effective implementation of video processing or radar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 operations in a timely and cost-efficient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design and application engineers with expertise in computer vision, video and image processing technologies and sales and marketing personnel.</w:t>
      </w:r>
    </w:p>
    <w:p>
      <w:pPr>
        <w:spacing w:after="0" w:line="16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breach of our security systems may have a material adverse effect on our business.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security systems are designed to maintain the physical security of our facilities and information systems and protect our confidential information and that of our customers, suppliers and employees. Accidental or willful security breaches or incidents or other unauthorized access to our facilities or our information systems or the existence of computer viruses or other malicious code or security vulnerabilities in our data or software could expose us to a risk of loss, unavailability, misappropriation and other unauthorized processing of proprietary and confidential information. Our efforts to eliminate or alleviate cyber or other security problems, bugs, viruses, ransomware and other malicious software programs and security vulnerabilities could impose significant costs, may not be successful, and could result in interruptions and delays that may impede critical functions.</w:t>
      </w:r>
    </w:p>
    <w:p>
      <w:pPr>
        <w:spacing w:after="0" w:line="18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Security breaches and incidents, computer malware and computer hacking attacks have become more prevalent and sophisticated. These threats are constantly evolving, making it difficult to defend against or implement preventive measures, and we may face difficulties or delays in identifying and otherwise responding to any security breach or incident. Moreover, remote work by our personnel and remote access to our systems increase our cybersecurity risk profile. We expect to incur significant costs in an effort to detect and prevent security breaches and incidents, and any actual or perceived security breach or incident may require us to incur significant costs in notifying relevant persons and entities and may otherwise increase our costs and require us to expend substantial resources. Our policies and security measures cannot guarantee security, and our information technology (IT) infrastructure, including our networks and systems, may be vulnerable to security breaches and incidents, cyber-attacks, or fraud. Third parties have attempted, and will likely continue to attempt, to penetrate and/or infect our network and systems with malicious software and phishing attacks in an effort to gain access to our network and systems. Hackers or others may be able to penetrate our security controls, misappropriate or compromise our confidential information or that of third parties, deploy viruses, worms, ransomware or other malicious code, or cause damage or disruptions to our IT infrastructure. For portions of our IT infrastructure, we rely on offerings provided by third parties. These third-party offerings relate to, among other things, human resources, electronic communication services and some finance functions, and we are dependent on these third parties' security systems. These third parties are subject to similar, and in certain cases greater, security threats than we face. These third parties may also experience breaches, incidents, and attacks compromising or otherwise impacting their offerings, and their offerings may contain security vulnerabilities or malicious code, or otherwise detrimentally impact our systems. Any unauthorized access to, or other security breaches or incidents impacting, the systems of our service providers, or any computer viruses, ransomware or other malicious code in their data or software, could expose us to risks of unauthorized access to our IT infrastructure and loss, misappropriation, unavailability and other unauthorized processing of information. Security breaches and incidents may also result from non-technical means, such as employee or contractor malfeasance or negligence. Any security breach or incident or theft, misuse, loss, unavailability or other unauthorized processing of information, or the perception that any of these matters has occurred, could result in, among other things, damage to our reputation, allegations by our customers that we have not performed our contractual obligations, regulatory investigations and other proceedings, litigation and possible penalties, damages, and other liabilities, any of which could have a material adverse effect on our business, financial condition, our reputation, and our relationships with our customers and partners. We may also encounter or be subject to bugs, errors, or hacking or other events resulting in system interruptions or other disruptions, corruption or loss of data, an inability to accurately process or record transactions, and security or technical reliability issues. All of these could harm our ability to conduct core operating functions and could impact our internal control compliance efforts. Due to conflicts and geopolitical events, we and</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ind w:right="260"/>
        <w:spacing w:after="0" w:line="282" w:lineRule="auto"/>
        <w:rPr>
          <w:sz w:val="20"/>
          <w:szCs w:val="20"/>
          <w:color w:val="auto"/>
        </w:rPr>
      </w:pPr>
      <w:r>
        <w:rPr>
          <w:rFonts w:ascii="Times New Roman" w:cs="Times New Roman" w:eastAsia="Times New Roman" w:hAnsi="Times New Roman"/>
          <w:sz w:val="18"/>
          <w:szCs w:val="18"/>
          <w:color w:val="auto"/>
        </w:rPr>
        <w:t>many third parties we work with are vulnerable to a heightened risk of cybersecurity attacks, and other means of causing security breaches and incidents from nation-state and affiliated actors.</w:t>
      </w:r>
    </w:p>
    <w:p>
      <w:pPr>
        <w:spacing w:after="0" w:line="162" w:lineRule="exact"/>
        <w:rPr>
          <w:sz w:val="20"/>
          <w:szCs w:val="20"/>
          <w:color w:val="auto"/>
        </w:rPr>
      </w:pPr>
    </w:p>
    <w:p>
      <w:pPr>
        <w:ind w:right="280" w:firstLine="509"/>
        <w:spacing w:after="0" w:line="289" w:lineRule="auto"/>
        <w:rPr>
          <w:sz w:val="20"/>
          <w:szCs w:val="20"/>
          <w:color w:val="auto"/>
        </w:rPr>
      </w:pPr>
      <w:r>
        <w:rPr>
          <w:rFonts w:ascii="Times New Roman" w:cs="Times New Roman" w:eastAsia="Times New Roman" w:hAnsi="Times New Roman"/>
          <w:sz w:val="17"/>
          <w:szCs w:val="17"/>
          <w:color w:val="auto"/>
        </w:rPr>
        <w:t>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w:t>
      </w:r>
    </w:p>
    <w:p>
      <w:pPr>
        <w:spacing w:after="0" w:line="154"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approximately $226.1 million, $215.1 million and $204.9 million in fiscal years 2025, 2024 and 2023, respectively. For the six months ended July 31, 2025, our research and development expense was approximately $118.6 million. In general, we expect to increase our research and development expenditures in future periods as compared to prior periods as part of our strategy of focusing on the development of innovative computer vision, video and image processing solutions with increased functionality, and as we target key markets, such as the automotive OEM and robotics markets. We are unable to predict whether we will have sufficient resources to achieve the level of investment in research and development required to remain competitive. For example, development in the latest process nodes, such as 5 nanometer, or nm, or smaller, costs significantly more than required to develop in larger process nodes, such as 14 or 10nm.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 In addition, the U.S. government recently introduced regulations that require notification of, or prohibit certain transactions with entities in China or with linkages to China, which could apply to certain intracompany activities between a U.S. based corporation and its China subsidiaries that support research and development activities, which could limit our ability to carry out certain research and development activities in China.</w:t>
      </w:r>
    </w:p>
    <w:p>
      <w:pPr>
        <w:spacing w:after="0" w:line="183"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hire, retain or motivate key personnel, we may not be able to grow effectively, which could harm our business.</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believe our performance depends in large part on the talents and efforts of our senior management and other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senior executives and employees. Our continued ability to compete effectively, and to grow our business, depends on our ability to attract new employees and to retain and motivate our existing senior executives and employees.</w:t>
      </w:r>
    </w:p>
    <w:p>
      <w:pPr>
        <w:spacing w:after="0" w:line="184"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semiconductor solutions in our target markets have typically decreased over time and will likely do so in the future, which could harm our revenue and gross margins.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such as our new AI computer vision-based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We expect that we will have to address pricing pressures again in the future, particularly in markets experiencing consolidation, which could require us to reduce the prices of our SoC solutions and harm our operating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any future growth, we may not be able to execute our business plan and our operating results could suffer.</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business has, at times,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likely to incur the costs associated with any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financial conditions of our customers could adversely affect our operating results.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Deterioration of the financial condition of our distributors or customers could adversely impact our future revenues and collection of accounts receivable. For the fiscal year ended January 31, 2025, the customer representing 10% or more of revenue was WT, which accounted for approximately 63% of total revenue. As of January 31, 2025, accounts receivable with WT was approximately $12.3 million. For the six months ended July 31, 2025, the customer representing 10% or more of revenue was WT, which accounted for approximately 67% of total revenue. As of July 31, 2025, accounts receivable with WT was approximately $18.8 million.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and cash flows would be negatively impacted.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Cyclical downturns have been characterized by diminished product demand, production overcapacity, high inventory levels and accelerated erosion of average selling prices, which could harm our business and operating results. We are dependent on the availability of third-party foundry and assembly capacity to manufacture and assemble our SoC solutions. None of our third-party foundry or assembly contractors has provided assurances that adequate capacity will be available to us in the future. The semiconductor industry recently experienced significant shortages of capacity, which resulted in a lengthening of the manufacturing lead time for our products. Such capacity shortages could negatively impact our ability to meet our customers’ demand for our products and have an adverse impact on our revenue, results of operations and customer relationships. We have also experienced, during times of supply chain capacity shortage, customers placing orders for our products that exceed their actual demand, which may lead to us manufacturing a surplus of products and could have a negative impact on our results of operations and cash reserves. Recent supply chain challenges have subsided, we may face similar supply chain challenges in future periods. Challenges may recur in future periods with changes in the macro-economic environment, including imposition of higher or additional tariffs by the U.S. Government on imports and new or additional restrictions on exports to foreign locations.</w:t>
      </w:r>
    </w:p>
    <w:p>
      <w:pPr>
        <w:spacing w:after="0" w:line="186" w:lineRule="exact"/>
        <w:rPr>
          <w:sz w:val="20"/>
          <w:szCs w:val="20"/>
          <w:color w:val="auto"/>
        </w:rPr>
      </w:pPr>
    </w:p>
    <w:p>
      <w:pPr>
        <w:jc w:val="both"/>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9" w:name="page40"/>
    <w:bookmarkEnd w:id="39"/>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 development costs and product recall, repair or replacement costs. These problems may also result in claims against us by our customers or others.</w:t>
      </w:r>
    </w:p>
    <w:p>
      <w:pPr>
        <w:spacing w:after="0" w:line="158"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may face difficulties, delays and increased expense as we transition our products to new processes, such as the 2nm process node,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industry standards could make our video and image processing solutions obsolete, which would cause our operating results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20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design our solutions to conform to video compression standards, including MPEG-2, H.264 Advanced Video Coding (AVC) and H.265 High Efficiency Video Coding (HEVC), set by industry standards setting bodies such as ITU-T Video Coding Experts Group and the ISO/IEC Moving Picture Experts Group. In addition, new or revised industry standards relating to AI technologies may impose additional requirements. Generally, our solutions comprise only a part of a camera device. All components of these devices must uniformly comply with industry standards in order to operate efficiently together.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w:t>
      </w:r>
    </w:p>
    <w:p>
      <w:pPr>
        <w:spacing w:after="0" w:line="184"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79"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international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collection of receivables from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instability;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military conflicts, including the ongoing conflicts in Ukraine and the Middle East;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and/or additional tariffs;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0" w:name="page41"/>
    <w:bookmarkEnd w:id="40"/>
    <w:p>
      <w:pPr>
        <w:ind w:left="1020" w:right="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on our ability to do business with certain companies or in certain countries as a result of international political conflicts;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standards and practices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pandemics, and natural disasters;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complexity of calculating our tax provision may result in errors that could result in restatements of our financial statements.</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The risk of errors may be exacerbated by the significant number of tax law changes recently enacted in the United States and other jurisdictions. Restatements are generally costly and could adversely impact our results of operations or have a negative impact on the trading price of our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 or Results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on a quarterly and annual basis could cause the market price of our ordinary shares to decline.</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revenue and operating results have fluctuated significantly from period to period in the past and are likely to do so in the future. As a result, you should not rely on period-to-period comparisons of our operating results as an indication of our future performance. It is also possible that our normal seasonal patterns will be impacted by ongoing macroeconomic uncertainty, future pandemics or disease outbreaks, supply chain disruptions and semiconductor capacity shortages, including the buildup of inventory by customers in response to such shortages, and continued high inflation. In future periods, our forecasted or actual revenue and results of operations may be below the expectations of analysts and investors, which could cause the market price of our ordinary shares to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affect our operating results include:</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sales cycles, product mix, and prices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forecasting, scheduling, rescheduling or cancellation of orders by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or manufacturer preferences and any resultant change in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 including new entrants or pricing pressures;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ability to manufacture and ship products that incorporate our solutions caused by internal and external factors beyond our control;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define, design and release new solutions in a timely manner that meet our customers’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adequate manufacturing capacity from our manufacturing subcontractors;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costs, including wafer, test and assembly costs, mask costs, manufacturing yields and product quality and reliability;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announcements by our competitors or by us;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1" w:name="page42"/>
    <w:bookmarkEnd w:id="41"/>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research and development and related new products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for excess quantities and technological obsolescence;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investment or other asset values;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which may lead to higher stock-based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effective tax rate;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312"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socioeconomic and political conditions in the countries where we operate or where our products are sold or used, including recent macroeconomic volatility, pandemics or widespread public health problems, U.S.-China relations and the conditions in Hong Kong; and</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especially related to intellectual property.</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Moreover, the semiconductor industry has historically been cyclical in nature, reflecting overall economic conditions as well as budgeting and buying patterns of consumers. For example, the semiconductor industry recently experienced significant shortages of capacity, which resulted in a lengthening of the manufacturing lead time for our products and could be impacting the normal forecasting and ordering patterns of our customers. In recent periods, some customers have indicated they are reducing their inventory levels as lead times for semiconductor chips and other components used by customers shrink, which has reduced, and may continue to reduce, such customers’ demand for our products in future periods.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profitability and cash flows, or incur losses.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revenue growth, we may not be able to execute our business plan and our operating results could suffer.</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believe that our future revenue growth, if any, will significantly depend on our ability to expand within our existing IoT camera markets, such as the existing professional and home security and monitoring camera markets, and successfully penetrate new markets, such as the OEM automotive, robotics and industrial markets, with our new AI computer vision-based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If we are unable to generate or maintain adequate revenue growth, our financial results could suffer and we may not be able to continue to invest in the development of new technology and solutions required to be successful.</w:t>
      </w:r>
    </w:p>
    <w:p>
      <w:pPr>
        <w:spacing w:after="0" w:line="185"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may adversely affect our operating results.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customers located outside the United States, primarily in Asia and we anticipate that this will continue. Sales to customers in Asia accounted for approximately 85%, 79% and 79% of our total revenue in fiscal years 2025, 2024 and 2023, respectively. For the six months ended July 31, 2025, sales to customers in Asia accounted for approximately 86% of total revenue.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9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2" w:name="page43"/>
    <w:bookmarkEnd w:id="42"/>
    <w:p>
      <w:pPr>
        <w:ind w:right="320"/>
        <w:spacing w:after="0" w:line="282" w:lineRule="auto"/>
        <w:rPr>
          <w:sz w:val="20"/>
          <w:szCs w:val="20"/>
          <w:color w:val="auto"/>
        </w:rPr>
      </w:pPr>
      <w:r>
        <w:rPr>
          <w:rFonts w:ascii="Times New Roman" w:cs="Times New Roman" w:eastAsia="Times New Roman" w:hAnsi="Times New Roman"/>
          <w:sz w:val="18"/>
          <w:szCs w:val="18"/>
          <w:color w:val="auto"/>
        </w:rPr>
        <w:t>between the New Taiwan Dollar and the U.S. dollar, and between the Eurozone Euro and the U.S. dollar, have been volatile in the recent past and these currency fluctuations may make it difficult for us to predict our operating results.</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our future capital needs, and we may not be able to obtain additional financing to fund our operations.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88"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portfolio could experience a decline in market value or otherwise become illiquid, which could materially and adversely affect our financial results.</w:t>
      </w:r>
    </w:p>
    <w:p>
      <w:pPr>
        <w:spacing w:after="0" w:line="15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of July 31, 2025, we had approximately $118.4 million invested in marketable debt securities. The marketable debt security investments primarily consisted of corporate bonds, asset-backed securities and U.S. government securities.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pandemics or widespread public health problems, the Eurozone crisis, the U.S. debt ceiling crisis, and imposition of tariffs, which affected various sectors of the financial markets and led to global credit and liquidity issues. We regularly maintain cash balances that are not insured or are in excess of the Federal Deposit Insurance Corporation’s (FDIC) insurance limit. If the global financial markets continue to experience volatility or deteriorate, our investment portfolio may be impacted and some or all of our investments may become illiquid or otherwise experience loss which could adversely impact our financial results and position. To the extent that we increase the amount of our security investments in the future, these risks would be exacerbated.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3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Sigurd Corporation or King Yuan Electronics Co., Ltd. under the supervision of our engineers. We depend on these third parties to supply us with material of a requested quantity in a timely manner that meets our standards for yield, cost and manufacturing quality.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19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ind w:right="200"/>
        <w:spacing w:after="0" w:line="282" w:lineRule="auto"/>
        <w:rPr>
          <w:sz w:val="20"/>
          <w:szCs w:val="20"/>
          <w:color w:val="auto"/>
        </w:rPr>
      </w:pPr>
      <w:r>
        <w:rPr>
          <w:rFonts w:ascii="Times New Roman" w:cs="Times New Roman" w:eastAsia="Times New Roman" w:hAnsi="Times New Roman"/>
          <w:sz w:val="18"/>
          <w:szCs w:val="18"/>
          <w:color w:val="auto"/>
        </w:rPr>
        <w:t>assembly and test subcontractors because of increased demand or the inability to obtain timely and adequate deliveries from our current vendors, we may not be able to do so cost-effectively, if at all.</w:t>
      </w:r>
    </w:p>
    <w:p>
      <w:pPr>
        <w:spacing w:after="0" w:line="158"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We have experienced and may again experience in the future supply constraints at our primary foundry and assembly vendors resulting from industry wide supply chain challenges.</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vendors do not achieve satisfactory yields or quality, our reputation and customer relationships could be harmed.</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We do not seek to maintain sufficient inventory to address a lengthy transition period because we believe it is uneconomical. As a result, we may not be able to meet customer needs during such a transition, which could result in a decline in our sales, negatively impact our financial results and damage our customer relationships.</w:t>
      </w:r>
    </w:p>
    <w:p>
      <w:pPr>
        <w:spacing w:after="0" w:line="179"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incorporate components supplied by multiple third parties, and a supply shortage or delay in delivery of these components could delay orders for our solutions by our customers.</w:t>
      </w:r>
    </w:p>
    <w:p>
      <w:pPr>
        <w:spacing w:after="0" w:line="15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Similarly, our ability to generate design wins in some markets, such as the automotive OEM market, requires us to collaborate with third-party software suppliers in order to offer a complete solution to customers. Our inability to successfully collaborate with such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third-party suppliers, or such suppliers’ inability to develop and deliver software, could harm our ability to achieve design wins and harm our business.</w:t>
      </w:r>
    </w:p>
    <w:p>
      <w:pPr>
        <w:spacing w:after="0" w:line="221"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sell a significant percentage of our solutions through a single distributor, WT, which serves as our non-exclusive sales representative and fulfillment partner in Asia other than Japan. Approximately 63%, 53% and 57% of our revenue was derived from sales through WT for the fiscal years ended January 31, 2025, 2024 and 2023, respectively, and approximately 67% of our revenue was derived from sales through WT for the six months ended July 31, 2025.We anticipate that a significant portion of our revenue will continue to be derived from sales through WT in the foreseeable future. Our current agreement with WT is effective until January 2026,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distributors' product inventories.</w:t>
      </w:r>
    </w:p>
    <w:p>
      <w:pPr>
        <w:spacing w:after="0" w:line="22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w:t>
      </w:r>
    </w:p>
    <w:p>
      <w:pPr>
        <w:spacing w:after="0" w:line="183"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176"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5" w:name="page46"/>
    <w:bookmarkEnd w:id="45"/>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84"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59"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We have had disruptions in the past due to natural disasters disrupting the operations of our suppliers and this could happen again.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high inflation, recessionary concerns and trade restrictions, may have an impact on our business and financial condition in ways that we currently cannot predict.</w:t>
      </w:r>
    </w:p>
    <w:p>
      <w:pPr>
        <w:spacing w:after="0" w:line="15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operations and performance depend significantly on global, regional and U.S. economic and geopolitical conditions. Customer demand for our solutions may be negatively impacted by weak economic conditions, high inflation or recessionary environments in the US and other nations. Inflation or other deteriorations in global economic conditions may impact our operating expenses and third parties may demand pricing accommodations, which could harm our ability to meet customer demands or collect revenue or otherwise harm our business and financial results.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have been escalating, which has, in our view, created and will perpetuate an uncertain business environment. Tariffs on Chinese-origin products increased and may do so further. The specific duty rates have fluctuated, with the United States imposing, revoking, and postponing various tariffs. Similarly, China has taken measures in response, including increased tariffs on U.S. products and the imposition of new export controls on rare earth metals, critical minerals, and other items. Though certain items have been exempted from some of these recent U.S. tariff actions, including computers, semiconductors and other consumer electronics, the risk of additional U.S. tariffs has materially increased in light of recent comments and new Section 232 investigations opened by the U.S. presidential administration.</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Additionally, in 2022, the U.S. government announced new controls restricting the ability to send certain products and technology related to semiconductors, semiconductor manufacturing, advanced computing, supercomputing, and artificial intelligence to China, including Hong Kong, without an export license. In many cases, these licenses are subject to a policy of denial and will not be issued. These controls have continued to expand. While our current products are not restricted by these controls, such controls could impact our ability to export products to China in the future. It also is possible that the Chinese government will retaliate in ways that could impact our business. End-user and end-use restrictions continue to evolve and may change what we can provide to certain entities both in China and other countries.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to negative impacts from existing tariffs and trade restrictions,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A large portion of our employee base is in China and impacts to our China offices could significantly harm our operations, make it difficult to support customers and negatively impact product development.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w:t>
      </w:r>
    </w:p>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U.S. government recently introduced regulations that require notification of or prohibit certain transactions by the Company with entities in China or with linkages to China. These regulations could apply to certain intracompany activities with our China subsidiary or other activities with entities in China or with linkages to China. These regulations could also limit the ability of others to transact certain business with the Company if those transactions involve or benefit, directly or indirectly our operations in China.</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Russia’s ongoing conflict with Ukraine has triggered significant sanctions from U.S. and European leaders. Changes in U.S. trade policy could trigger retaliatory actions by Russia, its allies and other affected countries, including China, resulting in a trade war. These sanctions and restrictions have continued to increase as the conflict has further escalated, and the United States and other countries could impose wider sanctions and export restrictions and take other actions in the future that could impact our business. Furthermore, if the conflict between Russia and Ukraine continues, or if other countries, including the U.S., become further involved in the conflict, we could face significant adverse effects to our business and financial condition.</w:t>
      </w:r>
    </w:p>
    <w:p>
      <w:pPr>
        <w:spacing w:after="0" w:line="183"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have significant business operations in Taiwan, including 353 employees as of July 31, 2025,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to several China customers has been restricted.</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Several of our customers, including Hangzhou Hikvision Digital Technology Co., Ltd, or Hikvision, Zhejiang Dahua Technology Co., Ltd., or Dahua, and affiliates of Shenzhen Dajiang Baiwang Technology Co., Ltd., have been added to the BIS Entity List, which imposes limitations on the supply of U.S. controlled items to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any of our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90"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15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and product liability claims and to product recalls.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8" w:lineRule="exact"/>
        <w:rPr>
          <w:sz w:val="20"/>
          <w:szCs w:val="20"/>
          <w:color w:val="auto"/>
        </w:rPr>
      </w:pPr>
    </w:p>
    <w:p>
      <w:pPr>
        <w:ind w:right="9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data processing, privacy, data protection and cybersecurity.</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legislative and regulatory framework for data processing, privacy, data protection and cybersecurity issues worldwide is rapidly evolving and is likely to remain uncertain for the foreseeable future. We collect, maintain, transfer and otherwise process personal information and other data as part of our business processes and activities. These actions are subject to a variety of U.S. and international laws and regulations, and oversight by various regulatory or other governmental bodies. Many foreign countries and governmental bodies, including China, the European Union and other relevant jurisdictions where we conduct business, have laws and regulations concerning these matters that are more restrictive than those in the U.S. For example, the European Union has adopted the General Data Protection Regulation, or GDPR, which imposed stringent data protection requirements and provided for substantial penalties for noncompliance, including the potential for fines of up to €20 million or 4% of the annual global revenues of the noncompliant entity, whichever is greater. The United Kingdom has adopted legislation that substantially implements the GDPR and provides for a similar penalty structure. Similarly, California has adopted the California Consumer Privacy Act of 2018, or CCPA, which took effect in 2020. The CCPA was modified by the California Privacy Rights Act of 2020, which became effective on January 1, 2023. Numerous other U.S. states have proposed, and in certain cases enacted privacy laws, many of which are similar to the CCPA. The U.S. Department of Justice has also issued regulations regarding certain bulk sensitive personal data transfers.</w:t>
      </w:r>
    </w:p>
    <w:p>
      <w:pPr>
        <w:spacing w:after="0" w:line="19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2021, the National People’s Congress passed the Data Security Law of the People’s Republic of China (Data Security Law) and China’s Personal Information Protection Law (PIPL). The Data Security Law is the first comprehensive data security legislation in China and aims to regulate a wide range of issues in relation to the collection, storage, processing, use, provision, transaction and publication of any kind of data. The PIPL is the first national-level law comprehensively regulating issues in relation to personal information protection in China, and provides for substantial fines and other remedies. The Data Security Law contains provisions that allow substantial government oversight and includes fines for failure to obtain required approval from China’s cyber and data protection regulators for cross-border personal information-related data transfers.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Aspects of laws and regulations relating to data processing, privacy, data protection and cybersecurity, and their interpretation and enforcement, remain unclear, and these laws and regulations, as well as relevant industry standards or other actual or asserted obligations, may be interpreted or applied in a manner that is inconsistent with our practices or the features of our products or solutions. We may find it necessary to modify our products, solutions or practices and to incur substantial costs and expenses in an effort to comply. Further, in the event of any actual or alleged failure to comply with such laws, regulations, industry standards or other actual or asserted obligations,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data processing, privacy, data protection or cybersecurity concerns, or to comply with applicable laws, regulations, industry standards, or other actual or asserted obligations relating to these matters, even if unfounded, could result in additional cost and liability to us, inhibit sales, damage our reputation and adversely affect our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5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face significant risks if we fail to comply with the FCPA and other anti-corruption laws that prohibit improper payments or offers of payment. Anti-corruption and anti-bribery laws have been enforced aggressively in recent years and are interpreted broadly to generally prohibit companies, their employees, agents, representatives, distributors, business partners, and third-party intermediaries from authorizing, offering, or providing, directly or indirectly, improper payments or benefits to recipients in the public or private sector. In many foreign countries, particularly in countries with developing economies, it may be a local custom that businesses operating in such countries engage in business practices that are prohibited by the FCPA or other applicable laws and regulations.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Although we implemented an anti-corruption compliance program, we cannot assure you that none of our employees, agents, representatives, distributors, business partners or third-party intermediaries will take actions in violation of our policies and applicable law, for which we may be ultimately held responsible. Any allegations or violation of the FCPA or other applicable anti-corruption laws could result in whistleblower complaints, investigations, enforcement actions, severe criminal or civil sanctions, fines, adverse media coverage, and suspension or debarment from U.S. government contracting, all of which could have an adverse effect on our reputation, business, financial condition, operating results and cash flows. Responding to any investigation or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Failure to comply with these and similar laws and regulations could subject us to fines, penalties, civil or criminal sanctions, contract damage claims, and take-back of non-compliant products, which could harm our business, reputation and operating results. Similarly,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76"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Global Select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4"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applicable tax laws or effective tax rates or adverse outcomes resulting from examination of our tax returns could adversely affect our results.</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49" w:name="page50"/>
    <w:bookmarkEnd w:id="49"/>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Our operations are subject to certain taxes, such as income and transaction taxes in the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transfer pricing adjustments, re-organization or restructuring of our businesses, changes in our corporate structure, including the effect of acquisitions on our legal structure, by tax costs related to intercompany realignments, tax effects of share-based compensation, expiration of or lapses in tax incentives, or by changes in tax laws, regulations, accounting principles or interpretations thereof.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Changes in applicable laws could cause us to experience fluctuations in our tax obligations and effective tax rates and otherwise adversely affect our tax positions and/or our tax liabilities. For example, in August 2022, the U.S. enacted the Inflation Reduction Act of 2022, or IRA, which includes a new 15% corporate minimum tax as well as a 1% excise tax on the fair value of corporate stock repurchases made by U.S. corporations and certain foreign corporations after December 31, 2022. We do not expect the IRA to have a material impact on our financial statements.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2018, the Cayman Islands passed the International Tax Co-Operation (Economic Substance) Law, 2018, which requires Cayman Islands companies carrying on one or more relevant activities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has been working on a Base Erosion and Profit Shifting Project and has been issuing guidelines and proposals covering a number of issues, including country-by-country reporting, permanent establishment rules, transfer pricing rules and tax treaties. Many of these changes have been or are in the process of being adopted by numerous countries and could materially and adversely affect our provision for income taxes. One proposal, which has been enacted or is being considered by many jurisdictions, is a framework that ensures an effective global minimum tax rate of 15% on certain multinationals that meet a consolidated revenues threshold of EUR 750 million or equivalent annually (“Pillar Two”). The Company believes that its consolidated revenues have not exceeded the relevant annual threshold. In addition, the U.S. has withdrawn support for Pillar Two and has indicated that it may take action against countries with tax laws that disproportionately impact U.S. businesses, which may result in retaliatory taxes or other retaliatory actions against U.S. businesses. Additional changes to global tax laws are likely to occur, and such changes may adversely affect our effective tax rate, operating results, and cash flow.</w:t>
      </w:r>
    </w:p>
    <w:p>
      <w:pPr>
        <w:spacing w:after="0" w:line="18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One Big Beautiful Bill Act (OBBBA) was enacted on July 4, 2025, and made a number of changes to existing tax law, including extending or making permanent certain business and international tax measures initially established under the Tax Cuts and Jobs Act of 2017 (TCJA), which were set to expire. The OBBBA requires complex computations to be performed that were initially introduced by the TCJA. The U.S. Treasury Department, the IRS, and other standard-setting bodies could interpret or issue guidance on how provisions of the OBBBA will be applied or otherwise administered that is different from our interpretation. We are in the process of evaluating the financial statement impact of these provisions to future periods, but do not expect the OBBBA to have a material impact on the consolidated financial statements. As we complete our analysis of the OBBBA, collect and prepare necessary data, and interpret any additional guidance, we may make adjustments to provisional amounts that we have recorded that may impact our provision for income taxes in the period in which the adjustments are made.</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periodic audits or other reviews by tax authorities in the jurisdictions in which we conduct our activities. For example, our income tax returns are subject to continuous examination by the Internal Revenue Service and other tax authorities. Any such audit, examination or review requires management’s time, diverts internal resources and, in the event of an unfavorable outcome, may result in additional tax liabilities or other adjustments to our historical results.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0" w:name="page51"/>
    <w:bookmarkEnd w:id="5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w:t>
      </w:r>
    </w:p>
    <w:p>
      <w:pPr>
        <w:spacing w:after="0" w:line="20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for any taxable year, either (a) at least 75% of our gross income is passive income or (b) at least 50% of the value of our assets (based on an average of the quarterly values of those assets during the taxable year) is attributable to assets that produce or are held for the production of passive income, in each case including a pro rata portion of the income and assets of each subsidiary in which we own, directly or indirectly, at least 25% by value of such subsidiary’s equity interests, we may be characterized as a passive foreign investment company, or PFIC, for U.S. federal income tax purposes. If we are treated as a PFIC for any taxable year during which a U.S. holder holds ordinary shares, certain adverse U.S. federal income tax consequences could apply for such U.S. holder.</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Based on the current and anticipated valuation of our assets and the composition of our income and assets, we do not expect to be considered a PFIC for our 2026 fiscal year. However, a separate determination must be made at the close of each taxable year as to whether we are a PFIC for that taxable year, and we cannot assure you that we will not be a PFIC for our 2027 fiscal year or any future taxable year.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U.S. federal income tax status, or that of our subsidiaries, could result in adverse tax consequences to our 10% or greater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w:t>
      </w:r>
    </w:p>
    <w:p>
      <w:pPr>
        <w:spacing w:after="0" w:line="20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for U.S. federal income tax purposes, a United States person owns, or is considered to own as a result of certain attribution rules, 10% or more of the voting power or value of the stock of a non-U.S. corporation, such person is “United States shareholder” of such corporation, and may be treated as a “United States shareholder” with respect to each non-U.S. corporation in our group that is a subsidiary of that corporation. A non-U.S. corporation is a controlled foreign corporation, or CFC, for U.S. federal income tax purposes if United States shareholders, as defined in the immediately preceding sentence, own directly, indirectly or constructively (through attribution), more than 50% of either the total combined voting power or total value of the stock of such corporation. Because our group includes one or more U.S. subsidiaries, certain of our non-U.S. subsidiaries will generally be treated as CFCs under certain “downward attribution” rules, even if we are not a CFC. The OBBBA modifies the downward attribution rules and limits income inclusion with respect to foreign corporations that are treated as CFCs by virtue of downward attribution to only United States shareholders who own directly or indirectly more than 50% of the foreign corporation, effective for taxable years of foreign corporations beginning after December 31, 2025. Any United States shareholder (as defined above) should consult their individual tax advisor regarding the potential application of these rules to their ownership interest</w:t>
      </w:r>
      <w:r>
        <w:rPr>
          <w:rFonts w:ascii="Times New Roman" w:cs="Times New Roman" w:eastAsia="Times New Roman" w:hAnsi="Times New Roman"/>
          <w:sz w:val="18"/>
          <w:szCs w:val="18"/>
          <w:b w:val="1"/>
          <w:bCs w:val="1"/>
          <w:i w:val="1"/>
          <w:iCs w:val="1"/>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59"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8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83"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We and certain of our customers have received, and in the future may receive, communications from others alleging our infringement of their patents, trade secrets or other intellectual property rights. In addition, we and certain of our end customers have been the subject of lawsuits alleging infringement of intellectual property rights by our solutions or products incorporating our solutions, including the assertion that the alleged infringement may be attributable, at least in part, to our technology. Such lawsuits could subject us to significant liability for damages and invalidate our proprietary rights, though this has not occurred to date. Any potential intellectual property litigation also could force us to do one or more of the following:</w:t>
      </w:r>
    </w:p>
    <w:p>
      <w:pPr>
        <w:spacing w:after="0" w:line="81"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products or using technology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Any significant impairment of our intellectual property rights from any litigation we face could harm our business and our ability to compete.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2" w:name="page53"/>
    <w:bookmarkEnd w:id="52"/>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88"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which could cause the value of your investment to decline.</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market price of our ordinary shares has historically been highly volatile, and has been particularly volatile in recent years. For example, since February 1, 2020, the trading price of our common stock ranged from a low of $36.02 to a high of $227.59. The trading price of our ordinary shares is likely to remain volatile and could be subject to wide fluctuations in price in response to various factors, some of which are beyond our control. These factors include:</w:t>
      </w:r>
    </w:p>
    <w:p>
      <w:pPr>
        <w:spacing w:after="0" w:line="7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including our ability to meet our future revenue and operating profit or loss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those of other semiconductor or comparable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results failing to meet or exceed our guidance or investor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economic performance or market valuations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developments in the semiconductor industry as a whole;</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conditions related to the banking industry or caused by pandemics and high inflation, and slow or negative market growth;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geopolitical activities affecting markets we address;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new products, significant contracts or orders, commercial relationships or capital commitments;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3" w:name="page54"/>
    <w:bookmarkEnd w:id="53"/>
    <w:p>
      <w:pPr>
        <w:ind w:left="1020" w:right="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a substantial number of our ordinary shares by us, our officers, or our significant stockholders as well as the perception that such sales or purchases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ordinary shares, short seller reports, and related media coverage;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or repurchase of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conditions in the markets where we sell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or failure of securities analysts to maintain coverage of us.</w:t>
      </w:r>
    </w:p>
    <w:p>
      <w:pPr>
        <w:spacing w:after="0" w:line="22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15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due to the resignation or departure of an existing board member;</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cumulative voting in the election of directors which would otherwise allow less than a majority of shareholders to elect director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advance notice of nominations for election to our board of directors or for proposing matters that can be acted upon at a shareholders’ meeting;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rights of shareholders to call a special meeting of shareholders and to take action by written consent in lieu of a meeting;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face difficulties in protecting their interests because we are incorporated under Cayman Islands law.</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4" w:name="page55"/>
    <w:bookmarkEnd w:id="54"/>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21"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are interrupted, our business and reputation could suffer.</w:t>
      </w:r>
    </w:p>
    <w:p>
      <w:pPr>
        <w:spacing w:after="0" w:line="229"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8"/>
          <w:szCs w:val="18"/>
          <w:color w:val="auto"/>
        </w:rPr>
        <w:t>Our operations and those of our manufacturers are vulnerable to interruption caused by technical breakdowns, computer hardware and software malfunctions, software viruses, infrastructure failures, pandemics, and regional health issues, earthquakes, natural disasters,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delay product development and R&amp;D, or result in a claim for substantial damages against us, regardless of whether we are responsible for that failure. If remote or work from home conditions were to continue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climate change-related policies and regulations may have a long-term impact on our business.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Global climate change is causing, and is projected to continue to cause, an increase in the frequency and intensity of certain natural disasters. Additionally, adverse weather, such as drought, wildfires, severe storms, sea-level rise, flooding, heat waves and cold waves, may occur more frequently and/or with greater intensity. Such extreme events are driving changes in market dynamics, and local, national and international policies and regulations, which could result in disruptions to us, our suppliers, customers, and employees. These disruptions could make it more difficult and costly for us to deliver our products, obtain components or other</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5" w:name="page56"/>
    <w:bookmarkEnd w:id="55"/>
    <w:p>
      <w:pPr>
        <w:ind w:right="80"/>
        <w:spacing w:after="0" w:line="282" w:lineRule="auto"/>
        <w:rPr>
          <w:sz w:val="20"/>
          <w:szCs w:val="20"/>
          <w:color w:val="auto"/>
        </w:rPr>
      </w:pPr>
      <w:r>
        <w:rPr>
          <w:rFonts w:ascii="Times New Roman" w:cs="Times New Roman" w:eastAsia="Times New Roman" w:hAnsi="Times New Roman"/>
          <w:sz w:val="18"/>
          <w:szCs w:val="18"/>
          <w:color w:val="auto"/>
        </w:rPr>
        <w:t>supplies through our supply chain, maintain, or resume operations or perform other critical corporate functions, and could reduce customer demand for our products, which would harm our business.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displays information with respect to repurchases of the Company’s ordinary shares during the first quarter of fiscal year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shares repurchased during the three months ended July 31, 2025.</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148"/>
        </w:trPr>
        <w:tc>
          <w:tcPr>
            <w:tcW w:w="424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73"/>
        </w:trPr>
        <w:tc>
          <w:tcPr>
            <w:tcW w:w="4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(i)</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(ii)</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(i)</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 2025 to February 28, 2025</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March 1, 2025 to March 31, 2025</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2025 to April 30, 2025</w:t>
            </w:r>
          </w:p>
        </w:tc>
        <w:tc>
          <w:tcPr>
            <w:tcW w:w="1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-156845</wp:posOffset>
            </wp:positionV>
            <wp:extent cx="768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-156845</wp:posOffset>
            </wp:positionV>
            <wp:extent cx="768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-156845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-156845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ind w:left="1140" w:right="20" w:hanging="758"/>
        <w:spacing w:after="0" w:line="25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28, 2025, our Board of Directors approved an extension of the existing $50.0 million share repurchase program for an additional twelve months through June 30, 2026. The repurchase program does not obligate us to acquire any particular amount of ordinary shares, and it may be suspended at any time at our discretion. Shares may be repurchased through open market purchases, 10b5-1 plans or privately negotiated transactions. Repurchases are funded using our working capital and any repurchased shares are recorded as authorized but unissued shares. As of July 31, 2025, we had repurchased an aggregate amount of $2.0 million of our ordinary shares, and we had approximately $48.0 million available to repurchase shares under the program through June 30, 2026.</w:t>
      </w:r>
    </w:p>
    <w:p>
      <w:pPr>
        <w:spacing w:after="0" w:line="79" w:lineRule="exact"/>
        <w:rPr>
          <w:rFonts w:ascii="Times New Roman" w:cs="Times New Roman" w:eastAsia="Times New Roman" w:hAnsi="Times New Roman"/>
          <w:sz w:val="18"/>
          <w:szCs w:val="18"/>
          <w:color w:val="auto"/>
        </w:rPr>
      </w:pPr>
    </w:p>
    <w:p>
      <w:pPr>
        <w:ind w:left="1140" w:right="140" w:hanging="758"/>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is calculated by total cash utilized (excluding commission) divided by total shares repurchased during the period.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During our fiscal quarter ending July 31, 2025, no director or officer, as defined in Rule 16a-1(f), adopted or terminated a “Rule 10b5-1 trading arrangement” or a “non-Rule 10b5-1 trading arrangement,” each as defined in Regulation S-K Item 408.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00" w:type="dxa"/>
            <w:vAlign w:val="bottom"/>
            <w:gridSpan w:val="7"/>
          </w:tcPr>
          <w:p>
            <w:pPr>
              <w:ind w:left="6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4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94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Amended and Restated Memorandum of Association and Second Amended and Restated Articles of Association of the Registrant.</w:t>
              </w:r>
            </w:hyperlink>
          </w:p>
        </w:tc>
        <w:tc>
          <w:tcPr>
            <w:tcW w:w="20" w:type="dxa"/>
            <w:vAlign w:val="bottom"/>
            <w:tcBorders>
              <w:bottom w:val="single" w:sz="8" w:color="0000EE"/>
            </w:tcBorders>
          </w:tcPr>
          <w:p>
            <w:pPr>
              <w:spacing w:after="0"/>
              <w:rPr>
                <w:sz w:val="24"/>
                <w:szCs w:val="24"/>
                <w:color w:val="auto"/>
              </w:rPr>
            </w:pPr>
          </w:p>
        </w:tc>
        <w:tc>
          <w:tcPr>
            <w:tcW w:w="6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620" w:type="dxa"/>
            <w:vAlign w:val="bottom"/>
          </w:tcPr>
          <w:p>
            <w:pPr>
              <w:spacing w:after="0"/>
              <w:rPr>
                <w:sz w:val="24"/>
                <w:szCs w:val="24"/>
                <w:color w:val="auto"/>
              </w:rPr>
            </w:pPr>
          </w:p>
        </w:tc>
        <w:tc>
          <w:tcPr>
            <w:tcW w:w="96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Rule 13a-14(a) and 15d-14(a) of the Securities Exchange Act of 1934, as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tcPr>
          <w:p>
            <w:pPr>
              <w:spacing w:after="0"/>
              <w:rPr>
                <w:sz w:val="24"/>
                <w:szCs w:val="24"/>
                <w:color w:val="auto"/>
              </w:rPr>
            </w:pPr>
          </w:p>
        </w:tc>
        <w:tc>
          <w:tcPr>
            <w:tcW w:w="9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Under Rule 13a-14(a) and 15d-14(a) of the Securities Exchange Act of 1934, as</w:t>
            </w:r>
          </w:p>
        </w:tc>
        <w:tc>
          <w:tcPr>
            <w:tcW w:w="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32.1±</w:t>
            </w:r>
          </w:p>
        </w:tc>
        <w:tc>
          <w:tcPr>
            <w:tcW w:w="620" w:type="dxa"/>
            <w:vAlign w:val="bottom"/>
          </w:tcPr>
          <w:p>
            <w:pPr>
              <w:spacing w:after="0"/>
              <w:rPr>
                <w:sz w:val="24"/>
                <w:szCs w:val="24"/>
                <w:color w:val="auto"/>
              </w:rPr>
            </w:pPr>
          </w:p>
        </w:tc>
        <w:tc>
          <w:tcPr>
            <w:tcW w:w="10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Required Under Rule 13a-14(b) of the Securities Exchange Act</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of 1934, as amended, and 18 U.S.C. §1350.</w:t>
            </w:r>
          </w:p>
        </w:tc>
        <w:tc>
          <w:tcPr>
            <w:tcW w:w="20" w:type="dxa"/>
            <w:vAlign w:val="bottom"/>
            <w:tcBorders>
              <w:bottom w:val="single" w:sz="8" w:color="0000EE"/>
            </w:tcBorders>
          </w:tcPr>
          <w:p>
            <w:pPr>
              <w:spacing w:after="0"/>
              <w:rPr>
                <w:sz w:val="17"/>
                <w:szCs w:val="17"/>
                <w:color w:val="auto"/>
              </w:rPr>
            </w:pPr>
          </w:p>
        </w:tc>
        <w:tc>
          <w:tcPr>
            <w:tcW w:w="69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140" w:right="400" w:hanging="1132"/>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July 31, 2025,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8312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96" w:lineRule="exact"/>
        <w:rPr>
          <w:sz w:val="20"/>
          <w:szCs w:val="20"/>
          <w:color w:val="auto"/>
        </w:rPr>
      </w:pPr>
    </w:p>
    <w:p>
      <w:pPr>
        <w:ind w:left="1140" w:right="360" w:hanging="1132"/>
        <w:spacing w:after="0" w:line="261"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registration statement on Form S-1 (No. 333-174838) Amendment No. 3 as filed with the Securities and Exchange Commission on September 12, 2012.</w:t>
      </w:r>
    </w:p>
    <w:p>
      <w:pPr>
        <w:ind w:left="1140" w:hanging="113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w:t>
      </w:r>
    </w:p>
    <w:p>
      <w:pPr>
        <w:spacing w:after="0" w:line="9" w:lineRule="exact"/>
        <w:rPr>
          <w:rFonts w:ascii="Times New Roman" w:cs="Times New Roman" w:eastAsia="Times New Roman" w:hAnsi="Times New Roman"/>
          <w:sz w:val="18"/>
          <w:szCs w:val="18"/>
          <w:color w:val="auto"/>
        </w:rPr>
      </w:pPr>
    </w:p>
    <w:p>
      <w:pPr>
        <w:ind w:left="1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7" w:name="page58"/>
    <w:bookmarkEnd w:id="57"/>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256" w:lineRule="exact"/>
        <w:rPr>
          <w:sz w:val="20"/>
          <w:szCs w:val="20"/>
          <w:color w:val="auto"/>
        </w:rPr>
      </w:pPr>
    </w:p>
    <w:p>
      <w:pPr>
        <w:spacing w:after="0"/>
        <w:tabs>
          <w:tab w:leader="none" w:pos="5760" w:val="left"/>
          <w:tab w:leader="none" w:pos="7980" w:val="left"/>
        </w:tabs>
        <w:rPr>
          <w:sz w:val="20"/>
          <w:szCs w:val="20"/>
          <w:color w:val="auto"/>
        </w:rPr>
      </w:pPr>
      <w:r>
        <w:rPr>
          <w:rFonts w:ascii="Times New Roman" w:cs="Times New Roman" w:eastAsia="Times New Roman" w:hAnsi="Times New Roman"/>
          <w:sz w:val="18"/>
          <w:szCs w:val="18"/>
          <w:color w:val="auto"/>
        </w:rPr>
        <w:t>Date: September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26035</wp:posOffset>
            </wp:positionV>
            <wp:extent cx="31457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04"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Feng-Ming Wang</w:t>
      </w:r>
    </w:p>
    <w:p>
      <w:pPr>
        <w:spacing w:after="0" w:line="8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37" w:lineRule="exact"/>
        <w:rPr>
          <w:sz w:val="20"/>
          <w:szCs w:val="20"/>
          <w:color w:val="auto"/>
        </w:rPr>
      </w:pPr>
    </w:p>
    <w:p>
      <w:pPr>
        <w:spacing w:after="0"/>
        <w:tabs>
          <w:tab w:leader="none" w:pos="5760" w:val="left"/>
          <w:tab w:leader="none" w:pos="8080" w:val="left"/>
        </w:tabs>
        <w:rPr>
          <w:sz w:val="20"/>
          <w:szCs w:val="20"/>
          <w:color w:val="auto"/>
        </w:rPr>
      </w:pPr>
      <w:r>
        <w:rPr>
          <w:rFonts w:ascii="Times New Roman" w:cs="Times New Roman" w:eastAsia="Times New Roman" w:hAnsi="Times New Roman"/>
          <w:sz w:val="18"/>
          <w:szCs w:val="18"/>
          <w:color w:val="auto"/>
        </w:rPr>
        <w:t>Date: September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26035</wp:posOffset>
            </wp:positionV>
            <wp:extent cx="31457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04"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John A. Young</w:t>
      </w:r>
    </w:p>
    <w:p>
      <w:pPr>
        <w:spacing w:after="0" w:line="8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0" w:lineRule="exact"/>
        <w:rPr>
          <w:sz w:val="20"/>
          <w:szCs w:val="20"/>
          <w:color w:val="auto"/>
        </w:rPr>
      </w:pPr>
    </w:p>
    <w:p>
      <w:pPr>
        <w:spacing w:after="0" w:line="2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17"/>
        <w:spacing w:after="0" w:line="282" w:lineRule="auto"/>
        <w:tabs>
          <w:tab w:leader="none" w:pos="7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20" w:firstLine="517"/>
        <w:spacing w:after="0" w:line="266"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2025</w:t>
      </w:r>
    </w:p>
    <w:p>
      <w:pPr>
        <w:spacing w:after="0" w:line="22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Feng-Ming Wang</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Young,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17"/>
        <w:spacing w:after="0" w:line="282" w:lineRule="auto"/>
        <w:tabs>
          <w:tab w:leader="none" w:pos="7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20" w:firstLine="517"/>
        <w:spacing w:after="0" w:line="266" w:lineRule="auto"/>
        <w:tabs>
          <w:tab w:leader="none" w:pos="7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2025</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John A. Young</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 Feng-Ming Wang, certify, pursuant to 18 U.S.C. Section 1350, as adopted pursuant to Section 906 of the Sarbanes-Oxley Act of 2002, that the Quarterly Report of Ambarella, Inc. on Form 10-Q for the fiscal quarter ended July 31,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2025</w:t>
      </w:r>
    </w:p>
    <w:p>
      <w:pPr>
        <w:spacing w:after="0" w:line="252" w:lineRule="exact"/>
        <w:rPr>
          <w:sz w:val="20"/>
          <w:szCs w:val="20"/>
          <w:color w:val="auto"/>
        </w:rPr>
      </w:pPr>
    </w:p>
    <w:tbl>
      <w:tblPr>
        <w:tblLayout w:type="fixed"/>
        <w:tblInd w:w="64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Feng-Ming Wang</w:t>
            </w:r>
          </w:p>
        </w:tc>
      </w:tr>
      <w:tr>
        <w:trPr>
          <w:trHeight w:val="191"/>
        </w:trPr>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Feng-Ming Wang</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I, John A. Young, certify, pursuant to 18 U.S.C. Section 1350, as adopted pursuant to Section 906 of the Sarbanes-Oxley Act of 2002, that the Quarterly Report of Ambarella, Inc. on Form 10-Q for the fiscal quarter ended July 31,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Young</w:t>
            </w:r>
          </w:p>
        </w:tc>
      </w:tr>
      <w:tr>
        <w:trPr>
          <w:trHeight w:val="191"/>
        </w:trPr>
        <w:tc>
          <w:tcPr>
            <w:tcW w:w="7240" w:type="dxa"/>
            <w:vAlign w:val="bottom"/>
          </w:tcPr>
          <w:p>
            <w:pPr>
              <w:ind w:left="6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A. Young</w:t>
            </w:r>
          </w:p>
        </w:tc>
      </w:tr>
      <w:tr>
        <w:trPr>
          <w:trHeight w:val="234"/>
        </w:trPr>
        <w:tc>
          <w:tcPr>
            <w:tcW w:w="724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72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0"/>
    </w:lvl>
  </w:abstractNum>
  <w:abstractNum w:abstractNumId="3">
    <w:nsid w:val="7FDCC233"/>
    <w:multiLevelType w:val="hybridMultilevel"/>
    <w:lvl w:ilvl="0">
      <w:lvlJc w:val="left"/>
      <w:lvlText w:val="(%1)"/>
      <w:numFmt w:val="lowerRoman"/>
      <w:start w:val="2"/>
    </w:lvl>
  </w:abstractNum>
  <w:abstractNum w:abstractNumId="4">
    <w:nsid w:val="1BEFD79F"/>
    <w:multiLevelType w:val="hybridMultilevel"/>
    <w:lvl w:ilvl="0">
      <w:lvlJc w:val="left"/>
      <w:lvlText w:val="%1."/>
      <w:numFmt w:val="decimal"/>
      <w:start w:val="14"/>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Roman"/>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22" Type="http://schemas.openxmlformats.org/officeDocument/2006/relationships/hyperlink" Target="https://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2025-09-03T13:36:00Z</dcterms:created>
  <dcterms:modified xsi:type="dcterms:W3CDTF">2025-09-03T13:36:00Z</dcterms:modified>
</cp:coreProperties>
</file>