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80" w:right="180" w:hanging="572"/>
        <w:spacing w:after="0" w:line="245" w:lineRule="auto"/>
        <w:tabs>
          <w:tab w:leader="none" w:pos="5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-295910</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July 31, 2020</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580" w:right="16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-307340</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35" w:lineRule="exact"/>
        <w:rPr>
          <w:sz w:val="24"/>
          <w:szCs w:val="24"/>
          <w:color w:val="auto"/>
        </w:rPr>
      </w:pPr>
    </w:p>
    <w:tbl>
      <w:tblPr>
        <w:tblLayout w:type="fixed"/>
        <w:tblInd w:w="3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r>
      <w:tr>
        <w:trPr>
          <w:trHeight w:val="344"/>
        </w:trPr>
        <w:tc>
          <w:tcPr>
            <w:tcW w:w="364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001-35667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85725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AMBARELLA,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Cayman Islands</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198"/>
              <w:spacing w:after="0"/>
              <w:rPr>
                <w:sz w:val="20"/>
                <w:szCs w:val="20"/>
                <w:color w:val="auto"/>
              </w:rPr>
            </w:pPr>
            <w:r>
              <w:rPr>
                <w:rFonts w:ascii="Times New Roman" w:cs="Times New Roman" w:eastAsia="Times New Roman" w:hAnsi="Times New Roman"/>
                <w:sz w:val="18"/>
                <w:szCs w:val="18"/>
                <w:b w:val="1"/>
                <w:bCs w:val="1"/>
                <w:color w:val="auto"/>
              </w:rPr>
              <w:t>98-0459628</w:t>
            </w:r>
          </w:p>
        </w:tc>
        <w:tc>
          <w:tcPr>
            <w:tcW w:w="0" w:type="dxa"/>
            <w:vAlign w:val="bottom"/>
          </w:tcPr>
          <w:p>
            <w:pPr>
              <w:spacing w:after="0"/>
              <w:rPr>
                <w:sz w:val="1"/>
                <w:szCs w:val="1"/>
                <w:color w:val="auto"/>
              </w:rPr>
            </w:pPr>
          </w:p>
        </w:tc>
      </w:tr>
      <w:tr>
        <w:trPr>
          <w:trHeight w:val="148"/>
        </w:trPr>
        <w:tc>
          <w:tcPr>
            <w:tcW w:w="4500" w:type="dxa"/>
            <w:vAlign w:val="bottom"/>
            <w:gridSpan w:val="2"/>
          </w:tcPr>
          <w:p>
            <w:pPr>
              <w:jc w:val="center"/>
              <w:ind w:left="1096"/>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700" w:type="dxa"/>
            <w:vAlign w:val="bottom"/>
          </w:tcPr>
          <w:p>
            <w:pPr>
              <w:jc w:val="center"/>
              <w:ind w:right="165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298"/>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8"/>
                <w:szCs w:val="18"/>
                <w:b w:val="1"/>
                <w:bCs w:val="1"/>
                <w:color w:val="auto"/>
                <w:w w:val="99"/>
              </w:rPr>
              <w:t>3101 Jay Street</w:t>
            </w:r>
          </w:p>
        </w:tc>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500" w:type="dxa"/>
            <w:vAlign w:val="bottom"/>
            <w:gridSpan w:val="2"/>
          </w:tcPr>
          <w:p>
            <w:pPr>
              <w:jc w:val="center"/>
              <w:ind w:left="1096"/>
              <w:spacing w:after="0"/>
              <w:rPr>
                <w:sz w:val="20"/>
                <w:szCs w:val="20"/>
                <w:color w:val="auto"/>
              </w:rPr>
            </w:pPr>
            <w:r>
              <w:rPr>
                <w:rFonts w:ascii="Times New Roman" w:cs="Times New Roman" w:eastAsia="Times New Roman" w:hAnsi="Times New Roman"/>
                <w:sz w:val="18"/>
                <w:szCs w:val="18"/>
                <w:b w:val="1"/>
                <w:bCs w:val="1"/>
                <w:color w:val="auto"/>
                <w:w w:val="99"/>
              </w:rPr>
              <w:t>Santa Clara, California</w:t>
            </w: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jc w:val="right"/>
              <w:ind w:right="2398"/>
              <w:spacing w:after="0"/>
              <w:rPr>
                <w:sz w:val="20"/>
                <w:szCs w:val="20"/>
                <w:color w:val="auto"/>
              </w:rPr>
            </w:pPr>
            <w:r>
              <w:rPr>
                <w:rFonts w:ascii="Times New Roman" w:cs="Times New Roman" w:eastAsia="Times New Roman" w:hAnsi="Times New Roman"/>
                <w:sz w:val="18"/>
                <w:szCs w:val="18"/>
                <w:b w:val="1"/>
                <w:bCs w:val="1"/>
                <w:color w:val="auto"/>
              </w:rPr>
              <w:t>95054</w:t>
            </w:r>
          </w:p>
        </w:tc>
        <w:tc>
          <w:tcPr>
            <w:tcW w:w="0" w:type="dxa"/>
            <w:vAlign w:val="bottom"/>
          </w:tcPr>
          <w:p>
            <w:pPr>
              <w:spacing w:after="0"/>
              <w:rPr>
                <w:sz w:val="1"/>
                <w:szCs w:val="1"/>
                <w:color w:val="auto"/>
              </w:rPr>
            </w:pPr>
          </w:p>
        </w:tc>
      </w:tr>
      <w:tr>
        <w:trPr>
          <w:trHeight w:val="190"/>
        </w:trPr>
        <w:tc>
          <w:tcPr>
            <w:tcW w:w="4500" w:type="dxa"/>
            <w:vAlign w:val="bottom"/>
            <w:gridSpan w:val="2"/>
          </w:tcPr>
          <w:p>
            <w:pPr>
              <w:jc w:val="center"/>
              <w:ind w:left="11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700" w:type="dxa"/>
            <w:vAlign w:val="bottom"/>
          </w:tcPr>
          <w:p>
            <w:pPr>
              <w:jc w:val="center"/>
              <w:ind w:right="163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82"/>
        </w:trPr>
        <w:tc>
          <w:tcPr>
            <w:tcW w:w="3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(408) 734-8888</w:t>
            </w:r>
          </w:p>
        </w:tc>
        <w:tc>
          <w:tcPr>
            <w:tcW w:w="8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37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4500" w:type="dxa"/>
            <w:vAlign w:val="bottom"/>
            <w:gridSpan w:val="2"/>
            <w:vMerge w:val="continue"/>
          </w:tcPr>
          <w:p>
            <w:pPr>
              <w:spacing w:after="0"/>
              <w:rPr>
                <w:sz w:val="18"/>
                <w:szCs w:val="18"/>
                <w:color w:val="auto"/>
              </w:rPr>
            </w:pPr>
          </w:p>
        </w:tc>
        <w:tc>
          <w:tcPr>
            <w:tcW w:w="2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1"/>
        </w:trPr>
        <w:tc>
          <w:tcPr>
            <w:tcW w:w="38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3040" w:type="dxa"/>
            <w:vAlign w:val="bottom"/>
            <w:tcBorders>
              <w:bottom w:val="single" w:sz="8" w:color="auto"/>
            </w:tcBorders>
            <w:gridSpan w:val="2"/>
          </w:tcPr>
          <w:p>
            <w:pPr>
              <w:spacing w:after="0"/>
              <w:rPr>
                <w:sz w:val="10"/>
                <w:szCs w:val="10"/>
                <w:color w:val="auto"/>
              </w:rPr>
            </w:pPr>
          </w:p>
        </w:tc>
        <w:tc>
          <w:tcPr>
            <w:tcW w:w="3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c>
          <w:tcPr>
            <w:tcW w:w="0" w:type="dxa"/>
            <w:vAlign w:val="bottom"/>
          </w:tcPr>
          <w:p>
            <w:pPr>
              <w:spacing w:after="0"/>
              <w:rPr>
                <w:sz w:val="1"/>
                <w:szCs w:val="1"/>
                <w:color w:val="auto"/>
              </w:rPr>
            </w:pPr>
          </w:p>
        </w:tc>
      </w:tr>
      <w:tr>
        <w:trPr>
          <w:trHeight w:val="250"/>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$0.00045 Par Value Per Share</w:t>
            </w:r>
          </w:p>
        </w:tc>
        <w:tc>
          <w:tcPr>
            <w:tcW w:w="660" w:type="dxa"/>
            <w:vAlign w:val="bottom"/>
            <w:tcBorders>
              <w:bottom w:val="single" w:sz="8" w:color="auto"/>
            </w:tcBorders>
          </w:tcPr>
          <w:p>
            <w:pPr>
              <w:spacing w:after="0"/>
              <w:rPr>
                <w:sz w:val="21"/>
                <w:szCs w:val="21"/>
                <w:color w:val="auto"/>
              </w:rPr>
            </w:pPr>
          </w:p>
        </w:tc>
        <w:tc>
          <w:tcPr>
            <w:tcW w:w="3040" w:type="dxa"/>
            <w:vAlign w:val="bottom"/>
            <w:tcBorders>
              <w:bottom w:val="single" w:sz="8" w:color="auto"/>
              <w:right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w w:val="99"/>
              </w:rPr>
              <w:t>AMBA</w:t>
            </w:r>
          </w:p>
        </w:tc>
        <w:tc>
          <w:tcPr>
            <w:tcW w:w="3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c>
          <w:tcPr>
            <w:tcW w:w="0" w:type="dxa"/>
            <w:vAlign w:val="bottom"/>
          </w:tcPr>
          <w:p>
            <w:pPr>
              <w:spacing w:after="0"/>
              <w:rPr>
                <w:sz w:val="1"/>
                <w:szCs w:val="1"/>
                <w:color w:val="auto"/>
              </w:rPr>
            </w:pPr>
          </w:p>
        </w:tc>
      </w:tr>
    </w:tbl>
    <w:p>
      <w:pPr>
        <w:spacing w:after="0" w:line="36"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 w:lineRule="exact"/>
        <w:rPr>
          <w:sz w:val="24"/>
          <w:szCs w:val="24"/>
          <w:color w:val="auto"/>
        </w:rPr>
      </w:pPr>
    </w:p>
    <w:p>
      <w:pPr>
        <w:ind w:right="32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8"/>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63" w:lineRule="exact"/>
        <w:rPr>
          <w:sz w:val="24"/>
          <w:szCs w:val="24"/>
          <w:color w:val="auto"/>
        </w:rPr>
      </w:pPr>
    </w:p>
    <w:p>
      <w:pPr>
        <w:ind w:right="16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1580"/>
        <w:spacing w:after="0" w:line="26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ordinary shares of the Registrant outstanding as of September 1, 2020 was 34,614,277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8"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10000" w:type="dxa"/>
            <w:vAlign w:val="bottom"/>
          </w:tcPr>
          <w:p>
            <w:pPr>
              <w:spacing w:after="0"/>
              <w:rPr>
                <w:sz w:val="13"/>
                <w:szCs w:val="13"/>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120" w:type="dxa"/>
            <w:vAlign w:val="bottom"/>
          </w:tcPr>
          <w:p>
            <w:pPr>
              <w:spacing w:after="0"/>
              <w:rPr>
                <w:sz w:val="13"/>
                <w:szCs w:val="13"/>
                <w:color w:val="auto"/>
              </w:rPr>
            </w:pPr>
          </w:p>
        </w:tc>
      </w:tr>
      <w:tr>
        <w:trPr>
          <w:trHeight w:val="453"/>
        </w:trPr>
        <w:tc>
          <w:tcPr>
            <w:tcW w:w="1082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PART I. FINANCIAL INFORMATION</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Financial Statements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Unaudited Condensed Consolidated Balance Sheets at July 31, 2020 and January 31, 2020</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Unaudited Condensed Consolidated Statements of Operations for the three and six months ended July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5">
              <w:r>
                <w:rPr>
                  <w:rFonts w:ascii="Times New Roman" w:cs="Times New Roman" w:eastAsia="Times New Roman" w:hAnsi="Times New Roman"/>
                  <w:sz w:val="18"/>
                  <w:szCs w:val="18"/>
                  <w:u w:val="single" w:color="auto"/>
                  <w:color w:val="0000EE"/>
                </w:rPr>
                <w:t>Unaudited Condensed Consolidated Statements of Comprehensive Loss for the three and six months ended July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6">
              <w:r>
                <w:rPr>
                  <w:rFonts w:ascii="Times New Roman" w:cs="Times New Roman" w:eastAsia="Times New Roman" w:hAnsi="Times New Roman"/>
                  <w:sz w:val="18"/>
                  <w:szCs w:val="18"/>
                  <w:u w:val="single" w:color="auto"/>
                  <w:color w:val="0000EE"/>
                </w:rPr>
                <w:t>Unaudited Condensed Consolidated Statements of Shareholders’ Equity for the three and six months ended July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7">
              <w:r>
                <w:rPr>
                  <w:rFonts w:ascii="Times New Roman" w:cs="Times New Roman" w:eastAsia="Times New Roman" w:hAnsi="Times New Roman"/>
                  <w:sz w:val="18"/>
                  <w:szCs w:val="18"/>
                  <w:u w:val="single" w:color="auto"/>
                  <w:color w:val="0000EE"/>
                </w:rPr>
                <w:t>Unaudited Condensed Consolidated Statements of Cash Flows for the six months ended July 31, 2020 and 2019</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38"/>
        </w:trPr>
        <w:tc>
          <w:tcPr>
            <w:tcW w:w="820" w:type="dxa"/>
            <w:vAlign w:val="bottom"/>
          </w:tcPr>
          <w:p>
            <w:pPr>
              <w:spacing w:after="0"/>
              <w:rPr>
                <w:sz w:val="24"/>
                <w:szCs w:val="24"/>
                <w:color w:val="auto"/>
              </w:rPr>
            </w:pP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8">
              <w:r>
                <w:rPr>
                  <w:rFonts w:ascii="Times New Roman" w:cs="Times New Roman" w:eastAsia="Times New Roman" w:hAnsi="Times New Roman"/>
                  <w:sz w:val="18"/>
                  <w:szCs w:val="18"/>
                  <w:u w:val="single" w:color="auto"/>
                  <w:color w:val="0000EE"/>
                </w:rPr>
                <w:t>Notes to Unaudited Condensed Consolidated Financial Statements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2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Quantitative and Qualitative Disclosures About Market Risk</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3">
              <w:r>
                <w:rPr>
                  <w:rFonts w:ascii="Times New Roman" w:cs="Times New Roman" w:eastAsia="Times New Roman" w:hAnsi="Times New Roman"/>
                  <w:sz w:val="18"/>
                  <w:szCs w:val="18"/>
                  <w:u w:val="single" w:color="auto"/>
                  <w:color w:val="0000EE"/>
                </w:rPr>
                <w:t>Controls and Procedures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459"/>
        </w:trPr>
        <w:tc>
          <w:tcPr>
            <w:tcW w:w="10820" w:type="dxa"/>
            <w:vAlign w:val="bottom"/>
            <w:gridSpan w:val="2"/>
          </w:tcPr>
          <w:p>
            <w:pPr>
              <w:spacing w:after="0"/>
              <w:rPr>
                <w:rFonts w:ascii="Times New Roman" w:cs="Times New Roman" w:eastAsia="Times New Roman" w:hAnsi="Times New Roman"/>
                <w:sz w:val="18"/>
                <w:szCs w:val="18"/>
                <w:b w:val="1"/>
                <w:bCs w:val="1"/>
                <w:u w:val="single" w:color="auto"/>
                <w:color w:val="0000EE"/>
              </w:rPr>
            </w:pPr>
            <w:hyperlink w:anchor="page34">
              <w:r>
                <w:rPr>
                  <w:rFonts w:ascii="Times New Roman" w:cs="Times New Roman" w:eastAsia="Times New Roman" w:hAnsi="Times New Roman"/>
                  <w:sz w:val="18"/>
                  <w:szCs w:val="18"/>
                  <w:b w:val="1"/>
                  <w:bCs w:val="1"/>
                  <w:u w:val="single" w:color="auto"/>
                  <w:color w:val="0000EE"/>
                </w:rPr>
                <w:t>PART II. OTHER INFORMATION</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Legal Proceedings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34">
              <w:r>
                <w:rPr>
                  <w:rFonts w:ascii="Times New Roman" w:cs="Times New Roman" w:eastAsia="Times New Roman" w:hAnsi="Times New Roman"/>
                  <w:sz w:val="18"/>
                  <w:szCs w:val="18"/>
                  <w:u w:val="single" w:color="auto"/>
                  <w:color w:val="0000EE"/>
                </w:rPr>
                <w:t>Risk Factors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338"/>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Unregistered Sales of Equity Securities and Use of Proceeds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0000" w:type="dxa"/>
            <w:vAlign w:val="bottom"/>
          </w:tcPr>
          <w:p>
            <w:pPr>
              <w:ind w:left="60"/>
              <w:spacing w:after="0"/>
              <w:rPr>
                <w:rFonts w:ascii="Times New Roman" w:cs="Times New Roman" w:eastAsia="Times New Roman" w:hAnsi="Times New Roman"/>
                <w:sz w:val="18"/>
                <w:szCs w:val="18"/>
                <w:u w:val="single" w:color="auto"/>
                <w:color w:val="0000EE"/>
              </w:rPr>
            </w:pPr>
            <w:hyperlink w:anchor="page58">
              <w:r>
                <w:rPr>
                  <w:rFonts w:ascii="Times New Roman" w:cs="Times New Roman" w:eastAsia="Times New Roman" w:hAnsi="Times New Roman"/>
                  <w:sz w:val="18"/>
                  <w:szCs w:val="18"/>
                  <w:u w:val="single" w:color="auto"/>
                  <w:color w:val="0000EE"/>
                </w:rPr>
                <w:t>Exhibits</w:t>
              </w:r>
            </w:hyperlink>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38"/>
        </w:trPr>
        <w:tc>
          <w:tcPr>
            <w:tcW w:w="820" w:type="dxa"/>
            <w:vAlign w:val="bottom"/>
          </w:tcPr>
          <w:p>
            <w:pPr>
              <w:spacing w:after="0"/>
              <w:rPr>
                <w:rFonts w:ascii="Times New Roman" w:cs="Times New Roman" w:eastAsia="Times New Roman" w:hAnsi="Times New Roman"/>
                <w:sz w:val="18"/>
                <w:szCs w:val="18"/>
                <w:u w:val="single" w:color="auto"/>
                <w:color w:val="0000EE"/>
              </w:rPr>
            </w:pPr>
            <w:hyperlink w:anchor="page60">
              <w:r>
                <w:rPr>
                  <w:rFonts w:ascii="Times New Roman" w:cs="Times New Roman" w:eastAsia="Times New Roman" w:hAnsi="Times New Roman"/>
                  <w:sz w:val="18"/>
                  <w:szCs w:val="18"/>
                  <w:u w:val="single" w:color="auto"/>
                  <w:color w:val="0000EE"/>
                </w:rPr>
                <w:t>Signatures</w:t>
              </w:r>
            </w:hyperlink>
          </w:p>
        </w:tc>
        <w:tc>
          <w:tcPr>
            <w:tcW w:w="100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July 31,</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213"/>
        </w:trPr>
        <w:tc>
          <w:tcPr>
            <w:tcW w:w="6600" w:type="dxa"/>
            <w:vAlign w:val="bottom"/>
            <w:tcBorders>
              <w:bottom w:val="single" w:sz="8" w:color="CFF0FC"/>
            </w:tcBorders>
          </w:tcPr>
          <w:p>
            <w:pPr>
              <w:spacing w:after="0"/>
              <w:rPr>
                <w:sz w:val="18"/>
                <w:szCs w:val="18"/>
                <w:color w:val="auto"/>
              </w:rPr>
            </w:pPr>
          </w:p>
        </w:tc>
        <w:tc>
          <w:tcPr>
            <w:tcW w:w="1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23"/>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gridSpan w:val="2"/>
            <w:shd w:val="clear" w:color="auto" w:fill="CFF0FC"/>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220,647</w:t>
            </w:r>
          </w:p>
        </w:tc>
        <w:tc>
          <w:tcPr>
            <w:tcW w:w="3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231,403</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Restricted cash</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461,398</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451,190</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non-current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9,935</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26,601</w:t>
            </w:r>
          </w:p>
        </w:tc>
        <w:tc>
          <w:tcPr>
            <w:tcW w:w="120" w:type="dxa"/>
            <w:vAlign w:val="bottom"/>
          </w:tcPr>
          <w:p>
            <w:pPr>
              <w:spacing w:after="0"/>
              <w:rPr>
                <w:sz w:val="19"/>
                <w:szCs w:val="19"/>
                <w:color w:val="auto"/>
              </w:rPr>
            </w:pPr>
          </w:p>
        </w:tc>
      </w:tr>
      <w:tr>
        <w:trPr>
          <w:trHeight w:val="229"/>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w:t>
            </w:r>
          </w:p>
        </w:tc>
        <w:tc>
          <w:tcPr>
            <w:tcW w:w="120" w:type="dxa"/>
            <w:vAlign w:val="bottom"/>
            <w:shd w:val="clear" w:color="auto" w:fill="CFF0FC"/>
          </w:tcPr>
          <w:p>
            <w:pPr>
              <w:spacing w:after="0"/>
              <w:rPr>
                <w:sz w:val="19"/>
                <w:szCs w:val="19"/>
                <w:color w:val="auto"/>
              </w:rPr>
            </w:pPr>
          </w:p>
        </w:tc>
      </w:tr>
      <w:tr>
        <w:trPr>
          <w:trHeight w:val="263"/>
        </w:trPr>
        <w:tc>
          <w:tcPr>
            <w:tcW w:w="6600" w:type="dxa"/>
            <w:vAlign w:val="bottom"/>
            <w:tcBorders>
              <w:bottom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12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533,398</w:t>
            </w:r>
          </w:p>
        </w:tc>
        <w:tc>
          <w:tcPr>
            <w:tcW w:w="300" w:type="dxa"/>
            <w:vAlign w:val="bottom"/>
            <w:tcBorders>
              <w:bottom w:val="single" w:sz="8" w:color="CFF0FC"/>
            </w:tcBorders>
          </w:tcPr>
          <w:p>
            <w:pPr>
              <w:spacing w:after="0"/>
              <w:rPr>
                <w:sz w:val="22"/>
                <w:szCs w:val="22"/>
                <w:color w:val="auto"/>
              </w:rPr>
            </w:pPr>
          </w:p>
        </w:tc>
        <w:tc>
          <w:tcPr>
            <w:tcW w:w="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527,276</w:t>
            </w:r>
          </w:p>
        </w:tc>
        <w:tc>
          <w:tcPr>
            <w:tcW w:w="120" w:type="dxa"/>
            <w:vAlign w:val="bottom"/>
            <w:tcBorders>
              <w:bottom w:val="single" w:sz="8" w:color="CFF0FC"/>
            </w:tcBorders>
          </w:tcPr>
          <w:p>
            <w:pPr>
              <w:spacing w:after="0"/>
              <w:rPr>
                <w:sz w:val="22"/>
                <w:szCs w:val="22"/>
                <w:color w:val="auto"/>
              </w:rPr>
            </w:pPr>
          </w:p>
        </w:tc>
      </w:tr>
      <w:tr>
        <w:trPr>
          <w:trHeight w:val="21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14,910</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20" w:type="dxa"/>
            <w:vAlign w:val="bottom"/>
            <w:shd w:val="clear" w:color="auto" w:fill="CFF0FC"/>
          </w:tcPr>
          <w:p>
            <w:pPr>
              <w:spacing w:after="0"/>
              <w:rPr>
                <w:sz w:val="19"/>
                <w:szCs w:val="19"/>
                <w:color w:val="auto"/>
              </w:rPr>
            </w:pPr>
          </w:p>
        </w:tc>
      </w:tr>
      <w:tr>
        <w:trPr>
          <w:trHeight w:val="229"/>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taxes payable</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51,162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53,453</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74,751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79,204</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13)</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1"/>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Preference shares, $0.00045 par value per share, 20,000,000 shares</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authorized and no shares issued and outstanding at July 31, 2020 and</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January 31, 2020, respectively</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Ordinary shares, $0.00045 par value per share, 200,000,000 shares</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authorized at July 31, 2020 and January 31, 2020, respectively;</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34,610,836 shares issued and outstanding at July 31, 2020; 33,805,609</w:t>
            </w:r>
          </w:p>
        </w:tc>
        <w:tc>
          <w:tcPr>
            <w:tcW w:w="1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shares issued and outstanding at January 31, 2020</w:t>
            </w:r>
          </w:p>
        </w:tc>
        <w:tc>
          <w:tcPr>
            <w:tcW w:w="1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20"/>
                <w:szCs w:val="20"/>
                <w:color w:val="auto"/>
              </w:rPr>
            </w:pPr>
          </w:p>
        </w:tc>
      </w:tr>
      <w:tr>
        <w:trPr>
          <w:trHeight w:val="230"/>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301,195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261,220</w:t>
            </w:r>
          </w:p>
        </w:tc>
        <w:tc>
          <w:tcPr>
            <w:tcW w:w="120" w:type="dxa"/>
            <w:vAlign w:val="bottom"/>
          </w:tcPr>
          <w:p>
            <w:pPr>
              <w:spacing w:after="0"/>
              <w:rPr>
                <w:sz w:val="19"/>
                <w:szCs w:val="19"/>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shd w:val="clear" w:color="auto" w:fill="CFF0FC"/>
          </w:tcPr>
          <w:p>
            <w:pPr>
              <w:spacing w:after="0"/>
              <w:rPr>
                <w:sz w:val="19"/>
                <w:szCs w:val="19"/>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Retained earnings</w:t>
            </w:r>
          </w:p>
        </w:tc>
        <w:tc>
          <w:tcPr>
            <w:tcW w:w="11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155,850</w:t>
            </w:r>
          </w:p>
        </w:tc>
        <w:tc>
          <w:tcPr>
            <w:tcW w:w="3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186,069</w:t>
            </w:r>
          </w:p>
        </w:tc>
        <w:tc>
          <w:tcPr>
            <w:tcW w:w="120" w:type="dxa"/>
            <w:vAlign w:val="bottom"/>
            <w:tcBorders>
              <w:bottom w:val="single" w:sz="8" w:color="CFF0FC"/>
            </w:tcBorders>
          </w:tcPr>
          <w:p>
            <w:pPr>
              <w:spacing w:after="0"/>
              <w:rPr>
                <w:sz w:val="19"/>
                <w:szCs w:val="19"/>
                <w:color w:val="auto"/>
              </w:rPr>
            </w:pPr>
          </w:p>
        </w:tc>
      </w:tr>
      <w:tr>
        <w:trPr>
          <w:trHeight w:val="223"/>
        </w:trPr>
        <w:tc>
          <w:tcPr>
            <w:tcW w:w="66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458,647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448,072</w:t>
            </w:r>
          </w:p>
        </w:tc>
        <w:tc>
          <w:tcPr>
            <w:tcW w:w="120" w:type="dxa"/>
            <w:vAlign w:val="bottom"/>
            <w:shd w:val="clear" w:color="auto" w:fill="CFF0FC"/>
          </w:tcPr>
          <w:p>
            <w:pPr>
              <w:spacing w:after="0"/>
              <w:rPr>
                <w:sz w:val="19"/>
                <w:szCs w:val="19"/>
                <w:color w:val="auto"/>
              </w:rPr>
            </w:pPr>
          </w:p>
        </w:tc>
      </w:tr>
      <w:tr>
        <w:trPr>
          <w:trHeight w:val="223"/>
        </w:trPr>
        <w:tc>
          <w:tcPr>
            <w:tcW w:w="66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120" w:type="dxa"/>
            <w:vAlign w:val="bottom"/>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533,398</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527,276</w:t>
            </w:r>
          </w:p>
        </w:tc>
        <w:tc>
          <w:tcPr>
            <w:tcW w:w="12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23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55"/>
        </w:trPr>
        <w:tc>
          <w:tcPr>
            <w:tcW w:w="606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104,758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30,958</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60" w:type="dxa"/>
            <w:vAlign w:val="bottom"/>
            <w:tcBorders>
              <w:bottom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24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2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220" w:type="dxa"/>
            <w:vAlign w:val="bottom"/>
            <w:tcBorders>
              <w:bottom w:val="single" w:sz="8" w:color="CFF0FC"/>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(15,289)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(10,408)</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(30,904)</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(28,649)</w:t>
            </w:r>
          </w:p>
        </w:tc>
        <w:tc>
          <w:tcPr>
            <w:tcW w:w="0" w:type="dxa"/>
            <w:vAlign w:val="bottom"/>
          </w:tcPr>
          <w:p>
            <w:pPr>
              <w:spacing w:after="0"/>
              <w:rPr>
                <w:sz w:val="1"/>
                <w:szCs w:val="1"/>
                <w:color w:val="auto"/>
              </w:rPr>
            </w:pPr>
          </w:p>
        </w:tc>
      </w:tr>
      <w:tr>
        <w:trPr>
          <w:trHeight w:val="229"/>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(14,009)</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(8,213)</w:t>
            </w:r>
          </w:p>
        </w:tc>
        <w:tc>
          <w:tcPr>
            <w:tcW w:w="18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(28,346)</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(24,258)</w:t>
            </w:r>
          </w:p>
        </w:tc>
        <w:tc>
          <w:tcPr>
            <w:tcW w:w="0" w:type="dxa"/>
            <w:vAlign w:val="bottom"/>
          </w:tcPr>
          <w:p>
            <w:pPr>
              <w:spacing w:after="0"/>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(14,756)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(10,191)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(30,219)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(27,502)</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attributable to ordinary shareholders:</w:t>
            </w:r>
          </w:p>
        </w:tc>
        <w:tc>
          <w:tcPr>
            <w:tcW w:w="18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(0.43)</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(0.84)</w:t>
            </w:r>
          </w:p>
        </w:tc>
        <w:tc>
          <w:tcPr>
            <w:tcW w:w="0" w:type="dxa"/>
            <w:vAlign w:val="bottom"/>
          </w:tcPr>
          <w:p>
            <w:pPr>
              <w:spacing w:after="0"/>
              <w:rPr>
                <w:sz w:val="1"/>
                <w:szCs w:val="1"/>
                <w:color w:val="auto"/>
              </w:rPr>
            </w:pPr>
          </w:p>
        </w:tc>
      </w:tr>
      <w:tr>
        <w:trPr>
          <w:trHeight w:val="210"/>
        </w:trPr>
        <w:tc>
          <w:tcPr>
            <w:tcW w:w="6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to compute net loss per share attributable to</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ordinary</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34,480,307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32,860,974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34,280,318</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32,676,509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34,480,307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32,860,974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34,280,318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32,676,509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60" w:type="dxa"/>
            <w:vAlign w:val="bottom"/>
          </w:tcPr>
          <w:p>
            <w:pPr>
              <w:spacing w:after="0"/>
              <w:rPr>
                <w:sz w:val="15"/>
                <w:szCs w:val="15"/>
                <w:color w:val="auto"/>
              </w:rPr>
            </w:pPr>
          </w:p>
        </w:tc>
        <w:tc>
          <w:tcPr>
            <w:tcW w:w="238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5"/>
        </w:trPr>
        <w:tc>
          <w:tcPr>
            <w:tcW w:w="58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(27,502)</w:t>
            </w:r>
          </w:p>
        </w:tc>
        <w:tc>
          <w:tcPr>
            <w:tcW w:w="100" w:type="dxa"/>
            <w:vAlign w:val="bottom"/>
            <w:shd w:val="clear" w:color="auto" w:fill="CFF0FC"/>
          </w:tcPr>
          <w:p>
            <w:pPr>
              <w:spacing w:after="0"/>
              <w:rPr>
                <w:sz w:val="19"/>
                <w:szCs w:val="19"/>
                <w:color w:val="auto"/>
              </w:rPr>
            </w:pP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Unrealized gains on investments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shd w:val="clear" w:color="auto" w:fill="CFF0FC"/>
          </w:tcPr>
          <w:p>
            <w:pPr>
              <w:spacing w:after="0"/>
              <w:rPr>
                <w:sz w:val="19"/>
                <w:szCs w:val="19"/>
                <w:color w:val="auto"/>
              </w:rPr>
            </w:pPr>
          </w:p>
        </w:tc>
      </w:tr>
      <w:tr>
        <w:trPr>
          <w:trHeight w:val="236"/>
        </w:trPr>
        <w:tc>
          <w:tcPr>
            <w:tcW w:w="584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40" w:type="dxa"/>
            <w:vAlign w:val="bottom"/>
            <w:tcBorders>
              <w:bottom w:val="single" w:sz="8" w:color="CFF0FC"/>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bottom w:val="single" w:sz="8" w:color="CFF0FC"/>
            </w:tcBorders>
          </w:tcPr>
          <w:p>
            <w:pPr>
              <w:spacing w:after="0"/>
              <w:rPr>
                <w:sz w:val="20"/>
                <w:szCs w:val="20"/>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(13,574)</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(29,400)</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0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00" w:type="dxa"/>
            <w:vAlign w:val="bottom"/>
            <w:tcBorders>
              <w:bottom w:val="single" w:sz="8" w:color="auto"/>
            </w:tcBorders>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6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Balance--January 31, 2020</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33,805,609</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261,220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186,069</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448,072</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equity incentive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478,643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stock purchase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83,564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2,660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repurchase</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(25,719)</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(1,000)</w:t>
            </w:r>
          </w:p>
        </w:tc>
        <w:tc>
          <w:tcPr>
            <w:tcW w:w="0" w:type="dxa"/>
            <w:vAlign w:val="bottom"/>
          </w:tcPr>
          <w:p>
            <w:pPr>
              <w:spacing w:after="0"/>
              <w:rPr>
                <w:sz w:val="1"/>
                <w:szCs w:val="1"/>
                <w:color w:val="auto"/>
              </w:rPr>
            </w:pPr>
          </w:p>
        </w:tc>
      </w:tr>
      <w:tr>
        <w:trPr>
          <w:trHeight w:val="194"/>
        </w:trPr>
        <w:tc>
          <w:tcPr>
            <w:tcW w:w="4660" w:type="dxa"/>
            <w:vAlign w:val="bottom"/>
            <w:shd w:val="clear" w:color="auto" w:fill="CFF0FC"/>
          </w:tcPr>
          <w:p>
            <w:pPr>
              <w:ind w:left="260"/>
              <w:spacing w:after="0" w:line="194" w:lineRule="exact"/>
              <w:rPr>
                <w:sz w:val="20"/>
                <w:szCs w:val="20"/>
                <w:color w:val="auto"/>
              </w:rPr>
            </w:pPr>
            <w:r>
              <w:rPr>
                <w:rFonts w:ascii="Times New Roman" w:cs="Times New Roman" w:eastAsia="Times New Roman" w:hAnsi="Times New Roman"/>
                <w:sz w:val="17"/>
                <w:szCs w:val="17"/>
                <w:color w:val="auto"/>
              </w:rPr>
              <w:t>Stock-based compensation expense related to stock awards</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granted to employees and consultants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15,214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unrealized losses on investments - net of taxes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(363)</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(363)</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(15,463)</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(15,463)</w:t>
            </w:r>
          </w:p>
        </w:tc>
        <w:tc>
          <w:tcPr>
            <w:tcW w:w="0" w:type="dxa"/>
            <w:vAlign w:val="bottom"/>
          </w:tcPr>
          <w:p>
            <w:pPr>
              <w:spacing w:after="0"/>
              <w:rPr>
                <w:sz w:val="1"/>
                <w:szCs w:val="1"/>
                <w:color w:val="auto"/>
              </w:rPr>
            </w:pPr>
          </w:p>
        </w:tc>
      </w:tr>
      <w:tr>
        <w:trPr>
          <w:trHeight w:val="249"/>
        </w:trPr>
        <w:tc>
          <w:tcPr>
            <w:tcW w:w="4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Balance--April 30, 2020</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34,342,097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68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284,557</w:t>
            </w:r>
          </w:p>
        </w:tc>
        <w:tc>
          <w:tcPr>
            <w:tcW w:w="140" w:type="dxa"/>
            <w:vAlign w:val="bottom"/>
            <w:tcBorders>
              <w:bottom w:val="single" w:sz="8" w:color="CFF0FC"/>
            </w:tcBorders>
          </w:tcPr>
          <w:p>
            <w:pPr>
              <w:spacing w:after="0"/>
              <w:rPr>
                <w:sz w:val="21"/>
                <w:szCs w:val="21"/>
                <w:color w:val="auto"/>
              </w:rPr>
            </w:pPr>
          </w:p>
        </w:tc>
        <w:tc>
          <w:tcPr>
            <w:tcW w:w="80" w:type="dxa"/>
            <w:vAlign w:val="bottom"/>
            <w:tcBorders>
              <w:bottom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w:t>
            </w:r>
          </w:p>
        </w:tc>
        <w:tc>
          <w:tcPr>
            <w:tcW w:w="22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170,606</w:t>
            </w:r>
          </w:p>
        </w:tc>
        <w:tc>
          <w:tcPr>
            <w:tcW w:w="20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455,583</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equity incentive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268,739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Stock-based compensation expense related to stock awards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 to employees and consultants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16,294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unrealized gains on investments - net of taxes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(14,756)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(14,756)</w:t>
            </w: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Balance--July 31, 2020</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34,610,836</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301,195</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1,587</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155,850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458,647</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800" w:type="dxa"/>
            <w:vAlign w:val="bottom"/>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660" w:type="dxa"/>
            <w:vAlign w:val="bottom"/>
          </w:tcPr>
          <w:p>
            <w:pPr>
              <w:spacing w:after="0"/>
              <w:rPr>
                <w:sz w:val="15"/>
                <w:szCs w:val="15"/>
                <w:color w:val="auto"/>
              </w:rPr>
            </w:pPr>
          </w:p>
        </w:tc>
        <w:tc>
          <w:tcPr>
            <w:tcW w:w="1800" w:type="dxa"/>
            <w:vAlign w:val="bottom"/>
            <w:tcBorders>
              <w:bottom w:val="single" w:sz="8" w:color="auto"/>
            </w:tcBorders>
            <w:gridSpan w:val="4"/>
          </w:tcPr>
          <w:p>
            <w:pPr>
              <w:jc w:val="center"/>
              <w:ind w:left="97"/>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4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3"/>
                <w:szCs w:val="13"/>
                <w:color w:val="auto"/>
              </w:rPr>
            </w:pPr>
          </w:p>
        </w:tc>
        <w:tc>
          <w:tcPr>
            <w:tcW w:w="960" w:type="dxa"/>
            <w:vAlign w:val="bottom"/>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4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Balance--January 31, 2019</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32,303,540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jc w:val="right"/>
              <w:ind w:right="520"/>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188,516</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2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230,861</w:t>
            </w:r>
          </w:p>
        </w:tc>
        <w:tc>
          <w:tcPr>
            <w:tcW w:w="2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419,489</w:t>
            </w:r>
          </w:p>
        </w:tc>
        <w:tc>
          <w:tcPr>
            <w:tcW w:w="1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equity incentive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335,301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stock purchase plan</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99,759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3,063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60" w:type="dxa"/>
            <w:vAlign w:val="bottom"/>
          </w:tcPr>
          <w:p>
            <w:pPr>
              <w:ind w:left="260"/>
              <w:spacing w:after="0" w:line="194" w:lineRule="exact"/>
              <w:rPr>
                <w:sz w:val="20"/>
                <w:szCs w:val="20"/>
                <w:color w:val="auto"/>
              </w:rPr>
            </w:pPr>
            <w:r>
              <w:rPr>
                <w:rFonts w:ascii="Times New Roman" w:cs="Times New Roman" w:eastAsia="Times New Roman" w:hAnsi="Times New Roman"/>
                <w:sz w:val="17"/>
                <w:szCs w:val="17"/>
                <w:color w:val="auto"/>
              </w:rPr>
              <w:t>Stock-based compensation expense related to stock awards</w:t>
            </w: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granted to employees and consultants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unrealized gains on investments - net of taxes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(17,311)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(17,311)</w:t>
            </w:r>
          </w:p>
        </w:tc>
        <w:tc>
          <w:tcPr>
            <w:tcW w:w="0" w:type="dxa"/>
            <w:vAlign w:val="bottom"/>
          </w:tcPr>
          <w:p>
            <w:pPr>
              <w:spacing w:after="0"/>
              <w:rPr>
                <w:sz w:val="1"/>
                <w:szCs w:val="1"/>
                <w:color w:val="auto"/>
              </w:rPr>
            </w:pPr>
          </w:p>
        </w:tc>
      </w:tr>
      <w:tr>
        <w:trPr>
          <w:trHeight w:val="210"/>
        </w:trPr>
        <w:tc>
          <w:tcPr>
            <w:tcW w:w="46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Balance--April 30, 2019</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32,738,600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208,522</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351</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213,550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422,438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Issuance of shares through employee equity incentive plan</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295,019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Stock-based compensation expense related to stock awards</w:t>
            </w:r>
          </w:p>
        </w:tc>
        <w:tc>
          <w:tcPr>
            <w:tcW w:w="9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granted to employees and consultants</w:t>
            </w: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15,032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unrealized gains on investments - net of taxes</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(10,191)</w:t>
            </w: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(10,191)</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Balance--July 31, 2019</w:t>
            </w: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660" w:type="dxa"/>
            <w:vAlign w:val="bottom"/>
            <w:vMerge w:val="continue"/>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33,033,619</w:t>
            </w:r>
          </w:p>
        </w:tc>
        <w:tc>
          <w:tcPr>
            <w:tcW w:w="140" w:type="dxa"/>
            <w:vAlign w:val="bottom"/>
          </w:tcPr>
          <w:p>
            <w:pPr>
              <w:spacing w:after="0"/>
              <w:rPr>
                <w:sz w:val="20"/>
                <w:szCs w:val="20"/>
                <w:color w:val="auto"/>
              </w:rPr>
            </w:pPr>
          </w:p>
        </w:tc>
        <w:tc>
          <w:tcPr>
            <w:tcW w:w="760" w:type="dxa"/>
            <w:vAlign w:val="bottom"/>
            <w:gridSpan w:val="2"/>
          </w:tcPr>
          <w:p>
            <w:pPr>
              <w:jc w:val="right"/>
              <w:ind w:right="52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15</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224,542</w:t>
            </w:r>
          </w:p>
        </w:tc>
        <w:tc>
          <w:tcPr>
            <w:tcW w:w="140" w:type="dxa"/>
            <w:vAlign w:val="bottom"/>
          </w:tcPr>
          <w:p>
            <w:pPr>
              <w:spacing w:after="0"/>
              <w:rPr>
                <w:sz w:val="20"/>
                <w:szCs w:val="20"/>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203,359</w:t>
            </w:r>
          </w:p>
        </w:tc>
        <w:tc>
          <w:tcPr>
            <w:tcW w:w="200" w:type="dxa"/>
            <w:vAlign w:val="bottom"/>
          </w:tcPr>
          <w:p>
            <w:pPr>
              <w:spacing w:after="0"/>
              <w:rPr>
                <w:sz w:val="20"/>
                <w:szCs w:val="20"/>
                <w:color w:val="auto"/>
              </w:rPr>
            </w:pPr>
          </w:p>
        </w:tc>
        <w:tc>
          <w:tcPr>
            <w:tcW w:w="20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428,461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40" w:type="dxa"/>
            <w:vAlign w:val="bottom"/>
            <w:tcBorders>
              <w:bottom w:val="single" w:sz="8" w:color="auto"/>
            </w:tcBorders>
            <w:gridSpan w:val="5"/>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5"/>
        </w:trPr>
        <w:tc>
          <w:tcPr>
            <w:tcW w:w="66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9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10"/>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Net loss</w:t>
            </w:r>
          </w:p>
        </w:tc>
        <w:tc>
          <w:tcPr>
            <w:tcW w:w="202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(30,219)</w:t>
            </w: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(27,502)</w:t>
            </w:r>
          </w:p>
        </w:tc>
      </w:tr>
      <w:tr>
        <w:trPr>
          <w:trHeight w:val="216"/>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Adjustments to reconcile net loss to net cash provided by operating activities: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5,786</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5,439</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Amortization/accretion of marketable debt securities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(696)</w:t>
            </w: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Stock-based compensation</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32,430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32,660</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income taxes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Other non-cash items, net</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(72)</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receivable</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(4,788)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(1,728)</w:t>
            </w: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Inventories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(936)</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876</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assets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(2,834)</w:t>
            </w: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Accounts payable</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(1,217)</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Accrued liabilities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2,144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(288)</w:t>
            </w:r>
          </w:p>
        </w:tc>
      </w:tr>
      <w:tr>
        <w:trPr>
          <w:trHeight w:val="216"/>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Income taxes payable</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(180)</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Deferred revenue</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20" w:type="dxa"/>
            <w:vAlign w:val="bottom"/>
            <w:shd w:val="clear" w:color="auto" w:fill="CFF0FC"/>
          </w:tcPr>
          <w:p>
            <w:pPr>
              <w:spacing w:after="0"/>
              <w:rPr>
                <w:sz w:val="18"/>
                <w:szCs w:val="18"/>
                <w:color w:val="auto"/>
              </w:rPr>
            </w:pPr>
          </w:p>
        </w:tc>
      </w:tr>
      <w:tr>
        <w:trPr>
          <w:trHeight w:val="230"/>
        </w:trPr>
        <w:tc>
          <w:tcPr>
            <w:tcW w:w="666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Lease Liabilities</w:t>
            </w: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(1,031)</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(1,454)</w:t>
            </w:r>
          </w:p>
        </w:tc>
      </w:tr>
      <w:tr>
        <w:trPr>
          <w:trHeight w:val="216"/>
        </w:trPr>
        <w:tc>
          <w:tcPr>
            <w:tcW w:w="666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1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529</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20" w:type="dxa"/>
            <w:vAlign w:val="bottom"/>
            <w:shd w:val="clear" w:color="auto" w:fill="CFF0FC"/>
          </w:tcPr>
          <w:p>
            <w:pPr>
              <w:spacing w:after="0"/>
              <w:rPr>
                <w:sz w:val="18"/>
                <w:szCs w:val="18"/>
                <w:color w:val="auto"/>
              </w:rPr>
            </w:pPr>
          </w:p>
        </w:tc>
      </w:tr>
      <w:tr>
        <w:trPr>
          <w:trHeight w:val="209"/>
        </w:trPr>
        <w:tc>
          <w:tcPr>
            <w:tcW w:w="66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12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5,222</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13,419</w:t>
            </w:r>
          </w:p>
        </w:tc>
        <w:tc>
          <w:tcPr>
            <w:tcW w:w="120" w:type="dxa"/>
            <w:vAlign w:val="bottom"/>
            <w:tcBorders>
              <w:bottom w:val="single" w:sz="8" w:color="CFF0FC"/>
            </w:tcBorders>
          </w:tcPr>
          <w:p>
            <w:pPr>
              <w:spacing w:after="0"/>
              <w:rPr>
                <w:sz w:val="18"/>
                <w:szCs w:val="18"/>
                <w:color w:val="auto"/>
              </w:rPr>
            </w:pPr>
          </w:p>
        </w:tc>
      </w:tr>
      <w:tr>
        <w:trPr>
          <w:trHeight w:val="210"/>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Purchase of investments</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9"/>
              </w:rPr>
              <w:t>(109,161)</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(91,143)</w:t>
            </w:r>
          </w:p>
        </w:tc>
      </w:tr>
      <w:tr>
        <w:trPr>
          <w:trHeight w:val="216"/>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Sales of investments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44,044</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32,573</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Maturities of investments</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49,227</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71,395</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Purchase of property and equipment</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(665)</w:t>
            </w: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(954)</w:t>
            </w:r>
          </w:p>
        </w:tc>
      </w:tr>
      <w:tr>
        <w:trPr>
          <w:trHeight w:val="210"/>
        </w:trPr>
        <w:tc>
          <w:tcPr>
            <w:tcW w:w="6660" w:type="dxa"/>
            <w:vAlign w:val="bottom"/>
            <w:tcBorders>
              <w:bottom w:val="single" w:sz="8" w:color="CFF0FC"/>
            </w:tcBorders>
          </w:tcPr>
          <w:p>
            <w:pPr>
              <w:ind w:left="74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1120" w:type="dxa"/>
            <w:vAlign w:val="bottom"/>
            <w:tcBorders>
              <w:bottom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(16,555)</w:t>
            </w:r>
          </w:p>
        </w:tc>
        <w:tc>
          <w:tcPr>
            <w:tcW w:w="2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11,871</w:t>
            </w:r>
          </w:p>
        </w:tc>
        <w:tc>
          <w:tcPr>
            <w:tcW w:w="120" w:type="dxa"/>
            <w:vAlign w:val="bottom"/>
            <w:tcBorders>
              <w:bottom w:val="single" w:sz="8" w:color="CFF0FC"/>
            </w:tcBorders>
          </w:tcPr>
          <w:p>
            <w:pPr>
              <w:spacing w:after="0"/>
              <w:rPr>
                <w:sz w:val="18"/>
                <w:szCs w:val="18"/>
                <w:color w:val="auto"/>
              </w:rPr>
            </w:pPr>
          </w:p>
        </w:tc>
      </w:tr>
      <w:tr>
        <w:trPr>
          <w:trHeight w:val="209"/>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Stock repurchase</w:t>
            </w:r>
          </w:p>
        </w:tc>
        <w:tc>
          <w:tcPr>
            <w:tcW w:w="1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Proceeds from exercise of stock options and employee stock purchase plan</w:t>
            </w:r>
          </w:p>
        </w:tc>
        <w:tc>
          <w:tcPr>
            <w:tcW w:w="11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3,866</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5,429</w:t>
            </w:r>
          </w:p>
        </w:tc>
        <w:tc>
          <w:tcPr>
            <w:tcW w:w="120" w:type="dxa"/>
            <w:vAlign w:val="bottom"/>
            <w:shd w:val="clear" w:color="auto" w:fill="CFF0FC"/>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Payment for intangible asset</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(2,288)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(2,075)</w:t>
            </w:r>
          </w:p>
        </w:tc>
      </w:tr>
      <w:tr>
        <w:trPr>
          <w:trHeight w:val="210"/>
        </w:trPr>
        <w:tc>
          <w:tcPr>
            <w:tcW w:w="6660" w:type="dxa"/>
            <w:vAlign w:val="bottom"/>
            <w:tcBorders>
              <w:top w:val="single" w:sz="8" w:color="CFF0FC"/>
            </w:tcBorders>
            <w:shd w:val="clear" w:color="auto" w:fill="CFF0FC"/>
          </w:tcPr>
          <w:p>
            <w:pPr>
              <w:ind w:left="74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120" w:type="dxa"/>
            <w:vAlign w:val="bottom"/>
            <w:tcBorders>
              <w:top w:val="single" w:sz="8" w:color="CFF0FC"/>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578</w:t>
            </w:r>
          </w:p>
        </w:tc>
        <w:tc>
          <w:tcPr>
            <w:tcW w:w="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3,354</w:t>
            </w:r>
          </w:p>
        </w:tc>
        <w:tc>
          <w:tcPr>
            <w:tcW w:w="120" w:type="dxa"/>
            <w:vAlign w:val="bottom"/>
            <w:tcBorders>
              <w:top w:val="single" w:sz="8" w:color="CFF0FC"/>
            </w:tcBorders>
            <w:shd w:val="clear" w:color="auto" w:fill="CFF0FC"/>
          </w:tcPr>
          <w:p>
            <w:pPr>
              <w:spacing w:after="0"/>
              <w:rPr>
                <w:sz w:val="18"/>
                <w:szCs w:val="18"/>
                <w:color w:val="auto"/>
              </w:rPr>
            </w:pPr>
          </w:p>
        </w:tc>
      </w:tr>
      <w:tr>
        <w:trPr>
          <w:trHeight w:val="209"/>
        </w:trPr>
        <w:tc>
          <w:tcPr>
            <w:tcW w:w="6660" w:type="dxa"/>
            <w:vAlign w:val="bottom"/>
          </w:tcPr>
          <w:p>
            <w:pPr>
              <w:spacing w:after="0"/>
              <w:rPr>
                <w:sz w:val="20"/>
                <w:szCs w:val="20"/>
                <w:color w:val="auto"/>
              </w:rPr>
            </w:pPr>
            <w:r>
              <w:rPr>
                <w:rFonts w:ascii="Times New Roman" w:cs="Times New Roman" w:eastAsia="Times New Roman" w:hAnsi="Times New Roman"/>
                <w:sz w:val="17"/>
                <w:szCs w:val="17"/>
                <w:color w:val="auto"/>
              </w:rPr>
              <w:t>Net increase (decrease) in cash, cash equivalents and restricted cash</w:t>
            </w: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(10,755)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28,644</w:t>
            </w:r>
          </w:p>
        </w:tc>
        <w:tc>
          <w:tcPr>
            <w:tcW w:w="120" w:type="dxa"/>
            <w:vAlign w:val="bottom"/>
          </w:tcPr>
          <w:p>
            <w:pPr>
              <w:spacing w:after="0"/>
              <w:rPr>
                <w:sz w:val="18"/>
                <w:szCs w:val="18"/>
                <w:color w:val="auto"/>
              </w:rPr>
            </w:pPr>
          </w:p>
        </w:tc>
      </w:tr>
      <w:tr>
        <w:trPr>
          <w:trHeight w:val="21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1120" w:type="dxa"/>
            <w:vAlign w:val="bottom"/>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231,412</w:t>
            </w: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194,058</w:t>
            </w:r>
          </w:p>
        </w:tc>
        <w:tc>
          <w:tcPr>
            <w:tcW w:w="120" w:type="dxa"/>
            <w:vAlign w:val="bottom"/>
            <w:shd w:val="clear" w:color="auto" w:fill="CFF0FC"/>
          </w:tcPr>
          <w:p>
            <w:pPr>
              <w:spacing w:after="0"/>
              <w:rPr>
                <w:sz w:val="18"/>
                <w:szCs w:val="18"/>
                <w:color w:val="auto"/>
              </w:rPr>
            </w:pPr>
          </w:p>
        </w:tc>
      </w:tr>
      <w:tr>
        <w:trPr>
          <w:trHeight w:val="250"/>
        </w:trPr>
        <w:tc>
          <w:tcPr>
            <w:tcW w:w="66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1120" w:type="dxa"/>
            <w:vAlign w:val="bottom"/>
            <w:tcBorders>
              <w:bottom w:val="single" w:sz="8" w:color="CFF0FC"/>
            </w:tcBorders>
          </w:tcPr>
          <w:p>
            <w:pPr>
              <w:spacing w:after="0"/>
              <w:rPr>
                <w:sz w:val="21"/>
                <w:szCs w:val="21"/>
                <w:color w:val="auto"/>
              </w:rPr>
            </w:pPr>
          </w:p>
        </w:tc>
        <w:tc>
          <w:tcPr>
            <w:tcW w:w="900" w:type="dxa"/>
            <w:vAlign w:val="bottom"/>
            <w:tcBorders>
              <w:bottom w:val="single" w:sz="8" w:color="auto"/>
            </w:tcBorders>
          </w:tcPr>
          <w:p>
            <w:pPr>
              <w:jc w:val="right"/>
              <w:ind w:right="7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220,657</w:t>
            </w:r>
          </w:p>
        </w:tc>
        <w:tc>
          <w:tcPr>
            <w:tcW w:w="280" w:type="dxa"/>
            <w:vAlign w:val="bottom"/>
            <w:tcBorders>
              <w:bottom w:val="single" w:sz="8" w:color="CFF0FC"/>
            </w:tcBorders>
          </w:tcPr>
          <w:p>
            <w:pPr>
              <w:spacing w:after="0"/>
              <w:rPr>
                <w:sz w:val="21"/>
                <w:szCs w:val="21"/>
                <w:color w:val="auto"/>
              </w:rPr>
            </w:pPr>
          </w:p>
        </w:tc>
        <w:tc>
          <w:tcPr>
            <w:tcW w:w="20" w:type="dxa"/>
            <w:vAlign w:val="bottom"/>
            <w:tcBorders>
              <w:bottom w:val="single" w:sz="8" w:color="CFF0FC"/>
            </w:tcBorders>
          </w:tcPr>
          <w:p>
            <w:pPr>
              <w:spacing w:after="0"/>
              <w:rPr>
                <w:sz w:val="21"/>
                <w:szCs w:val="21"/>
                <w:color w:val="auto"/>
              </w:rPr>
            </w:pPr>
          </w:p>
        </w:tc>
        <w:tc>
          <w:tcPr>
            <w:tcW w:w="920" w:type="dxa"/>
            <w:vAlign w:val="bottom"/>
            <w:tcBorders>
              <w:bottom w:val="single" w:sz="8" w:color="auto"/>
            </w:tcBorders>
          </w:tcPr>
          <w:p>
            <w:pPr>
              <w:jc w:val="right"/>
              <w:ind w:right="80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222,702</w:t>
            </w:r>
          </w:p>
        </w:tc>
        <w:tc>
          <w:tcPr>
            <w:tcW w:w="120" w:type="dxa"/>
            <w:vAlign w:val="bottom"/>
            <w:tcBorders>
              <w:bottom w:val="single" w:sz="8" w:color="CFF0FC"/>
            </w:tcBorders>
          </w:tcPr>
          <w:p>
            <w:pPr>
              <w:spacing w:after="0"/>
              <w:rPr>
                <w:sz w:val="21"/>
                <w:szCs w:val="21"/>
                <w:color w:val="auto"/>
              </w:rPr>
            </w:pPr>
          </w:p>
        </w:tc>
      </w:tr>
      <w:tr>
        <w:trPr>
          <w:trHeight w:val="196"/>
        </w:trPr>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1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5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202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w:t>
            </w:r>
          </w:p>
        </w:tc>
        <w:tc>
          <w:tcPr>
            <w:tcW w:w="280" w:type="dxa"/>
            <w:vAlign w:val="bottom"/>
          </w:tcPr>
          <w:p>
            <w:pPr>
              <w:spacing w:after="0"/>
              <w:rPr>
                <w:sz w:val="22"/>
                <w:szCs w:val="22"/>
                <w:color w:val="auto"/>
              </w:rPr>
            </w:pP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120" w:type="dxa"/>
            <w:vAlign w:val="bottom"/>
          </w:tcPr>
          <w:p>
            <w:pPr>
              <w:spacing w:after="0"/>
              <w:rPr>
                <w:sz w:val="22"/>
                <w:szCs w:val="22"/>
                <w:color w:val="auto"/>
              </w:rPr>
            </w:pPr>
          </w:p>
        </w:tc>
      </w:tr>
      <w:tr>
        <w:trPr>
          <w:trHeight w:val="197"/>
        </w:trPr>
        <w:tc>
          <w:tcPr>
            <w:tcW w:w="66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noncash investing and financing activities:</w:t>
            </w:r>
          </w:p>
        </w:tc>
        <w:tc>
          <w:tcPr>
            <w:tcW w:w="112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6"/>
        </w:trPr>
        <w:tc>
          <w:tcPr>
            <w:tcW w:w="66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Unpaid liabilities related to intangible and fixed assets additions</w:t>
            </w:r>
          </w:p>
        </w:tc>
        <w:tc>
          <w:tcPr>
            <w:tcW w:w="2020" w:type="dxa"/>
            <w:vAlign w:val="bottom"/>
            <w:gridSpan w:val="2"/>
          </w:tcPr>
          <w:p>
            <w:pPr>
              <w:jc w:val="right"/>
              <w:ind w:right="74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280" w:type="dxa"/>
            <w:vAlign w:val="bottom"/>
          </w:tcPr>
          <w:p>
            <w:pPr>
              <w:spacing w:after="0"/>
              <w:rPr>
                <w:sz w:val="18"/>
                <w:szCs w:val="18"/>
                <w:color w:val="auto"/>
              </w:rPr>
            </w:pPr>
          </w:p>
        </w:tc>
        <w:tc>
          <w:tcPr>
            <w:tcW w:w="940" w:type="dxa"/>
            <w:vAlign w:val="bottom"/>
            <w:gridSpan w:val="2"/>
          </w:tcPr>
          <w:p>
            <w:pPr>
              <w:jc w:val="right"/>
              <w:ind w:right="807"/>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w:t>
            </w:r>
          </w:p>
        </w:tc>
        <w:tc>
          <w:tcPr>
            <w:tcW w:w="120" w:type="dxa"/>
            <w:vAlign w:val="bottom"/>
          </w:tcPr>
          <w:p>
            <w:pPr>
              <w:spacing w:after="0"/>
              <w:rPr>
                <w:sz w:val="18"/>
                <w:szCs w:val="18"/>
                <w:color w:val="auto"/>
              </w:rPr>
            </w:pPr>
          </w:p>
        </w:tc>
      </w:tr>
      <w:tr>
        <w:trPr>
          <w:trHeight w:val="20"/>
        </w:trPr>
        <w:tc>
          <w:tcPr>
            <w:tcW w:w="6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11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20" w:right="6260" w:hanging="512"/>
        <w:spacing w:after="0" w:line="378" w:lineRule="auto"/>
        <w:tabs>
          <w:tab w:leader="none" w:pos="19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Organization and Summary of Significant Accounting Policies </w:t>
      </w:r>
      <w:r>
        <w:rPr>
          <w:rFonts w:ascii="Times New Roman" w:cs="Times New Roman" w:eastAsia="Times New Roman" w:hAnsi="Times New Roman"/>
          <w:sz w:val="18"/>
          <w:szCs w:val="18"/>
          <w:b w:val="1"/>
          <w:bCs w:val="1"/>
          <w:i w:val="1"/>
          <w:iCs w:val="1"/>
          <w:color w:val="auto"/>
        </w:rPr>
        <w:t>Organization</w:t>
      </w: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Ambarella, Inc. (the “Company”) was incorporated in the Cayman Islands on January 15, 2004. The Company is a leading developer of low-power semiconductor solutions offering high-definition (HD) and Ultra HD compression, image processing, and deep neural network processing. The Company combines its processor design capabilities with its expertise in video and image processing, algorithms and software to provide a technology platform that is designed to be easily scalable across multiple applications and enable rapid and efficient product development. The Company’s system-on-a-chip, or SoC, designs fully integrate high-definition video processing, image processing, artificial intelligence (AI) computer vision algorithms, audio processing and system functions onto a single chip, delivering exceptional video and image quality, differentiated functionality and low power consumption. The Company is currently addressing a broad range of human and computer vision applications, including professional and consumer security cameras, automotive cameras such as advanced driver assistance systems (ADAS), electronic mirrors, drive recorders, driver/cabin monitoring systems, autonomous driving, and industrial and robotic applications.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sells its solutions to leading original design manufacturers, or ODMs, and original equipment manufacturers, or OEMs, globally.</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the instructions to Form 10-Q pursuant to the rules and regulations of the Securities and Exchange Commission (“SEC”) and, therefore, do not include all information and notes normally provided in audited financial statements. The accounting policies are described in the “Notes to Consolidated Financial Statements” in the Annual Report on Form 10-K for the 2020 fiscal year filed with the SEC on March 27, 2020 (the “Form 10-K”) and updated, as necessary, in this Form 10-Q. The year-end condensed consolidated balance sheet data presented for comparative purposes was derived from audited financial statements, but does not include all disclosures required by generally accepted accounting principles in the United States (“U.S. GAAP”). In the opinion of management, all adjustments (consisting of normal recurring accruals and adjustments) considered necessary for a fair statement have been included. The results of operations for any interim period are not necessarily indicative of, nor comparable to, the results of operations for any other interim period or for a full fiscal year. These unaudited condensed consolidated financial statements should be read in conjunction with the consolidated financial statements and related notes contained in the Form 10-K.</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21" w:lineRule="exact"/>
        <w:rPr>
          <w:sz w:val="20"/>
          <w:szCs w:val="20"/>
          <w:color w:val="auto"/>
        </w:rPr>
      </w:pPr>
    </w:p>
    <w:p>
      <w:pPr>
        <w:ind w:right="340" w:firstLine="510"/>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January 31. The condensed consolidated financial statements of the Company and its subsidiaries have been prepared in conformity with U.S. GAAP. All intercompany transactions and balances have been eliminated upon consolidation.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10"/>
        <w:spacing w:after="0" w:line="266"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reported periods. Actual results could differ from those estimates.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an ongoing basis, management evaluates its estimates and assumptions, including those related to (i) the collectability of accounts receivable;</w:t>
      </w:r>
    </w:p>
    <w:p>
      <w:pPr>
        <w:spacing w:after="0" w:line="27" w:lineRule="exact"/>
        <w:rPr>
          <w:sz w:val="20"/>
          <w:szCs w:val="20"/>
          <w:color w:val="auto"/>
        </w:rPr>
      </w:pPr>
    </w:p>
    <w:p>
      <w:pPr>
        <w:ind w:firstLine="8"/>
        <w:spacing w:after="0" w:line="250"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down of excess and obsolete inventories; (iii) intangible assets and goodwill; (iv) the estimated useful lives of long-lived assets; (v) impairment of long-lived assets and financial instruments; (vi) warranty obligations; (vii) the valuation of stock-based compensation awards and financial instruments;</w:t>
      </w:r>
    </w:p>
    <w:p>
      <w:pPr>
        <w:ind w:right="80" w:firstLine="8"/>
        <w:spacing w:after="0" w:line="252" w:lineRule="auto"/>
        <w:tabs>
          <w:tab w:leader="none" w:pos="40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probability of performance objectives achievement; (ix) the realization of tax assets and estimates of tax liabilities, including reserves for uncertain tax positions; and (x) the recognition and disclosure of contingent liabilities. These estimates and assumptions are based on historical experience and on various other factors which the Company believes to be reasonable under the circumstances. The Company may engage third-party valuation specialists to assist with estimates related to the valuation of financial instruments, assets and stock awards associated with various contractual arrangements. Such estimates often require the selection of appropriate valuation methodologies and significant judgment. Actual results could differ from these estimates under different assumptions or circumstances and such differences could be material.</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The Company also assessed the impacts of COVID-19 on the above accounting matters as of July 31, 2020 and through the date of this report. While it is difficult to quantify the impact of COVID-19, the future magnitude and duration of COVID-19, as well as other associated factors, could result in material negative impacts to its condensed consolidated financial statements in future reporting periods.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121" w:lineRule="exact"/>
        <w:rPr>
          <w:sz w:val="20"/>
          <w:szCs w:val="20"/>
          <w:color w:val="auto"/>
        </w:rPr>
      </w:pPr>
    </w:p>
    <w:p>
      <w:pPr>
        <w:jc w:val="both"/>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Company’s products are manufactured, assembled and tested by third-party contractors located primarily in Asia. The Company does not have long-term agreements with these contractors. A significant disruption in the operations of one or more of these contractors would impact the production of the Company’s products which could have a material adverse effect on its business, financial condition and results of operations.</w:t>
      </w:r>
    </w:p>
    <w:p>
      <w:pPr>
        <w:spacing w:after="0" w:line="176"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A substantial portion of the Company’s revenue is derived from sales through one of its distributors, Wintech Microelectronics Co., Ltd., or Wintech, which serves as its non-exclusive sales representative in Asia other than Japan, and directly to one ODM customer, Chicony Electronics Co., Ltd., or Chicony. Termination of the relationships with these customers could result in a temporary or permanent loss of revenue. Furthermore, any credit issues from these customers could impair their abilities to make timely payment to the Company. See Note 14 for additional information regarding revenue and credit concentration with these customers.</w:t>
      </w:r>
    </w:p>
    <w:p>
      <w:pPr>
        <w:spacing w:after="0" w:line="183"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cash equivalents, marketable debt securities and accounts receivable. The Company maintains its cash primarily in checking accounts with reputable financial institutions. Cash deposits held with these financial institutions may exceed the amount of insurance provided on such deposits. The Company has not experienced any losses on deposits of its cash. In order to limit the exposure of each investment, the cash equivalents and marketable debt securities consist primarily of money market funds, asset-backed securities, commercial paper, U.S. government securities and debt securities of corporations which management assesses to be highly liquid. The Company does not hold or issue financial instruments for trading purposes.</w:t>
      </w:r>
    </w:p>
    <w:p>
      <w:pPr>
        <w:spacing w:after="0" w:line="187" w:lineRule="exact"/>
        <w:rPr>
          <w:sz w:val="20"/>
          <w:szCs w:val="20"/>
          <w:color w:val="auto"/>
        </w:rPr>
      </w:pPr>
    </w:p>
    <w:p>
      <w:pPr>
        <w:ind w:right="440" w:firstLine="510"/>
        <w:spacing w:after="0" w:line="282"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adjusts credit limits based upon payment history and customers’ credit worthiness. The Company regularly monitors collections and payments from its customers.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Financial Instruments</w:t>
      </w:r>
    </w:p>
    <w:p>
      <w:pPr>
        <w:spacing w:after="0" w:line="22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On February 1, 2020, the Company adopted Accounting Standards Update (ASU) No. 2016-13, Financial Instruments-Credit Losses (Topic 326): Measurement of Credit Losses on Financial Instruments, using the modified retrospective transition method. Under this new guidance, the Company recognizes credit losses based on a forward-looking current expected credit losses (CECL) model instead of the previous incurred loss model for financial instruments, including accounts receivable. The Company’s accounts receivable are recorded at invoiced amount less an allowance for any potentially uncollectible amounts. Accordingly, the Company makes estimates of expected credit losses for the allowance for doubtful accounts based upon its assessment of various factors, including historical collection experience, the age of the accounts receivable balances, credit quality of its customers, current economic conditions, reasonable and supportable forecasts of future economic conditions, and other factors that may affect its ability to collect from customers.</w:t>
      </w:r>
    </w:p>
    <w:p>
      <w:pPr>
        <w:spacing w:after="0" w:line="192"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considers all highly liquid debt security investments with original maturities of less than three months at the time of purchase to be cash equivalents. Debt security investments that are highly liquid with original maturities at the time of purchase greater than three months are considered marketable debt securities. The Company classifies these investments as “available-for-sale” (AFS) securities. Instead of the previous "other than temporary" impairment model, the Company now estimates the expected losses whenever a security’s fair value is below its amortized cost basis. The expected loss is computed at an individual security level using the discounted cash flow method with the effective interest rate on the purchase date. In the determination of credit-related losses, the Company excludes securities with zero loss expectation such as assets backed by government agencies. There are various factors considered in its assessment of credit-related losses, including the extent to which the fair value is less than the amortized cost basis, adverse conditions related to an industry or an underlying loan obligator, the payment structure of the security, changes to the rating of the security and other factors that may affect the security credit.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w:t>
      </w:r>
    </w:p>
    <w:p>
      <w:pPr>
        <w:spacing w:after="0" w:line="192" w:lineRule="exact"/>
        <w:rPr>
          <w:sz w:val="20"/>
          <w:szCs w:val="20"/>
          <w:color w:val="auto"/>
        </w:rPr>
      </w:pPr>
    </w:p>
    <w:p>
      <w:pPr>
        <w:ind w:right="20" w:firstLine="510"/>
        <w:spacing w:after="0" w:line="282" w:lineRule="auto"/>
        <w:rPr>
          <w:sz w:val="20"/>
          <w:szCs w:val="20"/>
          <w:color w:val="auto"/>
        </w:rPr>
      </w:pPr>
      <w:r>
        <w:rPr>
          <w:rFonts w:ascii="Times New Roman" w:cs="Times New Roman" w:eastAsia="Times New Roman" w:hAnsi="Times New Roman"/>
          <w:sz w:val="18"/>
          <w:szCs w:val="18"/>
          <w:color w:val="auto"/>
        </w:rPr>
        <w:t>The cumulative effect adjustment upon the adoption on February 1, 2020 was immaterial. The credit-related losses and associated allowance amount from the Company’s financial instruments were not material as of July 31, 2020,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48" w:lineRule="exact"/>
        <w:rPr>
          <w:sz w:val="20"/>
          <w:szCs w:val="20"/>
          <w:color w:val="auto"/>
        </w:rPr>
      </w:pPr>
    </w:p>
    <w:p>
      <w:pPr>
        <w:ind w:right="380" w:firstLine="510"/>
        <w:spacing w:after="0" w:line="266" w:lineRule="auto"/>
        <w:rPr>
          <w:sz w:val="20"/>
          <w:szCs w:val="20"/>
          <w:color w:val="auto"/>
        </w:rPr>
      </w:pPr>
      <w:r>
        <w:rPr>
          <w:rFonts w:ascii="Times New Roman" w:cs="Times New Roman" w:eastAsia="Times New Roman" w:hAnsi="Times New Roman"/>
          <w:sz w:val="18"/>
          <w:szCs w:val="18"/>
          <w:color w:val="auto"/>
        </w:rPr>
        <w:t>Amounts included in restricted cash represent those required to be set aside to secure certain transactions in a foreign entity. As of both July 31, 2020 and January 31, 2020, restricted cash was immaterial. The following table presents cash, cash equivalents and restricted cash reported on the condensed consolidated balance sheets, and the sums are presented on the condensed consolidated statements of cash flows:</w:t>
      </w:r>
    </w:p>
    <w:p>
      <w:pPr>
        <w:spacing w:after="0" w:line="25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56"/>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July 31, 2020</w:t>
            </w: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2020</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95"/>
              <w:spacing w:after="0" w:line="155" w:lineRule="exact"/>
              <w:rPr>
                <w:sz w:val="20"/>
                <w:szCs w:val="20"/>
                <w:color w:val="auto"/>
              </w:rPr>
            </w:pPr>
            <w:r>
              <w:rPr>
                <w:rFonts w:ascii="Times New Roman" w:cs="Times New Roman" w:eastAsia="Times New Roman" w:hAnsi="Times New Roman"/>
                <w:sz w:val="14"/>
                <w:szCs w:val="14"/>
                <w:b w:val="1"/>
                <w:bCs w:val="1"/>
                <w:color w:val="auto"/>
              </w:rPr>
              <w:t>July 31, 2019</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2019</w:t>
            </w:r>
          </w:p>
        </w:tc>
        <w:tc>
          <w:tcPr>
            <w:tcW w:w="80" w:type="dxa"/>
            <w:vAlign w:val="bottom"/>
          </w:tcPr>
          <w:p>
            <w:pPr>
              <w:spacing w:after="0"/>
              <w:rPr>
                <w:sz w:val="13"/>
                <w:szCs w:val="13"/>
                <w:color w:val="auto"/>
              </w:rPr>
            </w:pPr>
          </w:p>
        </w:tc>
      </w:tr>
      <w:tr>
        <w:trPr>
          <w:trHeight w:val="155"/>
        </w:trPr>
        <w:tc>
          <w:tcPr>
            <w:tcW w:w="33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gridSpan w:val="4"/>
          </w:tcPr>
          <w:p>
            <w:pPr>
              <w:jc w:val="right"/>
              <w:ind w:right="73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4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220,647</w:t>
            </w:r>
          </w:p>
        </w:tc>
        <w:tc>
          <w:tcPr>
            <w:tcW w:w="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231,403</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222,693</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194,047</w:t>
            </w:r>
          </w:p>
        </w:tc>
        <w:tc>
          <w:tcPr>
            <w:tcW w:w="80" w:type="dxa"/>
            <w:vAlign w:val="bottom"/>
            <w:shd w:val="clear" w:color="auto" w:fill="CFF0FC"/>
          </w:tcPr>
          <w:p>
            <w:pPr>
              <w:spacing w:after="0"/>
              <w:rPr>
                <w:sz w:val="21"/>
                <w:szCs w:val="21"/>
                <w:color w:val="auto"/>
              </w:rPr>
            </w:pPr>
          </w:p>
        </w:tc>
      </w:tr>
      <w:tr>
        <w:trPr>
          <w:trHeight w:val="243"/>
        </w:trPr>
        <w:tc>
          <w:tcPr>
            <w:tcW w:w="33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FF0FC"/>
            </w:tcBorders>
          </w:tcPr>
          <w:p>
            <w:pPr>
              <w:spacing w:after="0"/>
              <w:rPr>
                <w:sz w:val="21"/>
                <w:szCs w:val="21"/>
                <w:color w:val="auto"/>
              </w:rPr>
            </w:pPr>
          </w:p>
        </w:tc>
      </w:tr>
      <w:tr>
        <w:trPr>
          <w:trHeight w:val="205"/>
        </w:trPr>
        <w:tc>
          <w:tcPr>
            <w:tcW w:w="3360" w:type="dxa"/>
            <w:vAlign w:val="bottom"/>
            <w:shd w:val="clear" w:color="auto" w:fill="CFF0FC"/>
          </w:tcPr>
          <w:p>
            <w:pPr>
              <w:ind w:left="240"/>
              <w:spacing w:after="0" w:line="205" w:lineRule="exact"/>
              <w:rPr>
                <w:sz w:val="20"/>
                <w:szCs w:val="20"/>
                <w:color w:val="auto"/>
              </w:rPr>
            </w:pPr>
            <w:r>
              <w:rPr>
                <w:rFonts w:ascii="Times New Roman" w:cs="Times New Roman" w:eastAsia="Times New Roman" w:hAnsi="Times New Roman"/>
                <w:sz w:val="18"/>
                <w:szCs w:val="18"/>
                <w:color w:val="auto"/>
              </w:rPr>
              <w:t>Total as presented in the consolidated</w:t>
            </w:r>
          </w:p>
        </w:tc>
        <w:tc>
          <w:tcPr>
            <w:tcW w:w="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4"/>
        </w:trPr>
        <w:tc>
          <w:tcPr>
            <w:tcW w:w="33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statements of cash flows</w:t>
            </w:r>
          </w:p>
        </w:tc>
        <w:tc>
          <w:tcPr>
            <w:tcW w:w="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220,657</w:t>
            </w:r>
          </w:p>
        </w:tc>
        <w:tc>
          <w:tcPr>
            <w:tcW w:w="5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231,412</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222,702</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194,058</w:t>
            </w:r>
          </w:p>
        </w:tc>
        <w:tc>
          <w:tcPr>
            <w:tcW w:w="80" w:type="dxa"/>
            <w:vAlign w:val="bottom"/>
            <w:shd w:val="clear" w:color="auto" w:fill="CFF0FC"/>
          </w:tcPr>
          <w:p>
            <w:pPr>
              <w:spacing w:after="0"/>
              <w:rPr>
                <w:sz w:val="20"/>
                <w:szCs w:val="20"/>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3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The Company records inventories at the lower of cost or net realizable value. The cost includes materials and other production costs and is computed using standard cost on a first-in, first-out basis. Inventory reserves are recorded for estimated obsolescence or unmarketable inventories based on forecast of future demand and market conditions. Any adjustments to reduce the cost of inventories to their net realizable value are recognized in earnings in the current period. Once inventory is written down, a new accounting cost basis is established and, accordingly, any associated reserve is not released until the inventory is sold or scrapped. There were no material inventory losses recognized for the three and six months ended July 31, 2020 and 2019, respectively.</w:t>
      </w:r>
    </w:p>
    <w:p>
      <w:pPr>
        <w:spacing w:after="0" w:line="1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Noncancelable Internal-Use Software License</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 accounts for a noncancelable on premise internal-use software license as the acquisition of an intangible asset and the incurrence of a liability to the extent that all or a portion of the software licensing fees are not paid on or before the license acquisition date. The intangible asset and related liability are recorded at net present value and interest expense is recorded over the payment term.</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Company adopted Accounting Standards Codification (“ASC”) Topic 842, Leases in fiscal year 2020. As a result, the Company recognizes leases as operating lease right-of-use (“ROU”) assets and corresponding lease liabilities at the lease commencement date based on the present value of future lease payments, while recognizing lease expenses under straight-line method through the lease term. The Company also elected the practical expedient that does not recognize ROU assets and lease liabilities that arise from short-term (12 months or less) leases. The Company does not combine lease components with non-lease components, and as a result, the non-lease components are accounted for separately. In determining the present value of lease payments, the Company uses the implicit interest rate if readily determinable. When the implicit rate is not readily determinable, the Company uses its incremental borrowing rate based on the information available at the lease commencement date. The Company's leases mainly include its worldwide office facilities which are all classified as operating leases. Certain leases include renewal options that are under the Company's discretion. The renewal options are included in the ROU and liability calculation if it is reasonably certain that the Company will exercise the option. The Company's finance leases were immaterial as of July 31, 2020 and January 31, 2020, respectively.</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160" w:firstLine="510"/>
        <w:spacing w:after="0" w:line="258" w:lineRule="auto"/>
        <w:rPr>
          <w:sz w:val="20"/>
          <w:szCs w:val="20"/>
          <w:color w:val="auto"/>
        </w:rPr>
      </w:pPr>
      <w:r>
        <w:rPr>
          <w:rFonts w:ascii="Times New Roman" w:cs="Times New Roman" w:eastAsia="Times New Roman" w:hAnsi="Times New Roman"/>
          <w:sz w:val="18"/>
          <w:szCs w:val="18"/>
          <w:color w:val="auto"/>
        </w:rPr>
        <w:t>The Company adopted ASC 606, Revenue from Contracts with Customers in fiscal year 2019. As a result, the Company recognizes revenue when control of its goods and services is transferred to its customers. Revenue recognition is evaluated through the following five steps: (i) identification of the contract, or contracts, with a customer; (ii) identification of the performance obligations in the contract; (iii) determination of the transaction price; (iv) allocation of the transaction price to the performance obligations in the contract; and (v) recognition of revenue when or as a performance obligation is satisfied.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10" w:name="page11"/>
    <w:bookmarkEnd w:id="10"/>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The sale of semiconductor products accounts for the substantial majority of the Company’s consolidated revenue. Sales agreements with customers are renewable periodically and contain terms and conditions with respect to payment, delivery, warranty, supply and other rights. The Company considers an accepted customer purchase order, governed by sales agreement, to be the contract with the customer. For each contract, the Company considers the promise to transfer tangible products to be the identified performance obligation. Product sales contracts may include volume-based tiered pricing or rebates that are fulfilled in cash or product. In determining the transaction price, the Company accounts for the right of returns, cash rebates, commissions and other pricing adjustments as variable consideration, estimates these amounts based on the expected amount to be provided to customers and reduces the revenue recognized. The Company estimates sales returns and rebates based on the Company’s historical patterns of return and pricing credits. As the Company’s standard payment terms are 30 days to 60 days, the contracts have no financing component. Under ASC 606, the Company estimates the total consideration to be received by using the expected value method for each contract, computes weighted average selling price for each unit shipped in cases where there is a material right due to the presence of volume-based tiered pricing, allocates the total consideration between the identified performance obligations, and recognizes revenue when control of its goods and services is transferred to its customers. The Company considers product control to be transferred at a point in time upon shipment or delivery because the Company has a present right to payment at that time, the customer has legal title to the asset, the Company has transferred physical possession of the asset, and the customer has significant risk and rewards of ownership of the asset.</w:t>
      </w:r>
    </w:p>
    <w:p>
      <w:pPr>
        <w:spacing w:after="0" w:line="187"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The Company also enters into fixed-price engineering service agreements with certain customers. These agreements may include multiple performance obligations, such as software development services, licensing of intellectual property and post-contract customer support, or PCS. These multiple performance obligations are highly interdependent, highly interrelated, are typically not sold separately and do not have standalone selling prices. They are all inputs to generate one combined output which is incorporating the Company’s SoC into the customer’s product. Accordingly, the Company determines that they are not separately identifiable and shall be treated as a single performance obligation. Customers usually pay based on milestones achieved. Because payments received do not correspond directly with the value of the Company’s performance to date, for fixed-price engineering services arrangements, revenue is recognized using the time-based straight line method, which best depicts the Company’s performance toward complete satisfaction of the performance obligation based on the nature of such professional services. Revenues from engineering service agreements were not material for the three and six months ended July 31, 2020 and 2019, respectively.</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Timing of revenue recognition may differ from the timing of invoicing to the Company’s customers. The Company records contract assets when revenue is recognized prior to invoicing. The Company’s contract assets are primarily related to satisfied but unbilled performance obligations associated with its engineering service agreements at the reporting date. As of July 31, 2020 and January 31, 2020, the contract assets for these unbilled receivables were not material. The Company’s contract liabilities consist of deferred revenue. The deferred revenue is primarily related to the portion of a transaction price that exceeds the weighted average selling price for products sold to date under tiered-pricing contracts which contain material rights. This deferred revenue is expected to be recognized over the course of the contract when products are delivered for future pricing below the weighted average selling price of the contract. For the three and six months ended July 31, 2020 and 2019, the Company did not recognize any material revenue adjustment, respectively, related to performance obligations satisfied in prior periods released from this deferred revenue. As of July 31, 2020 and January 31, 2020, the respective deferred revenues were not material. Additionally, the transaction price allocated to unsatisfied, or partially unsatisfied, purchase orders for contracts that are greater than a year was not material as of July 31, 2020 and January 31, 2020, respectively. The Company also elects not to disclose the value of unsatisfied or partially unsatisfied performance obligations due to an original expected contract duration of one year or less and elects to exclude amounts collected from customers for all sales taxes from the transaction price.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580" w:firstLine="510"/>
        <w:spacing w:after="0" w:line="282" w:lineRule="auto"/>
        <w:rPr>
          <w:sz w:val="20"/>
          <w:szCs w:val="20"/>
          <w:color w:val="auto"/>
        </w:rPr>
      </w:pPr>
      <w:r>
        <w:rPr>
          <w:rFonts w:ascii="Times New Roman" w:cs="Times New Roman" w:eastAsia="Times New Roman" w:hAnsi="Times New Roman"/>
          <w:sz w:val="18"/>
          <w:szCs w:val="18"/>
          <w:color w:val="auto"/>
        </w:rPr>
        <w:t>Cost of revenue includes cost of materials, cost associated with packaging and assembly, testing and shipping, cost of personnel, stock-based compensation, logistics and quality assurance, warranty cost, royalty expense, write-downs of inventories and allocation of overhead.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Research and development costs are expensed as incurred and consist primarily of personnel costs, product development costs, which include engineering services, development software and hardware tools, license fees, costs of fabrication of masks for prototype products, other development materials costs, depreciation of equipment and tools and allocation of facility costs, net of any research and development grants. As of July 31, 2020, there was approximately $1.3 million of grants recorded in prepaid expenses and other current assets and approximately $2.7 million of grants recorded in other non-current assets in the condensed consolidated balance sheets.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The Company records income taxes using the asset and liability method, which requires the recognition of deferred tax assets and liabilities for the expected future tax consequences of events that have been recognized in its financial statements or tax returns. In estimating future tax consequences, generally all expected future events other than enactments or changes in the tax law or rates are considered. Valuation allowances are provided when necessary to reduce deferred tax assets to the amount expected to be realized.</w:t>
      </w:r>
    </w:p>
    <w:p>
      <w:pPr>
        <w:spacing w:after="0" w:line="1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The Company applies authoritative guidance for the accounting for uncertainty in income taxes. The guidance requires that tax effects of a position be recognized only if it is “more likely than not” to be sustained based solely on its technical merits as of the reporting date. Upon estimating its tax positions and tax benefits, the Company considers and evaluates numerous factors, which may require periodic adjustments and which may not reflect the final tax liabilities. The Company adjusts its financial statements to reflect only those tax positions that are more likely than not to be sustained under examination.</w:t>
      </w:r>
    </w:p>
    <w:p>
      <w:pPr>
        <w:spacing w:after="0" w:line="183"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As part of the process of preparing condensed consolidated financial statements, the Company is required to estimate its taxes in each of the jurisdictions in which it operates. The Company estimates actual current tax exposure together with assessing temporary differences resulting from differing treatment of items, such as accruals and allowances not currently deductible for tax purposes. These differences result in deferred tax assets, which are included in the condensed consolidated balance sheets. In general, deferred tax assets represent future tax benefits to be received when certain expenses previously recognized in the condensed consolidated statements of operations become deductible expenses under applicable income tax laws, or loss or credit carryforwards are utilized.</w:t>
      </w:r>
    </w:p>
    <w:p>
      <w:pPr>
        <w:spacing w:after="0" w:line="187" w:lineRule="exact"/>
        <w:rPr>
          <w:sz w:val="20"/>
          <w:szCs w:val="20"/>
          <w:color w:val="auto"/>
        </w:rPr>
      </w:pPr>
    </w:p>
    <w:p>
      <w:pPr>
        <w:ind w:right="460" w:firstLine="510"/>
        <w:spacing w:after="0" w:line="282" w:lineRule="auto"/>
        <w:rPr>
          <w:sz w:val="20"/>
          <w:szCs w:val="20"/>
          <w:color w:val="auto"/>
        </w:rPr>
      </w:pPr>
      <w:r>
        <w:rPr>
          <w:rFonts w:ascii="Times New Roman" w:cs="Times New Roman" w:eastAsia="Times New Roman" w:hAnsi="Times New Roman"/>
          <w:sz w:val="18"/>
          <w:szCs w:val="18"/>
          <w:color w:val="auto"/>
        </w:rPr>
        <w:t>In assessing whether deferred tax assets may be realized, the Company considers whether it is more likely than not that some portion or all of deferred tax assets will be realized. The ultimate realization of deferred tax assets is dependent upon the generation of future taxable income.</w:t>
      </w:r>
    </w:p>
    <w:p>
      <w:pPr>
        <w:spacing w:after="0" w:line="162"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The Company makes estimates and judgments about its future taxable income based on assumptions that are consistent with its plans and estimates. Should the actual amounts differ from estimates, the amount of valuation allowance could be materially impacted. Any adjustment to the deferred tax asset valuation allowance would be recorded in the condensed consolidated income statement for the periods in which the adjustment is determined to be required.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Ordinary Share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Basic earnings (losses) per share is computed by dividing net income (loss) available to ordinary shareholders by the weighted-average number of ordinary shares outstanding during the period. Diluted earnings (losses) per share is computed by dividing net income (loss) available to ordinary shareholders by the weighted-average number of ordinary shares outstanding during the period increased to include the number of additional ordinary shares that would have been outstanding if the potentially dilutive securities had been issued. Potentially dilutive securities include outstanding stock options, shares to be purchased under the Company’s employee stock purchase plan, unvested restricted stock and restricted stock units. The dilutive effect of potentially dilutive securities is reflected in diluted earnings (losses) per share by application of the treasury stock method.</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Comprehensive income (loss) includes unrealized gains or losses from available-for-sale securities that are excluded from net income (loss).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Simplifying the Accounting for Income Taxes. The amendments in this ASU simplify the accounting for income taxes by removing certain exceptions to the general principles in Topic 740. The amendments also improve consistent application of and simplify GAAP for other areas of Topic 740 by clarifying and amending existing guidance.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79"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In January 2020, the FASB issued ASU 2020-01 - Investments - Equity securities (Topic 321), Investments - Equity method and joint ventures (Topic 323), and Derivatives and hedging (Topic 815) - Clarifying the interactions between Topic 321, Topic 323, and Topic 815. The amendments in this Update improve the accounting for certain equity securities upon the application or discontinuation of the equity method of accounting and clarify the scope considerations for forward contracts and purchased options on certain securities. The amendments are effective for public entities in fiscal years beginning after December 15, 2020, including interim periods within those fiscal years. Early adoption is permitted. The Company did not early adopt and believes the adoption of this new guidance will not have a material impact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441"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2. Financial Instruments and Fair Value</w:t>
      </w:r>
    </w:p>
    <w:p>
      <w:pPr>
        <w:spacing w:after="0" w:line="121" w:lineRule="exact"/>
        <w:rPr>
          <w:sz w:val="20"/>
          <w:szCs w:val="20"/>
          <w:color w:val="auto"/>
        </w:rPr>
      </w:pPr>
    </w:p>
    <w:p>
      <w:pPr>
        <w:ind w:right="60" w:firstLine="510"/>
        <w:spacing w:after="0" w:line="266" w:lineRule="auto"/>
        <w:rPr>
          <w:sz w:val="20"/>
          <w:szCs w:val="20"/>
          <w:color w:val="auto"/>
        </w:rPr>
      </w:pPr>
      <w:r>
        <w:rPr>
          <w:rFonts w:ascii="Times New Roman" w:cs="Times New Roman" w:eastAsia="Times New Roman" w:hAnsi="Times New Roman"/>
          <w:sz w:val="18"/>
          <w:szCs w:val="18"/>
          <w:color w:val="auto"/>
        </w:rPr>
        <w:t>The Company invests a portion of its cash in debt securities that are denominated in United States dollars. The investment portfolio consists of money market funds, asset-backed securities, commercial paper, U.S. government securities, and debt securities of corporations. All of the investments are classified as available-for-sale securities and reported at fair value in the condensed consolidated balance sheets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5"/>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shd w:val="clear" w:color="auto" w:fill="CFF0FC"/>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96,410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97,640</w:t>
            </w:r>
          </w:p>
        </w:tc>
        <w:tc>
          <w:tcPr>
            <w:tcW w:w="100" w:type="dxa"/>
            <w:vAlign w:val="bottom"/>
            <w:shd w:val="clear" w:color="auto" w:fill="CFF0FC"/>
          </w:tcPr>
          <w:p>
            <w:pPr>
              <w:spacing w:after="0"/>
              <w:rPr>
                <w:sz w:val="19"/>
                <w:szCs w:val="19"/>
                <w:color w:val="auto"/>
              </w:rPr>
            </w:pPr>
          </w:p>
        </w:tc>
      </w:tr>
      <w:tr>
        <w:trPr>
          <w:trHeight w:val="230"/>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19,904</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tcPr>
          <w:p>
            <w:pPr>
              <w:spacing w:after="0"/>
              <w:rPr>
                <w:sz w:val="19"/>
                <w:szCs w:val="19"/>
                <w:color w:val="auto"/>
              </w:rPr>
            </w:pPr>
          </w:p>
        </w:tc>
      </w:tr>
      <w:tr>
        <w:trPr>
          <w:trHeight w:val="22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100" w:type="dxa"/>
            <w:vAlign w:val="bottom"/>
            <w:shd w:val="clear" w:color="auto" w:fill="CFF0FC"/>
          </w:tcPr>
          <w:p>
            <w:pPr>
              <w:spacing w:after="0"/>
              <w:rPr>
                <w:sz w:val="19"/>
                <w:szCs w:val="19"/>
                <w:color w:val="auto"/>
              </w:rPr>
            </w:pPr>
          </w:p>
        </w:tc>
      </w:tr>
      <w:tr>
        <w:trPr>
          <w:trHeight w:val="223"/>
        </w:trPr>
        <w:tc>
          <w:tcPr>
            <w:tcW w:w="4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212,429</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200" w:type="dxa"/>
            <w:vAlign w:val="bottom"/>
          </w:tcPr>
          <w:p>
            <w:pPr>
              <w:spacing w:after="0"/>
              <w:rPr>
                <w:sz w:val="19"/>
                <w:szCs w:val="19"/>
                <w:color w:val="auto"/>
              </w:rPr>
            </w:pPr>
          </w:p>
        </w:tc>
        <w:tc>
          <w:tcPr>
            <w:tcW w:w="7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214,016</w:t>
            </w:r>
          </w:p>
        </w:tc>
        <w:tc>
          <w:tcPr>
            <w:tcW w:w="100" w:type="dxa"/>
            <w:vAlign w:val="bottom"/>
          </w:tcPr>
          <w:p>
            <w:pPr>
              <w:spacing w:after="0"/>
              <w:rPr>
                <w:sz w:val="19"/>
                <w:szCs w:val="19"/>
                <w:color w:val="auto"/>
              </w:rPr>
            </w:pPr>
          </w:p>
        </w:tc>
      </w:tr>
      <w:tr>
        <w:trPr>
          <w:trHeight w:val="20"/>
        </w:trPr>
        <w:tc>
          <w:tcPr>
            <w:tcW w:w="4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4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14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51"/>
        </w:trPr>
        <w:tc>
          <w:tcPr>
            <w:tcW w:w="4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740" w:type="dxa"/>
            <w:vAlign w:val="bottom"/>
            <w:tcBorders>
              <w:top w:val="single" w:sz="8" w:color="auto"/>
            </w:tcBorders>
            <w:gridSpan w:val="3"/>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800" w:type="dxa"/>
            <w:vAlign w:val="bottom"/>
            <w:gridSpan w:val="2"/>
          </w:tcPr>
          <w:p>
            <w:pPr>
              <w:jc w:val="right"/>
              <w:ind w:right="1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5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20"/>
                <w:szCs w:val="20"/>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100" w:type="dxa"/>
            <w:vAlign w:val="bottom"/>
          </w:tcPr>
          <w:p>
            <w:pPr>
              <w:spacing w:after="0"/>
              <w:rPr>
                <w:sz w:val="19"/>
                <w:szCs w:val="19"/>
                <w:color w:val="auto"/>
              </w:rPr>
            </w:pPr>
          </w:p>
        </w:tc>
      </w:tr>
      <w:tr>
        <w:trPr>
          <w:trHeight w:val="230"/>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00" w:type="dxa"/>
            <w:vAlign w:val="bottom"/>
            <w:shd w:val="clear" w:color="auto" w:fill="CFF0FC"/>
          </w:tcPr>
          <w:p>
            <w:pPr>
              <w:spacing w:after="0"/>
              <w:rPr>
                <w:sz w:val="19"/>
                <w:szCs w:val="19"/>
                <w:color w:val="auto"/>
              </w:rPr>
            </w:pPr>
          </w:p>
        </w:tc>
      </w:tr>
      <w:tr>
        <w:trPr>
          <w:trHeight w:val="229"/>
        </w:trPr>
        <w:tc>
          <w:tcPr>
            <w:tcW w:w="45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5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20,524</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100" w:type="dxa"/>
            <w:vAlign w:val="bottom"/>
            <w:tcBorders>
              <w:bottom w:val="single" w:sz="8" w:color="CFF0FC"/>
            </w:tcBorders>
          </w:tcPr>
          <w:p>
            <w:pPr>
              <w:spacing w:after="0"/>
              <w:rPr>
                <w:sz w:val="19"/>
                <w:szCs w:val="19"/>
                <w:color w:val="auto"/>
              </w:rPr>
            </w:pPr>
          </w:p>
        </w:tc>
      </w:tr>
      <w:tr>
        <w:trPr>
          <w:trHeight w:val="223"/>
        </w:trPr>
        <w:tc>
          <w:tcPr>
            <w:tcW w:w="45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5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210,313</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100" w:type="dxa"/>
            <w:vAlign w:val="bottom"/>
            <w:shd w:val="clear" w:color="auto" w:fill="CFF0FC"/>
          </w:tcPr>
          <w:p>
            <w:pPr>
              <w:spacing w:after="0"/>
              <w:rPr>
                <w:sz w:val="19"/>
                <w:szCs w:val="19"/>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July 31, 2020, there were no debt securities with unrealized losses for more than twelve months.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6"/>
        </w:trPr>
        <w:tc>
          <w:tcPr>
            <w:tcW w:w="4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5"/>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Included in cash equivalents</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37,736</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Included in marketable debt securities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190,056</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173,345</w:t>
            </w:r>
          </w:p>
        </w:tc>
        <w:tc>
          <w:tcPr>
            <w:tcW w:w="80" w:type="dxa"/>
            <w:vAlign w:val="bottom"/>
            <w:tcBorders>
              <w:bottom w:val="single" w:sz="8" w:color="CFF0FC"/>
            </w:tcBorders>
          </w:tcPr>
          <w:p>
            <w:pPr>
              <w:spacing w:after="0"/>
              <w:rPr>
                <w:sz w:val="21"/>
                <w:szCs w:val="21"/>
                <w:color w:val="auto"/>
              </w:rPr>
            </w:pPr>
          </w:p>
        </w:tc>
      </w:tr>
      <w:tr>
        <w:trPr>
          <w:trHeight w:val="236"/>
        </w:trPr>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214,016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contractual maturities of the investments at July 31, 2020 and January 31, 2020 were as follows:</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7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4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Due within one year</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139,040</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146,267</w:t>
            </w:r>
          </w:p>
        </w:tc>
        <w:tc>
          <w:tcPr>
            <w:tcW w:w="80" w:type="dxa"/>
            <w:vAlign w:val="bottom"/>
            <w:shd w:val="clear" w:color="auto" w:fill="CFF0FC"/>
          </w:tcPr>
          <w:p>
            <w:pPr>
              <w:spacing w:after="0"/>
              <w:rPr>
                <w:sz w:val="21"/>
                <w:szCs w:val="21"/>
                <w:color w:val="auto"/>
              </w:rPr>
            </w:pPr>
          </w:p>
        </w:tc>
      </w:tr>
      <w:tr>
        <w:trPr>
          <w:trHeight w:val="243"/>
        </w:trPr>
        <w:tc>
          <w:tcPr>
            <w:tcW w:w="44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Due within one to three years</w:t>
            </w:r>
          </w:p>
        </w:tc>
        <w:tc>
          <w:tcPr>
            <w:tcW w:w="42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74,976</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64,814</w:t>
            </w:r>
          </w:p>
        </w:tc>
        <w:tc>
          <w:tcPr>
            <w:tcW w:w="80" w:type="dxa"/>
            <w:vAlign w:val="bottom"/>
            <w:tcBorders>
              <w:bottom w:val="single" w:sz="8" w:color="CFF0FC"/>
            </w:tcBorders>
          </w:tcPr>
          <w:p>
            <w:pPr>
              <w:spacing w:after="0"/>
              <w:rPr>
                <w:sz w:val="21"/>
                <w:szCs w:val="21"/>
                <w:color w:val="auto"/>
              </w:rPr>
            </w:pPr>
          </w:p>
        </w:tc>
      </w:tr>
      <w:tr>
        <w:trPr>
          <w:trHeight w:val="237"/>
        </w:trPr>
        <w:tc>
          <w:tcPr>
            <w:tcW w:w="44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6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214,016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80" w:type="dxa"/>
            <w:vAlign w:val="bottom"/>
            <w:shd w:val="clear" w:color="auto" w:fill="CFF0FC"/>
          </w:tcPr>
          <w:p>
            <w:pPr>
              <w:spacing w:after="0"/>
              <w:rPr>
                <w:sz w:val="20"/>
                <w:szCs w:val="20"/>
                <w:color w:val="auto"/>
              </w:rPr>
            </w:pPr>
          </w:p>
        </w:tc>
      </w:tr>
      <w:tr>
        <w:trPr>
          <w:trHeight w:val="20"/>
        </w:trPr>
        <w:tc>
          <w:tcPr>
            <w:tcW w:w="448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8"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The unrealized losses on the available-for-sale securities were primarily caused by fluctuations in market value and interest rates as a result of the economic environment. Upon adoption of ASU No. 2016-13, Financial Instruments-Credit Losses (Topic 326): Measurement of Credit Losses on Financial Instruments, the Company estimates the expected losses at an individual security level whenever a security’s fair value is below its amortized cost basis using the discounted cash flow method. The credit-related portion of the loss is recognized in other income, net in the condensed consolidated statements of operations but is limited to the difference between the fair value and the amortized cost basis of the security, adjusted for accrued interest. The non-credit-related portion of the loss is recognized in accumulated other comprehensive income in the condensed consolidated balance sheets. The credit-related losses of the Company’s financial instruments were not material for the three and six months ended July 31, 2020, respectively.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0" w:right="359" w:bottom="1440" w:gutter="0" w:footer="0" w:header="0"/>
        </w:sectPr>
      </w:pPr>
    </w:p>
    <w:bookmarkStart w:id="13" w:name="page14"/>
    <w:bookmarkEnd w:id="13"/>
    <w:p>
      <w:pPr>
        <w:jc w:val="both"/>
        <w:ind w:firstLine="510"/>
        <w:spacing w:after="0" w:line="282" w:lineRule="auto"/>
        <w:rPr>
          <w:sz w:val="20"/>
          <w:szCs w:val="20"/>
          <w:color w:val="auto"/>
        </w:rPr>
      </w:pPr>
      <w:r>
        <w:rPr>
          <w:rFonts w:ascii="Times New Roman" w:cs="Times New Roman" w:eastAsia="Times New Roman" w:hAnsi="Times New Roman"/>
          <w:sz w:val="18"/>
          <w:szCs w:val="18"/>
          <w:color w:val="auto"/>
        </w:rPr>
        <w:t>The following fair value hierarchy is applied for disclosure of the inputs used to measure fair value. This hierarchy prioritizes the inputs into three broad levels as follows: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1—Inputs are unadjusted quoted prices in active markets for identical assets or liabilities.</w:t>
      </w:r>
    </w:p>
    <w:p>
      <w:pPr>
        <w:spacing w:after="0" w:line="117" w:lineRule="exact"/>
        <w:rPr>
          <w:sz w:val="20"/>
          <w:szCs w:val="20"/>
          <w:color w:val="auto"/>
        </w:rPr>
      </w:pPr>
    </w:p>
    <w:p>
      <w:pPr>
        <w:jc w:val="both"/>
        <w:ind w:right="40" w:firstLine="510"/>
        <w:spacing w:after="0" w:line="282" w:lineRule="auto"/>
        <w:rPr>
          <w:sz w:val="20"/>
          <w:szCs w:val="20"/>
          <w:color w:val="auto"/>
        </w:rPr>
      </w:pPr>
      <w:r>
        <w:rPr>
          <w:rFonts w:ascii="Times New Roman" w:cs="Times New Roman" w:eastAsia="Times New Roman" w:hAnsi="Times New Roman"/>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54"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Level 3—Unobservable inputs based on the Company’s own assumptions used to measure assets and liabilities at fair value. The inputs require significant management judgment or estimation.</w:t>
      </w:r>
    </w:p>
    <w:p>
      <w:pPr>
        <w:spacing w:after="0" w:line="162" w:lineRule="exact"/>
        <w:rPr>
          <w:sz w:val="20"/>
          <w:szCs w:val="20"/>
          <w:color w:val="auto"/>
        </w:rPr>
      </w:pPr>
    </w:p>
    <w:p>
      <w:pPr>
        <w:jc w:val="both"/>
        <w:ind w:right="20" w:firstLine="510"/>
        <w:spacing w:after="0" w:line="266" w:lineRule="auto"/>
        <w:rPr>
          <w:sz w:val="20"/>
          <w:szCs w:val="20"/>
          <w:color w:val="auto"/>
        </w:rPr>
      </w:pPr>
      <w:r>
        <w:rPr>
          <w:rFonts w:ascii="Times New Roman" w:cs="Times New Roman" w:eastAsia="Times New Roman" w:hAnsi="Times New Roman"/>
          <w:sz w:val="18"/>
          <w:szCs w:val="18"/>
          <w:color w:val="auto"/>
        </w:rPr>
        <w:t>The Company measures the fair value of money market funds using quoted prices in active markets for identical assets and classifies them within Level 1. The fair value of the Company’s investments in other debt securities are obtained based on quoted prices for similar assets in active markets and are classified within Level 2.</w:t>
      </w:r>
    </w:p>
    <w:p>
      <w:pPr>
        <w:spacing w:after="0" w:line="176" w:lineRule="exact"/>
        <w:rPr>
          <w:sz w:val="20"/>
          <w:szCs w:val="20"/>
          <w:color w:val="auto"/>
        </w:rPr>
      </w:pPr>
    </w:p>
    <w:p>
      <w:pPr>
        <w:ind w:right="22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financial instruments measured on a recurring basis as of July 31, 2020 and January 31, 2020, respectively: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FF0FC"/>
            </w:tcBorders>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97,640</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34,447</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214,016</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213,852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9"/>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right"/>
              <w:ind w:right="58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20" w:type="dxa"/>
            <w:vAlign w:val="bottom"/>
            <w:gridSpan w:val="9"/>
          </w:tcPr>
          <w:p>
            <w:pPr>
              <w:jc w:val="center"/>
              <w:ind w:right="42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220" w:type="dxa"/>
            <w:vAlign w:val="bottom"/>
          </w:tcPr>
          <w:p>
            <w:pPr>
              <w:spacing w:after="0"/>
              <w:rPr>
                <w:sz w:val="20"/>
                <w:szCs w:val="20"/>
                <w:color w:val="auto"/>
              </w:rPr>
            </w:pPr>
          </w:p>
        </w:tc>
        <w:tc>
          <w:tcPr>
            <w:tcW w:w="1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Pr>
          <w:p>
            <w:pPr>
              <w:spacing w:after="0"/>
              <w:rPr>
                <w:sz w:val="20"/>
                <w:szCs w:val="20"/>
                <w:color w:val="auto"/>
              </w:rPr>
            </w:pPr>
          </w:p>
        </w:tc>
        <w:tc>
          <w:tcPr>
            <w:tcW w:w="3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63,390</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23,129</w:t>
            </w:r>
          </w:p>
        </w:tc>
        <w:tc>
          <w:tcPr>
            <w:tcW w:w="160" w:type="dxa"/>
            <w:vAlign w:val="bottom"/>
            <w:shd w:val="clear" w:color="auto" w:fill="CFF0FC"/>
          </w:tcPr>
          <w:p>
            <w:pPr>
              <w:spacing w:after="0"/>
              <w:rPr>
                <w:sz w:val="19"/>
                <w:szCs w:val="19"/>
                <w:color w:val="auto"/>
              </w:rPr>
            </w:pP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20,572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240" w:type="dxa"/>
            <w:vAlign w:val="bottom"/>
            <w:tcBorders>
              <w:top w:val="single" w:sz="8" w:color="CFF0FC"/>
              <w:bottom w:val="single" w:sz="8" w:color="CFF0FC"/>
            </w:tcBorders>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cash equivalents and marketable debt securities</w:t>
            </w: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211,081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202,797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82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Inventories at July 31, 2020 and January 31, 2020 consisted of the following:</w:t>
            </w: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January 31, 2020</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gridSpan w:val="6"/>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Work-in-progress</w:t>
            </w:r>
          </w:p>
        </w:tc>
        <w:tc>
          <w:tcPr>
            <w:tcW w:w="30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15,085</w:t>
            </w:r>
          </w:p>
        </w:tc>
        <w:tc>
          <w:tcPr>
            <w:tcW w:w="3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10,133</w:t>
            </w:r>
          </w:p>
        </w:tc>
        <w:tc>
          <w:tcPr>
            <w:tcW w:w="80" w:type="dxa"/>
            <w:vAlign w:val="bottom"/>
            <w:tcBorders>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12,838</w:t>
            </w:r>
          </w:p>
        </w:tc>
        <w:tc>
          <w:tcPr>
            <w:tcW w:w="80" w:type="dxa"/>
            <w:vAlign w:val="bottom"/>
            <w:tcBorders>
              <w:bottom w:val="single" w:sz="8" w:color="CFF0FC"/>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1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23,907</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22,971</w:t>
            </w:r>
          </w:p>
        </w:tc>
        <w:tc>
          <w:tcPr>
            <w:tcW w:w="80" w:type="dxa"/>
            <w:vAlign w:val="bottom"/>
            <w:tcBorders>
              <w:bottom w:val="single" w:sz="8" w:color="CFF0FC"/>
              <w:right w:val="single" w:sz="8" w:color="CFF0FC"/>
            </w:tcBorders>
            <w:shd w:val="clear" w:color="auto" w:fill="CFF0FC"/>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37" w:right="5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4. Property and Equipment, Net</w:t>
      </w:r>
    </w:p>
    <w:p>
      <w:pPr>
        <w:spacing w:after="0" w:line="121" w:lineRule="exact"/>
        <w:rPr>
          <w:sz w:val="20"/>
          <w:szCs w:val="20"/>
          <w:color w:val="auto"/>
        </w:rPr>
      </w:pPr>
    </w:p>
    <w:p>
      <w:pPr>
        <w:ind w:right="600" w:firstLine="510"/>
        <w:spacing w:after="0" w:line="266" w:lineRule="auto"/>
        <w:rPr>
          <w:sz w:val="20"/>
          <w:szCs w:val="20"/>
          <w:color w:val="auto"/>
        </w:rPr>
      </w:pPr>
      <w:r>
        <w:rPr>
          <w:rFonts w:ascii="Times New Roman" w:cs="Times New Roman" w:eastAsia="Times New Roman" w:hAnsi="Times New Roman"/>
          <w:sz w:val="18"/>
          <w:szCs w:val="18"/>
          <w:color w:val="auto"/>
        </w:rPr>
        <w:t>Depreciation expense was approximately $0.6 million and $0.7 million for the three months ended July 31, 2020 and 2019, respectively. Depreciation expense was approximately $1.3 million and $1.4 million for the six months ended July 31, 2020 and 2019, respectively. Property and equipment at July 31, 2020 and January 31, 2020 consisted of the following:</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6"/>
        </w:trPr>
        <w:tc>
          <w:tcPr>
            <w:tcW w:w="4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20" w:type="dxa"/>
            <w:vAlign w:val="bottom"/>
            <w:tcBorders>
              <w:top w:val="single" w:sz="8" w:color="auto"/>
            </w:tcBorders>
            <w:gridSpan w:val="5"/>
          </w:tcPr>
          <w:p>
            <w:pPr>
              <w:jc w:val="right"/>
              <w:ind w:right="93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w:t>
            </w:r>
          </w:p>
        </w:tc>
        <w:tc>
          <w:tcPr>
            <w:tcW w:w="18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10,282</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80" w:type="dxa"/>
            <w:vAlign w:val="bottom"/>
          </w:tcPr>
          <w:p>
            <w:pPr>
              <w:spacing w:after="0"/>
              <w:rPr>
                <w:sz w:val="19"/>
                <w:szCs w:val="19"/>
                <w:color w:val="auto"/>
              </w:rPr>
            </w:pPr>
          </w:p>
        </w:tc>
      </w:tr>
      <w:tr>
        <w:trPr>
          <w:trHeight w:val="23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80" w:type="dxa"/>
            <w:vAlign w:val="bottom"/>
            <w:shd w:val="clear" w:color="auto" w:fill="CFF0FC"/>
          </w:tcPr>
          <w:p>
            <w:pPr>
              <w:spacing w:after="0"/>
              <w:rPr>
                <w:sz w:val="19"/>
                <w:szCs w:val="19"/>
                <w:color w:val="auto"/>
              </w:rPr>
            </w:pPr>
          </w:p>
        </w:tc>
      </w:tr>
      <w:tr>
        <w:trPr>
          <w:trHeight w:val="229"/>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6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FF0FC"/>
          </w:tcPr>
          <w:p>
            <w:pPr>
              <w:spacing w:after="0"/>
              <w:rPr>
                <w:sz w:val="19"/>
                <w:szCs w:val="19"/>
                <w:color w:val="auto"/>
              </w:rPr>
            </w:pPr>
          </w:p>
        </w:tc>
      </w:tr>
      <w:tr>
        <w:trPr>
          <w:trHeight w:val="223"/>
        </w:trPr>
        <w:tc>
          <w:tcPr>
            <w:tcW w:w="4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20,499</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80" w:type="dxa"/>
            <w:vAlign w:val="bottom"/>
          </w:tcPr>
          <w:p>
            <w:pPr>
              <w:spacing w:after="0"/>
              <w:rPr>
                <w:sz w:val="19"/>
                <w:szCs w:val="19"/>
                <w:color w:val="auto"/>
              </w:rPr>
            </w:pPr>
          </w:p>
        </w:tc>
      </w:tr>
      <w:tr>
        <w:trPr>
          <w:trHeight w:val="229"/>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(15,472)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(14,373)</w:t>
            </w:r>
          </w:p>
        </w:tc>
      </w:tr>
      <w:tr>
        <w:trPr>
          <w:trHeight w:val="223"/>
        </w:trPr>
        <w:tc>
          <w:tcPr>
            <w:tcW w:w="4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5,027</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Intangible Assets, Net</w:t>
      </w:r>
    </w:p>
    <w:p>
      <w:pPr>
        <w:spacing w:after="0" w:line="121"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The intangible assets primarily consist of $4.1 million of in-process research and development (“IPR&amp;D”) from the acquisition of VisLab S.r.l., or VisLab, in June 2015 and $12.0 million of noncancelable software licenses, net of amortization expense. Acquired IPR&amp;D is capitalized at fair value and the amortization commences upon completion of the underlying projects. Once research and development efforts are completed, the corresponding amount of IPR&amp;D is reclassified as an amortizable purchased intangible asset and is amortized over its estimated useful life. As of July 31, 2020, there was no IPR&amp;D amortized. The Company will determine the project incorporating the VisLab IPR&amp;D to be completed when a related chip begins mass production to address the level 3 and above advanced driving assistance systems markets.</w:t>
      </w:r>
    </w:p>
    <w:p>
      <w:pPr>
        <w:spacing w:after="0" w:line="187" w:lineRule="exact"/>
        <w:rPr>
          <w:sz w:val="20"/>
          <w:szCs w:val="20"/>
          <w:color w:val="auto"/>
        </w:rPr>
      </w:pPr>
    </w:p>
    <w:p>
      <w:pPr>
        <w:ind w:right="40" w:firstLine="510"/>
        <w:spacing w:after="0" w:line="261" w:lineRule="auto"/>
        <w:rPr>
          <w:sz w:val="20"/>
          <w:szCs w:val="20"/>
          <w:color w:val="auto"/>
        </w:rPr>
      </w:pPr>
      <w:r>
        <w:rPr>
          <w:rFonts w:ascii="Times New Roman" w:cs="Times New Roman" w:eastAsia="Times New Roman" w:hAnsi="Times New Roman"/>
          <w:sz w:val="18"/>
          <w:szCs w:val="18"/>
          <w:color w:val="auto"/>
        </w:rPr>
        <w:t>The Company enters into certain internal-use noncancelable software license agreements with third parties from time-to-time. The licenses have been capitalized as intangible assets, and the corresponding future payments have been recorded as liabilities at net present value. As of July 31, 2020, $5.0 million was recorded in accrued and other current liabilities and $6.5 million was recorded in other long-term liabilities in the condensed consolidated balance sheets.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amounts of intangible assets as of July 31, 2020 and January 31, 2020 were as follows:</w:t>
      </w:r>
    </w:p>
    <w:p>
      <w:pPr>
        <w:spacing w:after="0" w:line="200" w:lineRule="exact"/>
        <w:rPr>
          <w:sz w:val="20"/>
          <w:szCs w:val="20"/>
          <w:color w:val="auto"/>
        </w:rPr>
      </w:pP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July 31, 2020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0" w:type="dxa"/>
            <w:vAlign w:val="bottom"/>
            <w:gridSpan w:val="9"/>
          </w:tcPr>
          <w:p>
            <w:pPr>
              <w:ind w:left="500"/>
              <w:spacing w:after="0"/>
              <w:rPr>
                <w:sz w:val="20"/>
                <w:szCs w:val="20"/>
                <w:color w:val="auto"/>
              </w:rPr>
            </w:pPr>
            <w:r>
              <w:rPr>
                <w:rFonts w:ascii="Times New Roman" w:cs="Times New Roman" w:eastAsia="Times New Roman" w:hAnsi="Times New Roman"/>
                <w:sz w:val="14"/>
                <w:szCs w:val="14"/>
                <w:b w:val="1"/>
                <w:bCs w:val="1"/>
                <w:color w:val="auto"/>
              </w:rPr>
              <w:t>As of January 31, 2020</w:t>
            </w:r>
          </w:p>
        </w:tc>
        <w:tc>
          <w:tcPr>
            <w:tcW w:w="0" w:type="dxa"/>
            <w:vAlign w:val="bottom"/>
          </w:tcPr>
          <w:p>
            <w:pPr>
              <w:spacing w:after="0"/>
              <w:rPr>
                <w:sz w:val="1"/>
                <w:szCs w:val="1"/>
                <w:color w:val="auto"/>
              </w:rPr>
            </w:pPr>
          </w:p>
        </w:tc>
      </w:tr>
      <w:tr>
        <w:trPr>
          <w:trHeight w:val="131"/>
        </w:trPr>
        <w:tc>
          <w:tcPr>
            <w:tcW w:w="3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60" w:type="dxa"/>
            <w:vAlign w:val="bottom"/>
            <w:tcBorders>
              <w:top w:val="single" w:sz="8" w:color="auto"/>
            </w:tcBorders>
            <w:gridSpan w:val="4"/>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center"/>
              <w:ind w:right="3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120" w:type="dxa"/>
            <w:vAlign w:val="bottom"/>
            <w:tcBorders>
              <w:top w:val="single" w:sz="8" w:color="auto"/>
            </w:tcBorders>
            <w:gridSpan w:val="4"/>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37"/>
              <w:spacing w:after="0" w:line="131"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60" w:type="dxa"/>
            <w:vAlign w:val="bottom"/>
            <w:gridSpan w:val="4"/>
            <w:vMerge w:val="continue"/>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2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73"/>
        </w:trPr>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Pr>
          <w:p>
            <w:pPr>
              <w:spacing w:after="0"/>
              <w:rPr>
                <w:sz w:val="15"/>
                <w:szCs w:val="15"/>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4"/>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55"/>
        </w:trPr>
        <w:tc>
          <w:tcPr>
            <w:tcW w:w="3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gridSpan w:val="4"/>
          </w:tcPr>
          <w:p>
            <w:pPr>
              <w:jc w:val="right"/>
              <w:ind w:right="2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In-process research and development</w:t>
            </w: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Internal-use software licenses</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(6,388)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acquired intangible assets</w:t>
            </w:r>
          </w:p>
        </w:tc>
        <w:tc>
          <w:tcPr>
            <w:tcW w:w="4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22,476</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(6,388</w:t>
            </w:r>
          </w:p>
        </w:tc>
        <w:tc>
          <w:tcPr>
            <w:tcW w:w="160" w:type="dxa"/>
            <w:vAlign w:val="bottom"/>
            <w:tcBorders>
              <w:top w:val="single" w:sz="8" w:color="CFF0FC"/>
              <w:bottom w:val="single" w:sz="8" w:color="CFF0FC"/>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(13,477</w:t>
            </w:r>
          </w:p>
        </w:tc>
        <w:tc>
          <w:tcPr>
            <w:tcW w:w="1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17,826</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During the six months ended July 31, 2020, there was approximately $10.1 million of fully amortized software licenses retired. The amortization expense related to software licenses was approximately $1.6 million and $1.3 million for the three months ended July 31, 2020 and 2019, respectively. The amortization expense related to software licenses was approximately $3.1 million and $2.6 million for the six months ended July 31, 2020 and 2019, respectively. The estimated future amortization expense of these software licenses as of July 31, 2020 is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486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gridSpan w:val="3"/>
            <w:vMerge w:val="continue"/>
          </w:tcPr>
          <w:p>
            <w:pPr>
              <w:spacing w:after="0"/>
              <w:rPr>
                <w:sz w:val="12"/>
                <w:szCs w:val="12"/>
                <w:color w:val="auto"/>
              </w:rPr>
            </w:pPr>
          </w:p>
        </w:tc>
        <w:tc>
          <w:tcPr>
            <w:tcW w:w="36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 (6 months remaining)</w:t>
            </w:r>
          </w:p>
        </w:tc>
        <w:tc>
          <w:tcPr>
            <w:tcW w:w="386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3,101</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304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304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7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72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amortization expenses:</w:t>
            </w:r>
          </w:p>
        </w:tc>
        <w:tc>
          <w:tcPr>
            <w:tcW w:w="36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11,988</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60" w:type="dxa"/>
            <w:vAlign w:val="bottom"/>
            <w:vMerge w:val="restart"/>
          </w:tcPr>
          <w:p>
            <w:pPr>
              <w:jc w:val="right"/>
              <w:ind w:right="2710"/>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IPR&amp;D is required to be tested for impairment at least annually in the fourth fiscal quarter or sooner whenever events or changes in circumstances indicate that the assets may be impaired. There were no intangible asset impairments for the three and six months ended July 31, 2020 and 2019, respectively.</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and Other Current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and other current liabilities at July 31, 2020 and January 31, 2020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4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16,874</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product development costs</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Software license liabilities, 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w:t>
            </w:r>
          </w:p>
        </w:tc>
        <w:tc>
          <w:tcPr>
            <w:tcW w:w="80" w:type="dxa"/>
            <w:vAlign w:val="bottom"/>
          </w:tcPr>
          <w:p>
            <w:pPr>
              <w:spacing w:after="0"/>
              <w:rPr>
                <w:sz w:val="19"/>
                <w:szCs w:val="19"/>
                <w:color w:val="auto"/>
              </w:rPr>
            </w:pPr>
          </w:p>
        </w:tc>
      </w:tr>
      <w:tr>
        <w:trPr>
          <w:trHeight w:val="229"/>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8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80" w:type="dxa"/>
            <w:vAlign w:val="bottom"/>
            <w:shd w:val="clear" w:color="auto" w:fill="CFF0FC"/>
          </w:tcPr>
          <w:p>
            <w:pPr>
              <w:spacing w:after="0"/>
              <w:rPr>
                <w:sz w:val="19"/>
                <w:szCs w:val="19"/>
                <w:color w:val="auto"/>
              </w:rPr>
            </w:pP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8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33,156</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34,970</w:t>
            </w:r>
          </w:p>
        </w:tc>
        <w:tc>
          <w:tcPr>
            <w:tcW w:w="80" w:type="dxa"/>
            <w:vAlign w:val="bottom"/>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29" w:lineRule="exact"/>
        <w:rPr>
          <w:sz w:val="20"/>
          <w:szCs w:val="20"/>
          <w:color w:val="auto"/>
        </w:rPr>
      </w:pPr>
    </w:p>
    <w:p>
      <w:pPr>
        <w:ind w:firstLine="468"/>
        <w:spacing w:after="0" w:line="261" w:lineRule="auto"/>
        <w:rPr>
          <w:sz w:val="20"/>
          <w:szCs w:val="20"/>
          <w:color w:val="auto"/>
        </w:rPr>
      </w:pPr>
      <w:r>
        <w:rPr>
          <w:rFonts w:ascii="Times New Roman" w:cs="Times New Roman" w:eastAsia="Times New Roman" w:hAnsi="Times New Roman"/>
          <w:sz w:val="18"/>
          <w:szCs w:val="18"/>
          <w:color w:val="auto"/>
        </w:rPr>
        <w:t>The Company has entered into various operating leases for its worldwide office facilities. The operating lease expense was approximately $0.7 million and $0.7 million for the three months ended July 31, 2020 and 2019, respectively. The operating lease expense was approximately $1.4 million and $1.5 million for the six months ended July 31, 2020 and 2019, respectively. The Company's short-term leases and finance leases were not material as of July 31, 2020 and January 31, 2020, respectively.</w:t>
      </w:r>
    </w:p>
    <w:p>
      <w:pPr>
        <w:spacing w:after="0" w:line="1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leases is as follows:</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20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July 31, 2020</w:t>
            </w:r>
          </w:p>
        </w:tc>
      </w:tr>
      <w:tr>
        <w:trPr>
          <w:trHeight w:val="156"/>
        </w:trPr>
        <w:tc>
          <w:tcPr>
            <w:tcW w:w="5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080" w:type="dxa"/>
            <w:vAlign w:val="bottom"/>
            <w:tcBorders>
              <w:top w:val="single" w:sz="8" w:color="auto"/>
            </w:tcBorders>
            <w:gridSpan w:val="3"/>
          </w:tcPr>
          <w:p>
            <w:pPr>
              <w:jc w:val="right"/>
              <w:ind w:right="1099"/>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operating leases included in operating cash flows</w:t>
            </w:r>
          </w:p>
        </w:tc>
        <w:tc>
          <w:tcPr>
            <w:tcW w:w="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8"/>
                <w:szCs w:val="18"/>
                <w:color w:val="auto"/>
              </w:rPr>
              <w:t>342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FF0FC"/>
          </w:tcPr>
          <w:p>
            <w:pPr>
              <w:spacing w:after="0"/>
              <w:rPr>
                <w:sz w:val="19"/>
                <w:szCs w:val="19"/>
                <w:color w:val="auto"/>
              </w:rPr>
            </w:pPr>
          </w:p>
        </w:tc>
      </w:tr>
      <w:tr>
        <w:trPr>
          <w:trHeight w:val="211"/>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information related to lease liabilities arising from</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obtaining right-of-use assets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0"/>
                <w:szCs w:val="20"/>
                <w:color w:val="auto"/>
              </w:rPr>
            </w:pPr>
          </w:p>
        </w:tc>
      </w:tr>
    </w:tbl>
    <w:p>
      <w:pPr>
        <w:spacing w:after="0" w:line="198" w:lineRule="exact"/>
        <w:rPr>
          <w:sz w:val="20"/>
          <w:szCs w:val="20"/>
          <w:color w:val="auto"/>
        </w:rPr>
      </w:pPr>
    </w:p>
    <w:p>
      <w:pPr>
        <w:ind w:right="56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the weighted average remaining lease term is 4.76 years, and the weighted average discount rate is 4.43 percent. Future minimum lease payments for the lease liabilities are as follows: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8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2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0" w:type="dxa"/>
            <w:vAlign w:val="bottom"/>
          </w:tcPr>
          <w:p>
            <w:pPr>
              <w:spacing w:after="0"/>
              <w:rPr>
                <w:sz w:val="1"/>
                <w:szCs w:val="1"/>
                <w:color w:val="auto"/>
              </w:rPr>
            </w:pPr>
          </w:p>
        </w:tc>
      </w:tr>
      <w:tr>
        <w:trPr>
          <w:trHeight w:val="173"/>
        </w:trPr>
        <w:tc>
          <w:tcPr>
            <w:tcW w:w="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6"/>
              </w:rPr>
              <w:t>Fiscal Year</w:t>
            </w:r>
          </w:p>
        </w:tc>
        <w:tc>
          <w:tcPr>
            <w:tcW w:w="4260" w:type="dxa"/>
            <w:vAlign w:val="bottom"/>
            <w:vMerge w:val="restart"/>
          </w:tcPr>
          <w:p>
            <w:pPr>
              <w:spacing w:after="0"/>
              <w:rPr>
                <w:sz w:val="15"/>
                <w:szCs w:val="15"/>
                <w:color w:val="auto"/>
              </w:rPr>
            </w:pPr>
          </w:p>
        </w:tc>
        <w:tc>
          <w:tcPr>
            <w:tcW w:w="1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32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0" w:type="dxa"/>
            <w:vAlign w:val="bottom"/>
          </w:tcPr>
          <w:p>
            <w:pPr>
              <w:spacing w:after="0"/>
              <w:rPr>
                <w:sz w:val="1"/>
                <w:szCs w:val="1"/>
                <w:color w:val="auto"/>
              </w:rPr>
            </w:pPr>
          </w:p>
        </w:tc>
      </w:tr>
      <w:tr>
        <w:trPr>
          <w:trHeight w:val="147"/>
        </w:trPr>
        <w:tc>
          <w:tcPr>
            <w:tcW w:w="680" w:type="dxa"/>
            <w:vAlign w:val="bottom"/>
            <w:tcBorders>
              <w:bottom w:val="single" w:sz="8" w:color="auto"/>
            </w:tcBorders>
            <w:vMerge w:val="continue"/>
          </w:tcPr>
          <w:p>
            <w:pPr>
              <w:spacing w:after="0"/>
              <w:rPr>
                <w:sz w:val="12"/>
                <w:szCs w:val="12"/>
                <w:color w:val="auto"/>
              </w:rPr>
            </w:pPr>
          </w:p>
        </w:tc>
        <w:tc>
          <w:tcPr>
            <w:tcW w:w="4260" w:type="dxa"/>
            <w:vAlign w:val="bottom"/>
            <w:vMerge w:val="continue"/>
          </w:tcPr>
          <w:p>
            <w:pPr>
              <w:spacing w:after="0"/>
              <w:rPr>
                <w:sz w:val="12"/>
                <w:szCs w:val="12"/>
                <w:color w:val="auto"/>
              </w:rPr>
            </w:pPr>
          </w:p>
        </w:tc>
        <w:tc>
          <w:tcPr>
            <w:tcW w:w="12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20" w:type="dxa"/>
            <w:vAlign w:val="bottom"/>
            <w:tcBorders>
              <w:top w:val="single" w:sz="8" w:color="auto"/>
            </w:tcBorders>
          </w:tcPr>
          <w:p>
            <w:pPr>
              <w:jc w:val="center"/>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2021 (6 months remaining)</w:t>
            </w:r>
          </w:p>
        </w:tc>
        <w:tc>
          <w:tcPr>
            <w:tcW w:w="1720" w:type="dxa"/>
            <w:vAlign w:val="bottom"/>
            <w:gridSpan w:val="2"/>
            <w:shd w:val="clear" w:color="auto" w:fill="CFF0FC"/>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2022</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2023</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2024</w:t>
            </w:r>
          </w:p>
        </w:tc>
        <w:tc>
          <w:tcPr>
            <w:tcW w:w="4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42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Borders>
              <w:bottom w:val="single" w:sz="8" w:color="CFF0FC"/>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Thereafter</w:t>
            </w:r>
          </w:p>
        </w:tc>
        <w:tc>
          <w:tcPr>
            <w:tcW w:w="122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future annual minimum lease payments</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Less: interest</w:t>
            </w:r>
          </w:p>
        </w:tc>
        <w:tc>
          <w:tcPr>
            <w:tcW w:w="1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20" w:type="dxa"/>
            <w:vAlign w:val="bottom"/>
            <w:tcBorders>
              <w:top w:val="single" w:sz="8" w:color="CFF0FC"/>
              <w:bottom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8. Other Long-Term Liabilities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long-term liabilities at July 31, 2020 and January 31, 2020 consisted of the following:</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0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July 31, 2020</w:t>
            </w:r>
          </w:p>
        </w:tc>
        <w:tc>
          <w:tcPr>
            <w:tcW w:w="1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January 31, 2020</w:t>
            </w:r>
          </w:p>
        </w:tc>
      </w:tr>
      <w:tr>
        <w:trPr>
          <w:trHeight w:val="155"/>
        </w:trPr>
        <w:tc>
          <w:tcPr>
            <w:tcW w:w="40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700" w:type="dxa"/>
            <w:vAlign w:val="bottom"/>
            <w:tcBorders>
              <w:top w:val="single" w:sz="8" w:color="auto"/>
            </w:tcBorders>
            <w:gridSpan w:val="4"/>
          </w:tcPr>
          <w:p>
            <w:pPr>
              <w:jc w:val="right"/>
              <w:ind w:right="91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3"/>
                <w:szCs w:val="13"/>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Unrecognized tax benefits, including interest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8,261</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 non-current</w:t>
            </w: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 license liabilities, non-current</w:t>
            </w: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8,159</w:t>
            </w:r>
          </w:p>
        </w:tc>
        <w:tc>
          <w:tcPr>
            <w:tcW w:w="80" w:type="dxa"/>
            <w:vAlign w:val="bottom"/>
            <w:shd w:val="clear" w:color="auto" w:fill="CFF0FC"/>
          </w:tcPr>
          <w:p>
            <w:pPr>
              <w:spacing w:after="0"/>
              <w:rPr>
                <w:sz w:val="19"/>
                <w:szCs w:val="19"/>
                <w:color w:val="auto"/>
              </w:rPr>
            </w:pPr>
          </w:p>
        </w:tc>
      </w:tr>
      <w:tr>
        <w:trPr>
          <w:trHeight w:val="229"/>
        </w:trPr>
        <w:tc>
          <w:tcPr>
            <w:tcW w:w="40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8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8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16,678</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17,776</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3" w:lineRule="exact"/>
        <w:rPr>
          <w:sz w:val="20"/>
          <w:szCs w:val="20"/>
          <w:color w:val="auto"/>
        </w:rPr>
      </w:pPr>
    </w:p>
    <w:p>
      <w:pPr>
        <w:ind w:left="520" w:right="9380" w:hanging="512"/>
        <w:spacing w:after="0" w:line="378" w:lineRule="auto"/>
        <w:tabs>
          <w:tab w:leader="none" w:pos="19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Stock </w:t>
      </w:r>
      <w:r>
        <w:rPr>
          <w:rFonts w:ascii="Times New Roman" w:cs="Times New Roman" w:eastAsia="Times New Roman" w:hAnsi="Times New Roman"/>
          <w:sz w:val="18"/>
          <w:szCs w:val="18"/>
          <w:b w:val="1"/>
          <w:bCs w:val="1"/>
          <w:i w:val="1"/>
          <w:iCs w:val="1"/>
          <w:color w:val="auto"/>
        </w:rPr>
        <w:t>Preference shares</w:t>
      </w:r>
    </w:p>
    <w:p>
      <w:pPr>
        <w:ind w:firstLine="510"/>
        <w:spacing w:after="0" w:line="282" w:lineRule="auto"/>
        <w:rPr>
          <w:sz w:val="20"/>
          <w:szCs w:val="20"/>
          <w:color w:val="auto"/>
        </w:rPr>
      </w:pPr>
      <w:r>
        <w:rPr>
          <w:rFonts w:ascii="Times New Roman" w:cs="Times New Roman" w:eastAsia="Times New Roman" w:hAnsi="Times New Roman"/>
          <w:sz w:val="18"/>
          <w:szCs w:val="18"/>
          <w:color w:val="auto"/>
        </w:rPr>
        <w:t>After completion of the Company’s initial public offering in 2012, a total of 20,000,000 preference shares, with a $0.00045 par value per share, were authorized. There were no preference shares issued and outstanding as of July 31, 2020 and January 31, 2020,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2020 and January 31, 2020, a total of 200,000,000 ordinary shares were authorized.</w:t>
      </w:r>
    </w:p>
    <w:p>
      <w:pPr>
        <w:spacing w:after="0" w:line="225" w:lineRule="exact"/>
        <w:rPr>
          <w:sz w:val="20"/>
          <w:szCs w:val="20"/>
          <w:color w:val="auto"/>
        </w:rPr>
      </w:pPr>
    </w:p>
    <w:p>
      <w:pPr>
        <w:ind w:right="120" w:firstLine="510"/>
        <w:spacing w:after="0" w:line="258" w:lineRule="auto"/>
        <w:rPr>
          <w:sz w:val="20"/>
          <w:szCs w:val="20"/>
          <w:color w:val="auto"/>
        </w:rPr>
      </w:pPr>
      <w:r>
        <w:rPr>
          <w:rFonts w:ascii="Times New Roman" w:cs="Times New Roman" w:eastAsia="Times New Roman" w:hAnsi="Times New Roman"/>
          <w:sz w:val="18"/>
          <w:szCs w:val="18"/>
          <w:color w:val="auto"/>
        </w:rPr>
        <w:t>On February 1, 2020, the Company added 1,521,252 ordinary shares to the ordinary shares reserved for issuance, pursuant to an “evergreen” provision contained in the 2012 Equity Incentive Plan, or EIP. Pursuant to such provision, for each fiscal year, the number of ordinary shares reserved for issuance under the EIP is automatically increased by a number equal to the lesser of (i) 3,500,000 ordinary shares, (ii) four and one half percent (4.5%) of the aggregate number of ordinary shares outstanding on January 31st of the preceding fiscal year, or (iii) a lesser number of shares that may be determined by the Company’s Board of Directors.</w:t>
      </w:r>
    </w:p>
    <w:p>
      <w:pPr>
        <w:spacing w:after="0" w:line="183"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On February 1, 2020, the Company added 422,570 ordinary shares to the ordinary shares reserved for issuance, pursuant to an “evergreen” provision contained in the Amended and Restated 2012 Employee Stock Purchase Plan, or ESPP. Pursuant to such provision, for each fiscal year, the number of ordinary shares reserved for issuance under the ESPP is automatically increased by a number equal to the lesser of (i) 1,500,000 ordinary shares, (ii) one and one quarter percent (1.25%) of the aggregate number of ordinary shares outstanding on such date, or (iii) an amount determined by the Company’s Board of Directors or a duly authorized committee of the Board of Directors.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2020 and January 31, 2020, the following ordinary shares were reserved for future issuance under the EIP and ESPP:</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40" w:type="dxa"/>
            <w:vAlign w:val="bottom"/>
            <w:tcBorders>
              <w:bottom w:val="single" w:sz="8" w:color="auto"/>
            </w:tcBorders>
            <w:gridSpan w:val="3"/>
          </w:tcPr>
          <w:p>
            <w:pPr>
              <w:ind w:left="12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55"/>
        </w:trPr>
        <w:tc>
          <w:tcPr>
            <w:tcW w:w="17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40" w:type="dxa"/>
            <w:vAlign w:val="bottom"/>
            <w:gridSpan w:val="3"/>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July 31, 2020</w:t>
            </w:r>
          </w:p>
        </w:tc>
        <w:tc>
          <w:tcPr>
            <w:tcW w:w="1240" w:type="dxa"/>
            <w:vAlign w:val="bottom"/>
          </w:tcPr>
          <w:p>
            <w:pPr>
              <w:jc w:val="right"/>
              <w:ind w:right="56"/>
              <w:spacing w:after="0" w:line="155" w:lineRule="exact"/>
              <w:rPr>
                <w:sz w:val="20"/>
                <w:szCs w:val="20"/>
                <w:color w:val="auto"/>
              </w:rPr>
            </w:pPr>
            <w:r>
              <w:rPr>
                <w:rFonts w:ascii="Times New Roman" w:cs="Times New Roman" w:eastAsia="Times New Roman" w:hAnsi="Times New Roman"/>
                <w:sz w:val="14"/>
                <w:szCs w:val="14"/>
                <w:b w:val="1"/>
                <w:bCs w:val="1"/>
                <w:color w:val="auto"/>
              </w:rPr>
              <w:t>January 31, 2020</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05"/>
        </w:trPr>
        <w:tc>
          <w:tcPr>
            <w:tcW w:w="1700" w:type="dxa"/>
            <w:vAlign w:val="bottom"/>
          </w:tcPr>
          <w:p>
            <w:pPr>
              <w:spacing w:after="0"/>
              <w:rPr>
                <w:sz w:val="17"/>
                <w:szCs w:val="17"/>
                <w:color w:val="auto"/>
              </w:rPr>
            </w:pPr>
          </w:p>
        </w:tc>
        <w:tc>
          <w:tcPr>
            <w:tcW w:w="3640" w:type="dxa"/>
            <w:vAlign w:val="bottom"/>
            <w:tcBorders>
              <w:top w:val="single" w:sz="8" w:color="CFF0FC"/>
            </w:tcBorders>
            <w:shd w:val="clear" w:color="auto" w:fill="CFF0FC"/>
          </w:tcPr>
          <w:p>
            <w:pPr>
              <w:spacing w:after="0" w:line="205" w:lineRule="exact"/>
              <w:rPr>
                <w:sz w:val="20"/>
                <w:szCs w:val="20"/>
                <w:color w:val="auto"/>
              </w:rPr>
            </w:pPr>
            <w:r>
              <w:rPr>
                <w:rFonts w:ascii="Times New Roman" w:cs="Times New Roman" w:eastAsia="Times New Roman" w:hAnsi="Times New Roman"/>
                <w:sz w:val="18"/>
                <w:szCs w:val="18"/>
                <w:color w:val="auto"/>
              </w:rPr>
              <w:t>Shares reserved for options, restricted stock and</w:t>
            </w:r>
          </w:p>
        </w:tc>
        <w:tc>
          <w:tcPr>
            <w:tcW w:w="1260" w:type="dxa"/>
            <w:vAlign w:val="bottom"/>
            <w:tcBorders>
              <w:top w:val="single" w:sz="8" w:color="CFF0FC"/>
            </w:tcBorders>
            <w:shd w:val="clear" w:color="auto" w:fill="CFF0FC"/>
          </w:tcPr>
          <w:p>
            <w:pPr>
              <w:spacing w:after="0"/>
              <w:rPr>
                <w:sz w:val="17"/>
                <w:szCs w:val="17"/>
                <w:color w:val="auto"/>
              </w:rPr>
            </w:pPr>
          </w:p>
        </w:tc>
        <w:tc>
          <w:tcPr>
            <w:tcW w:w="14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3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restricted stock units under EIP</w:t>
            </w:r>
          </w:p>
        </w:tc>
        <w:tc>
          <w:tcPr>
            <w:tcW w:w="27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6,818,978</w:t>
            </w: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6,045,108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ESPP</w:t>
            </w:r>
          </w:p>
        </w:tc>
        <w:tc>
          <w:tcPr>
            <w:tcW w:w="27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2,398,510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2,059,504</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43"/>
        </w:trPr>
        <w:tc>
          <w:tcPr>
            <w:tcW w:w="1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7" w:name="page18"/>
    <w:bookmarkEnd w:id="17"/>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repurchased</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May 29, 2019, the Company’s Board of Directors authorized a program to repurchase up to $50.0 million of the Company’s ordinary shares through June 30, 2020. On March 16, 2020, the Company repurchased a total of 25,719 shares for approximately $1.0 million in cash. On May 29, 2020, the Board approved an extension of this program for an additional twelve months ending June 30, 2021. Since the inception of the Company’s repurchase programs in June 2016, a total of $275.0 million has been authorized, and a total of 4,011,595 shares have been repurchased for approximately $175.8 million in cash. Repurchases may be made from time-to-time through open market purchases, 10b5-1 plans or privately negotiated transactions subject to market conditions, applicable legal requirements and other relevant factors. The repurchase program does not obligate the Company to acquire any particular amount of ordinary shares, and it may be suspended at any time at the Company’s discretion. The repurchase program is funded using the Company’s working capital and any repurchased shares are recorded as authorized but unissued shares. As of July 31, 2020, there was approximately $49.0 million available for repurchases under the repurchase program through June 30, 2021.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classification of stock-based compensation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80" w:type="dxa"/>
            <w:vAlign w:val="bottom"/>
            <w:gridSpan w:val="6"/>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4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31,</w:t>
            </w: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400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gridSpan w:val="4"/>
          </w:tcPr>
          <w:p>
            <w:pPr>
              <w:jc w:val="right"/>
              <w:ind w:right="394"/>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Pr>
          <w:p>
            <w:pPr>
              <w:spacing w:after="0"/>
              <w:rPr>
                <w:sz w:val="21"/>
                <w:szCs w:val="21"/>
                <w:color w:val="auto"/>
              </w:rPr>
            </w:pPr>
          </w:p>
        </w:tc>
        <w:tc>
          <w:tcPr>
            <w:tcW w:w="180" w:type="dxa"/>
            <w:vAlign w:val="bottom"/>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10,501</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19,906</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0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8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5,379</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16,394</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16,200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32,430</w:t>
            </w:r>
          </w:p>
        </w:tc>
        <w:tc>
          <w:tcPr>
            <w:tcW w:w="16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32,660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July 31, 2020, approximately $0.1 million and $0.9 million of stock-based compensation expense was accrued in the accrued and other current liabilities in the condensed consolidated balance sheets, respectively. As of July 31, 2020, total unrecognized compensation cost related to unvested stock options was $3.4 million and is expected to be recognized over a weighted-average period of 2.40 years. Total unrecognized compensation cost related to unvested restricted stock units was $106.7 million and is expected to be recognized over a weighted-average period of 2.24 years.</w:t>
      </w:r>
    </w:p>
    <w:p>
      <w:pPr>
        <w:spacing w:after="0" w:line="183" w:lineRule="exact"/>
        <w:rPr>
          <w:sz w:val="20"/>
          <w:szCs w:val="20"/>
          <w:color w:val="auto"/>
        </w:rPr>
      </w:pPr>
    </w:p>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weighted-average assumptions used to estimate the fair value of stock options and employee stock purchase plan awards for the periods indicated:</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3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24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5"/>
        </w:trPr>
        <w:tc>
          <w:tcPr>
            <w:tcW w:w="44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CFF0FC"/>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0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r>
      <w:tr>
        <w:trPr>
          <w:trHeight w:val="22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8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4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0.52%</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1.95%</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0.59%</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r>
      <w:tr>
        <w:trPr>
          <w:trHeight w:val="24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3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21"/>
                <w:szCs w:val="2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purchase plan awards:</w:t>
            </w: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30"/>
        </w:trPr>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Volatility</w:t>
            </w: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4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0.29%</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2.52%</w:t>
            </w:r>
          </w:p>
        </w:tc>
      </w:tr>
      <w:tr>
        <w:trPr>
          <w:trHeight w:val="229"/>
        </w:trPr>
        <w:tc>
          <w:tcPr>
            <w:tcW w:w="4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Expected term (years)</w:t>
            </w:r>
          </w:p>
        </w:tc>
        <w:tc>
          <w:tcPr>
            <w:tcW w:w="11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CFF0FC"/>
          </w:tcPr>
          <w:p>
            <w:pPr>
              <w:spacing w:after="0"/>
              <w:rPr>
                <w:sz w:val="19"/>
                <w:szCs w:val="19"/>
                <w:color w:val="auto"/>
              </w:rPr>
            </w:pPr>
          </w:p>
        </w:tc>
      </w:tr>
      <w:tr>
        <w:trPr>
          <w:trHeight w:val="243"/>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 yield</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stock option activities for the period indicated:</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Option Outstanding</w:t>
            </w:r>
          </w:p>
        </w:tc>
        <w:tc>
          <w:tcPr>
            <w:tcW w:w="10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r>
      <w:tr>
        <w:trPr>
          <w:trHeight w:val="184"/>
        </w:trPr>
        <w:tc>
          <w:tcPr>
            <w:tcW w:w="4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4"/>
        </w:trPr>
        <w:tc>
          <w:tcPr>
            <w:tcW w:w="4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Intrinsic</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4"/>
                <w:szCs w:val="14"/>
                <w:color w:val="auto"/>
              </w:rPr>
            </w:pPr>
          </w:p>
        </w:tc>
        <w:tc>
          <w:tcPr>
            <w:tcW w:w="920" w:type="dxa"/>
            <w:vAlign w:val="bottom"/>
          </w:tcPr>
          <w:p>
            <w:pPr>
              <w:jc w:val="center"/>
              <w:ind w:right="145"/>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20" w:type="dxa"/>
            <w:vAlign w:val="bottom"/>
          </w:tcPr>
          <w:p>
            <w:pPr>
              <w:spacing w:after="0"/>
              <w:rPr>
                <w:sz w:val="14"/>
                <w:szCs w:val="14"/>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90"/>
        </w:trPr>
        <w:tc>
          <w:tcPr>
            <w:tcW w:w="4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6"/>
                <w:szCs w:val="16"/>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rPr>
              <w:t>Grant-date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20" w:type="dxa"/>
            <w:vAlign w:val="bottom"/>
          </w:tcPr>
          <w:p>
            <w:pPr>
              <w:spacing w:after="0"/>
              <w:rPr>
                <w:sz w:val="16"/>
                <w:szCs w:val="16"/>
                <w:color w:val="auto"/>
              </w:rPr>
            </w:pPr>
          </w:p>
        </w:tc>
        <w:tc>
          <w:tcPr>
            <w:tcW w:w="94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226"/>
        </w:trPr>
        <w:tc>
          <w:tcPr>
            <w:tcW w:w="462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 w:type="dxa"/>
            <w:vAlign w:val="bottom"/>
          </w:tcPr>
          <w:p>
            <w:pPr>
              <w:spacing w:after="0"/>
              <w:rPr>
                <w:sz w:val="19"/>
                <w:szCs w:val="19"/>
                <w:color w:val="auto"/>
              </w:rPr>
            </w:pPr>
          </w:p>
        </w:tc>
        <w:tc>
          <w:tcPr>
            <w:tcW w:w="920" w:type="dxa"/>
            <w:vAlign w:val="bottom"/>
          </w:tcPr>
          <w:p>
            <w:pPr>
              <w:jc w:val="center"/>
              <w:ind w:right="165"/>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Pr>
          <w:p>
            <w:pPr>
              <w:spacing w:after="0"/>
              <w:rPr>
                <w:sz w:val="19"/>
                <w:szCs w:val="19"/>
                <w:color w:val="auto"/>
              </w:rPr>
            </w:pPr>
          </w:p>
        </w:tc>
        <w:tc>
          <w:tcPr>
            <w:tcW w:w="11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06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3"/>
        </w:trPr>
        <w:tc>
          <w:tcPr>
            <w:tcW w:w="46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2020</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1,124,646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r>
      <w:tr>
        <w:trPr>
          <w:trHeight w:val="229"/>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53.54</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45"/>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(99,911)</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4,293</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30"/>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(7,115)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46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Expired</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(13,853)</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July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1,027,367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ind w:right="44"/>
              <w:spacing w:after="0"/>
              <w:rPr>
                <w:sz w:val="20"/>
                <w:szCs w:val="20"/>
                <w:color w:val="auto"/>
              </w:rPr>
            </w:pPr>
            <w:r>
              <w:rPr>
                <w:rFonts w:ascii="Times New Roman" w:cs="Times New Roman" w:eastAsia="Times New Roman" w:hAnsi="Times New Roman"/>
                <w:sz w:val="18"/>
                <w:szCs w:val="18"/>
                <w:color w:val="auto"/>
              </w:rPr>
              <w:t>4.17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15,936</w:t>
            </w:r>
          </w:p>
        </w:tc>
      </w:tr>
      <w:tr>
        <w:trPr>
          <w:trHeight w:val="229"/>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Exercisable at July 31, 2020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885,276</w:t>
            </w:r>
          </w:p>
        </w:tc>
        <w:tc>
          <w:tcPr>
            <w:tcW w:w="14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31.99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15,670</w:t>
            </w:r>
          </w:p>
        </w:tc>
      </w:tr>
    </w:tbl>
    <w:p>
      <w:pPr>
        <w:spacing w:after="0" w:line="198" w:lineRule="exact"/>
        <w:rPr>
          <w:sz w:val="20"/>
          <w:szCs w:val="20"/>
          <w:color w:val="auto"/>
        </w:rPr>
      </w:pPr>
    </w:p>
    <w:p>
      <w:pPr>
        <w:ind w:right="180" w:firstLine="510"/>
        <w:spacing w:after="0" w:line="261" w:lineRule="auto"/>
        <w:rPr>
          <w:sz w:val="20"/>
          <w:szCs w:val="20"/>
          <w:color w:val="auto"/>
        </w:rPr>
      </w:pPr>
      <w:r>
        <w:rPr>
          <w:rFonts w:ascii="Times New Roman" w:cs="Times New Roman" w:eastAsia="Times New Roman" w:hAnsi="Times New Roman"/>
          <w:sz w:val="18"/>
          <w:szCs w:val="18"/>
          <w:color w:val="auto"/>
        </w:rPr>
        <w:t>The intrinsic value of options outstanding and exercisable is calculated based on the difference between the fair market value of the Company’s ordinary shares on the reporting date and the exercise price. The closing price of the Company’s ordinary shares on July 31, 2020 was $45.28, as reported by The NASDAQ Global Market. The intrinsic value of exercised options is calculated based on the difference between the fair market value of the Company’s ordinary shares on the exercise date and the exercise price.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restricted stock units activities for the period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Grant-Date</w:t>
            </w:r>
          </w:p>
        </w:tc>
      </w:tr>
      <w:tr>
        <w:trPr>
          <w:trHeight w:val="173"/>
        </w:trPr>
        <w:tc>
          <w:tcPr>
            <w:tcW w:w="5400" w:type="dxa"/>
            <w:vAlign w:val="bottom"/>
          </w:tcPr>
          <w:p>
            <w:pPr>
              <w:spacing w:after="0"/>
              <w:rPr>
                <w:sz w:val="15"/>
                <w:szCs w:val="15"/>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January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2,617,266</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Granted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536,894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c>
          <w:tcPr>
            <w:tcW w:w="80" w:type="dxa"/>
            <w:vAlign w:val="bottom"/>
          </w:tcPr>
          <w:p>
            <w:pPr>
              <w:spacing w:after="0"/>
              <w:rPr>
                <w:sz w:val="19"/>
                <w:szCs w:val="19"/>
                <w:color w:val="auto"/>
              </w:rPr>
            </w:pPr>
          </w:p>
        </w:tc>
      </w:tr>
      <w:tr>
        <w:trPr>
          <w:trHeight w:val="229"/>
        </w:trPr>
        <w:tc>
          <w:tcPr>
            <w:tcW w:w="54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Vested</w:t>
            </w:r>
          </w:p>
        </w:tc>
        <w:tc>
          <w:tcPr>
            <w:tcW w:w="12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(647,471)</w:t>
            </w: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80" w:type="dxa"/>
            <w:vAlign w:val="bottom"/>
            <w:shd w:val="clear" w:color="auto" w:fill="CFF0FC"/>
          </w:tcPr>
          <w:p>
            <w:pPr>
              <w:spacing w:after="0"/>
              <w:rPr>
                <w:sz w:val="19"/>
                <w:szCs w:val="19"/>
                <w:color w:val="auto"/>
              </w:rPr>
            </w:pPr>
          </w:p>
        </w:tc>
      </w:tr>
      <w:tr>
        <w:trPr>
          <w:trHeight w:val="230"/>
        </w:trPr>
        <w:tc>
          <w:tcPr>
            <w:tcW w:w="5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Forfeited</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(59,726)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80" w:type="dxa"/>
            <w:vAlign w:val="bottom"/>
          </w:tcPr>
          <w:p>
            <w:pPr>
              <w:spacing w:after="0"/>
              <w:rPr>
                <w:sz w:val="19"/>
                <w:szCs w:val="19"/>
                <w:color w:val="auto"/>
              </w:rPr>
            </w:pP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July 31, 2020</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2,446,963</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2020, the aggregate intrinsic value of unvested restricted stock units was $110.8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Loss Per Ordinary Share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per ordinary share for the periods indicated:</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120" w:type="dxa"/>
            <w:vAlign w:val="bottom"/>
            <w:gridSpan w:val="11"/>
          </w:tcPr>
          <w:p>
            <w:pPr>
              <w:jc w:val="right"/>
              <w:ind w:right="593"/>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(10,191)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502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Weighted-average ordinary shares - basic</w:t>
            </w:r>
          </w:p>
        </w:tc>
        <w:tc>
          <w:tcPr>
            <w:tcW w:w="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34,480,307</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32,860,974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34,280,318</w:t>
            </w: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32,676,509</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34,480,307</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32,860,974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34,280,318</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32,676,509</w:t>
            </w: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1700"/>
              <w:spacing w:after="0"/>
              <w:rPr>
                <w:sz w:val="20"/>
                <w:szCs w:val="20"/>
                <w:color w:val="auto"/>
              </w:rPr>
            </w:pPr>
            <w:r>
              <w:rPr>
                <w:rFonts w:ascii="Times New Roman" w:cs="Times New Roman" w:eastAsia="Times New Roman" w:hAnsi="Times New Roman"/>
                <w:sz w:val="18"/>
                <w:szCs w:val="18"/>
                <w:color w:val="auto"/>
              </w:rPr>
              <w:t>Net loss per ordinary share:</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700" w:type="dxa"/>
            <w:vAlign w:val="bottom"/>
          </w:tcPr>
          <w:p>
            <w:pPr>
              <w:spacing w:after="0"/>
              <w:rPr>
                <w:sz w:val="19"/>
                <w:szCs w:val="19"/>
                <w:color w:val="auto"/>
              </w:rPr>
            </w:pPr>
          </w:p>
        </w:tc>
        <w:tc>
          <w:tcPr>
            <w:tcW w:w="3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(0.84)</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12" w:right="339" w:bottom="1440" w:gutter="0" w:footer="0" w:header="0"/>
        </w:sectPr>
      </w:pPr>
    </w:p>
    <w:bookmarkStart w:id="19" w:name="page20"/>
    <w:bookmarkEnd w:id="19"/>
    <w:p>
      <w:pPr>
        <w:ind w:right="100" w:firstLine="510"/>
        <w:spacing w:after="0" w:line="282" w:lineRule="auto"/>
        <w:rPr>
          <w:sz w:val="20"/>
          <w:szCs w:val="20"/>
          <w:color w:val="auto"/>
        </w:rPr>
      </w:pPr>
      <w:r>
        <w:rPr>
          <w:rFonts w:ascii="Times New Roman" w:cs="Times New Roman" w:eastAsia="Times New Roman" w:hAnsi="Times New Roman"/>
          <w:sz w:val="18"/>
          <w:szCs w:val="18"/>
          <w:color w:val="auto"/>
        </w:rPr>
        <w:t>The following weighted-average potentially dilutive securities were excluded from the computation of diluted loss per ordinary share as their effect would have been antidilutive:</w:t>
      </w:r>
    </w:p>
    <w:p>
      <w:pPr>
        <w:spacing w:after="0" w:line="23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20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20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5"/>
        </w:trPr>
        <w:tc>
          <w:tcPr>
            <w:tcW w:w="380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to purchase ordinary shares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730,635</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968,274</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751,202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985,667</w:t>
            </w:r>
          </w:p>
        </w:tc>
        <w:tc>
          <w:tcPr>
            <w:tcW w:w="80" w:type="dxa"/>
            <w:vAlign w:val="bottom"/>
            <w:shd w:val="clear" w:color="auto" w:fill="CFF0FC"/>
          </w:tcPr>
          <w:p>
            <w:pPr>
              <w:spacing w:after="0"/>
              <w:rPr>
                <w:sz w:val="19"/>
                <w:szCs w:val="19"/>
                <w:color w:val="auto"/>
              </w:rPr>
            </w:pPr>
          </w:p>
        </w:tc>
      </w:tr>
      <w:tr>
        <w:trPr>
          <w:trHeight w:val="243"/>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and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1,274,907</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984,234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1,358,184</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955,195</w:t>
            </w:r>
          </w:p>
        </w:tc>
        <w:tc>
          <w:tcPr>
            <w:tcW w:w="80" w:type="dxa"/>
            <w:vAlign w:val="bottom"/>
          </w:tcPr>
          <w:p>
            <w:pPr>
              <w:spacing w:after="0"/>
              <w:rPr>
                <w:sz w:val="21"/>
                <w:szCs w:val="2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25,245</w:t>
            </w:r>
          </w:p>
        </w:tc>
        <w:tc>
          <w:tcPr>
            <w:tcW w:w="14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28,169</w:t>
            </w:r>
          </w:p>
        </w:tc>
        <w:tc>
          <w:tcPr>
            <w:tcW w:w="160" w:type="dxa"/>
            <w:vAlign w:val="bottom"/>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9,971</w:t>
            </w:r>
          </w:p>
        </w:tc>
        <w:tc>
          <w:tcPr>
            <w:tcW w:w="80" w:type="dxa"/>
            <w:vAlign w:val="bottom"/>
            <w:shd w:val="clear" w:color="auto" w:fill="CFF0FC"/>
          </w:tcPr>
          <w:p>
            <w:pPr>
              <w:spacing w:after="0"/>
              <w:rPr>
                <w:sz w:val="19"/>
                <w:szCs w:val="19"/>
                <w:color w:val="auto"/>
              </w:rPr>
            </w:pPr>
          </w:p>
        </w:tc>
      </w:tr>
      <w:tr>
        <w:trPr>
          <w:trHeight w:val="236"/>
        </w:trPr>
        <w:tc>
          <w:tcPr>
            <w:tcW w:w="380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2,030,787</w:t>
            </w:r>
          </w:p>
        </w:tc>
        <w:tc>
          <w:tcPr>
            <w:tcW w:w="1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1,954,980</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2,137,555</w:t>
            </w: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1,950,833</w:t>
            </w:r>
          </w:p>
        </w:tc>
        <w:tc>
          <w:tcPr>
            <w:tcW w:w="80" w:type="dxa"/>
            <w:vAlign w:val="bottom"/>
          </w:tcPr>
          <w:p>
            <w:pPr>
              <w:spacing w:after="0"/>
              <w:rPr>
                <w:sz w:val="20"/>
                <w:szCs w:val="20"/>
                <w:color w:val="auto"/>
              </w:rPr>
            </w:pPr>
          </w:p>
        </w:tc>
      </w:tr>
      <w:tr>
        <w:trPr>
          <w:trHeight w:val="20"/>
        </w:trPr>
        <w:tc>
          <w:tcPr>
            <w:tcW w:w="3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details of income taxes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19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9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7"/>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3"/>
          </w:tcPr>
          <w:p>
            <w:pPr>
              <w:jc w:val="right"/>
              <w:ind w:right="517"/>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  (14,009)</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(8,213)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(28,346)</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(24,258)</w:t>
            </w:r>
          </w:p>
        </w:tc>
        <w:tc>
          <w:tcPr>
            <w:tcW w:w="0" w:type="dxa"/>
            <w:vAlign w:val="bottom"/>
          </w:tcPr>
          <w:p>
            <w:pPr>
              <w:spacing w:after="0"/>
              <w:rPr>
                <w:sz w:val="1"/>
                <w:szCs w:val="1"/>
                <w:color w:val="auto"/>
              </w:rPr>
            </w:pPr>
          </w:p>
        </w:tc>
      </w:tr>
      <w:tr>
        <w:trPr>
          <w:trHeight w:val="243"/>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8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tcPr>
          <w:p>
            <w:pPr>
              <w:spacing w:after="0"/>
              <w:rPr>
                <w:sz w:val="21"/>
                <w:szCs w:val="21"/>
                <w:color w:val="auto"/>
              </w:rPr>
            </w:pPr>
          </w:p>
        </w:tc>
        <w:tc>
          <w:tcPr>
            <w:tcW w:w="96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1,873</w:t>
            </w:r>
          </w:p>
        </w:tc>
        <w:tc>
          <w:tcPr>
            <w:tcW w:w="2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9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(5.3)%</w:t>
            </w: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The income tax expense decreased for the three and six months ended July 31, 2020, as compared to the same periods in the prior fiscal year, primarily due to a decrease in the proportion of profits generated in higher tax jurisdictions as well as an increase in the U.S. federal research tax credit, partially offset by an increase in non-deductible stock-based compensation.</w:t>
      </w:r>
    </w:p>
    <w:p>
      <w:pPr>
        <w:spacing w:after="0" w:line="176"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 xml:space="preserve">On March 27, 2020, the Coronavirus Aid, Relief, and Economic Security Act (“CARES Act”), P.L. 116-136, was passed into law, amending portions of certain relevant US tax laws. The CARES Act includes a number of federal income tax law changes, including, but not limited to: 1) permitting net operating loss carrybacks to offset 100% of taxable income for taxable years beginning before 2021, 2) accelerating alternative minimum tax credit refunds, 3) temporarily increasing the allowable business interest deduction from 30% to 50% of adjusted taxable income, and 4) providing a technical correction for depreciation related to qualified improvement property. The CARES Act also provides for an Employee Retention Credit, a fully refundable payroll tax credit for certain eligible employers, and the ability for all eligible employers to defer payment of the employer share of payroll taxes owed on wages paid for the period ending December 31, 2020. </w:t>
      </w:r>
      <w:r>
        <w:rPr>
          <w:rFonts w:ascii="Times New Roman" w:cs="Times New Roman" w:eastAsia="Times New Roman" w:hAnsi="Times New Roman"/>
          <w:sz w:val="18"/>
          <w:szCs w:val="18"/>
          <w:color w:val="212529"/>
        </w:rPr>
        <w:t>The Company has preliminarily evaluated the impact of the CARES Act and does not expect it 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have a material impact on the Company’s condensed consolidated financial statements.</w:t>
      </w:r>
    </w:p>
    <w:p>
      <w:pPr>
        <w:spacing w:after="0" w:line="192" w:lineRule="exact"/>
        <w:rPr>
          <w:sz w:val="20"/>
          <w:szCs w:val="20"/>
          <w:color w:val="auto"/>
        </w:rPr>
      </w:pPr>
    </w:p>
    <w:p>
      <w:pPr>
        <w:ind w:right="80" w:firstLine="510"/>
        <w:spacing w:after="0" w:line="258" w:lineRule="auto"/>
        <w:rPr>
          <w:sz w:val="20"/>
          <w:szCs w:val="20"/>
          <w:color w:val="auto"/>
        </w:rPr>
      </w:pPr>
      <w:r>
        <w:rPr>
          <w:rFonts w:ascii="Times New Roman" w:cs="Times New Roman" w:eastAsia="Times New Roman" w:hAnsi="Times New Roman"/>
          <w:sz w:val="18"/>
          <w:szCs w:val="18"/>
          <w:color w:val="auto"/>
        </w:rPr>
        <w:t>The Company files federal and state income tax returns in the United States and in various foreign jurisdictions. The Internal Revenue Service is currently examining the Company’s U.S. federal income tax return for the fiscal year ended January 31, 2017. The tax years 2013 to 2019 remain open to examination by U.S. federal tax authorities. The tax years 2009 to 2019 remain open to examination by U.S. state tax authorities. The tax years 2014 to 2019 remain open to examination by foreign tax authorities. Fiscal years outside of the normal statute of limitations remain open to audit by tax authorities due to tax attributes generated in those earlier years, which have been carried forward and may be audited in subsequent years when utilized.</w:t>
      </w:r>
    </w:p>
    <w:p>
      <w:pPr>
        <w:spacing w:after="0" w:line="183"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regularly assesses the likelihood of adverse outcomes resulting from potential tax examinations to determine the adequacy of its provision for income taxes. These assessments can require considerable estimates and judgments. As of July 31, 2020, the gross amount of unrecognized tax benefits was approximately $43.1 million. If the estimates of income tax liabilities prove to be less than the ultimate assessment, then a further charge to expense could be required. If events occur, and the payment of these amounts ultimately proves to be unnecessary, the reversal of the liabilities could result in tax benefits being recognized in the period in which the Company determines the liabilities are no longer necessary. The Company does not anticipate significant changes to its uncertain tax positions during the next twelve months.</w:t>
      </w:r>
    </w:p>
    <w:p>
      <w:pPr>
        <w:spacing w:after="0" w:line="185"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color w:val="auto"/>
        </w:rPr>
        <w:t xml:space="preserve">On July 27, 2015, the United States Tax Court issued a decision (“Tax Court Decision”) in </w:t>
      </w:r>
      <w:r>
        <w:rPr>
          <w:rFonts w:ascii="Times New Roman" w:cs="Times New Roman" w:eastAsia="Times New Roman" w:hAnsi="Times New Roman"/>
          <w:sz w:val="18"/>
          <w:szCs w:val="18"/>
          <w:i w:val="1"/>
          <w:iCs w:val="1"/>
          <w:color w:val="auto"/>
        </w:rPr>
        <w:t>Altera Corp. v. Commissioner</w:t>
      </w:r>
      <w:r>
        <w:rPr>
          <w:rFonts w:ascii="Times New Roman" w:cs="Times New Roman" w:eastAsia="Times New Roman" w:hAnsi="Times New Roman"/>
          <w:sz w:val="18"/>
          <w:szCs w:val="18"/>
          <w:color w:val="auto"/>
        </w:rPr>
        <w:t>, which concluded that related parties in a cost sharing arrangement are not required to share expenses related to share-based compensation. The Tax Court Decision was appealed by the Commissioner to the Ninth Circuit Court of Appeals (“Ninth Circuit”). On June 7, 2019, the Ninth Circuit issued an opinion that reversed the Tax Court Decision. On July 22, 2019, the taxpayer requested a rehearing before the full Ninth Circuit and the request was denied on November 12, 2019. On February 10, 2020, the taxpayer filed a petition to appeal the decision with the Supreme Court of the United States which was denied on June 22, 2020. The denial of the request by the Supreme Court did not have a material impact to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 Manufacturer Commitments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Company’s components and products are procured and built by independent contract manufacturers based on sales forecasts. These forecasts include estimates of future demand, historical trends, analysis of sales and marketing activities, and adjustment of overall market conditions. The Company regularly issues purchase orders to independent contract manufacturers which are cancelable upon agreement between the Company and the third-party manufacturers. As of July 31, 2020 and January 31, 2020, total manufacturing purchase commitments were approximately $24.4 million and $35.9 million, respectively.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Company, from time to time, in the normal course of business, indemnifies certain vendors with whom it enters into contractual relationships. The Company has agreed to hold the other party harmless against third-party claims in connection with the Company’s future products. The Company also indemnifies certain customers against third-party claims related to certain intellectual property and product liability matters. It is not possible to determine the maximum potential amount of liability under these indemnification obligations due to the limited history of prior indemnification claims and the unique facts and circumstances that are likely to be involved in each particular claim. The Company has not made payments under these obligations, and no liabilities have been recorded for these obligations in the condensed consolidated balance sheets as of July 31, 2020 and January 31, 2020, respectively.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Reporting</w:t>
      </w:r>
    </w:p>
    <w:p>
      <w:pPr>
        <w:spacing w:after="0" w:line="121" w:lineRule="exact"/>
        <w:rPr>
          <w:sz w:val="20"/>
          <w:szCs w:val="20"/>
          <w:color w:val="auto"/>
        </w:rPr>
      </w:pPr>
    </w:p>
    <w:p>
      <w:pPr>
        <w:ind w:right="260" w:firstLine="510"/>
        <w:spacing w:after="0" w:line="261" w:lineRule="auto"/>
        <w:rPr>
          <w:sz w:val="20"/>
          <w:szCs w:val="20"/>
          <w:color w:val="auto"/>
        </w:rPr>
      </w:pPr>
      <w:r>
        <w:rPr>
          <w:rFonts w:ascii="Times New Roman" w:cs="Times New Roman" w:eastAsia="Times New Roman" w:hAnsi="Times New Roman"/>
          <w:sz w:val="18"/>
          <w:szCs w:val="18"/>
          <w:color w:val="auto"/>
        </w:rPr>
        <w:t>The Company operates in one reportable segment related to the development and sales of low-power, high-definition (HD), Ultra HD video compression, image processing and computer vision solutions. The Chief Executive Officer of the Company has been identified as the Chief Operating Decision Maker (the “CODM”) and manages the Company’s operations as a whole. For the purpose of evaluating financial performance and allocating resources, the CODM reviews financial information presented on a consolidated basis accompanied by information by customer and geographic region.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Geographic Revenue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Company’s revenue by geographic region based on bill-to location for the periods indicated:</w:t>
      </w:r>
    </w:p>
    <w:p>
      <w:pPr>
        <w:spacing w:after="0" w:line="3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0" w:type="dxa"/>
            <w:vAlign w:val="bottom"/>
            <w:gridSpan w:val="4"/>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3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30,981</w:t>
            </w: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61,773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58,581</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17,246</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28,993</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31,734</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100" w:type="dxa"/>
            <w:vAlign w:val="bottom"/>
            <w:shd w:val="clear" w:color="auto" w:fill="CFF0FC"/>
          </w:tcPr>
          <w:p>
            <w:pPr>
              <w:spacing w:after="0"/>
              <w:rPr>
                <w:sz w:val="19"/>
                <w:szCs w:val="19"/>
                <w:color w:val="auto"/>
              </w:rPr>
            </w:pPr>
          </w:p>
        </w:tc>
      </w:tr>
      <w:tr>
        <w:trPr>
          <w:trHeight w:val="243"/>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North America other than United States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6,016</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tcPr>
          <w:p>
            <w:pPr>
              <w:spacing w:after="0"/>
              <w:rPr>
                <w:sz w:val="21"/>
                <w:szCs w:val="21"/>
                <w:color w:val="auto"/>
              </w:rPr>
            </w:pPr>
          </w:p>
        </w:tc>
      </w:tr>
      <w:tr>
        <w:trPr>
          <w:trHeight w:val="230"/>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100" w:type="dxa"/>
            <w:vAlign w:val="bottom"/>
            <w:shd w:val="clear" w:color="auto" w:fill="CFF0FC"/>
          </w:tcPr>
          <w:p>
            <w:pPr>
              <w:spacing w:after="0"/>
              <w:rPr>
                <w:sz w:val="19"/>
                <w:szCs w:val="19"/>
                <w:color w:val="auto"/>
              </w:rPr>
            </w:pPr>
          </w:p>
        </w:tc>
      </w:tr>
      <w:tr>
        <w:trPr>
          <w:trHeight w:val="237"/>
        </w:trPr>
        <w:tc>
          <w:tcPr>
            <w:tcW w:w="34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50,113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104,758</w:t>
            </w:r>
          </w:p>
        </w:tc>
        <w:tc>
          <w:tcPr>
            <w:tcW w:w="180" w:type="dxa"/>
            <w:vAlign w:val="bottom"/>
          </w:tcPr>
          <w:p>
            <w:pPr>
              <w:spacing w:after="0"/>
              <w:rPr>
                <w:sz w:val="20"/>
                <w:szCs w:val="20"/>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103,598</w:t>
            </w:r>
          </w:p>
        </w:tc>
        <w:tc>
          <w:tcPr>
            <w:tcW w:w="100" w:type="dxa"/>
            <w:vAlign w:val="bottom"/>
          </w:tcPr>
          <w:p>
            <w:pPr>
              <w:spacing w:after="0"/>
              <w:rPr>
                <w:sz w:val="20"/>
                <w:szCs w:val="20"/>
                <w:color w:val="auto"/>
              </w:rPr>
            </w:pPr>
          </w:p>
        </w:tc>
      </w:tr>
      <w:tr>
        <w:trPr>
          <w:trHeight w:val="20"/>
        </w:trPr>
        <w:tc>
          <w:tcPr>
            <w:tcW w:w="3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0" w:lineRule="exact"/>
        <w:rPr>
          <w:sz w:val="20"/>
          <w:szCs w:val="20"/>
          <w:color w:val="auto"/>
        </w:rPr>
      </w:pPr>
    </w:p>
    <w:p>
      <w:pPr>
        <w:ind w:right="48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substantially all of the Company’s property and equipment, net, was located in the United States, Asia Pacific region and Europe with approximate net amounts of $1.6 million, $2.5 million and $0.9 million, respectively.</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customers representing 10% or more of revenue and accounts receivable were Wintech and Chicony, which accounted for approximately 55.6% and 19.6% of total revenue for the three months ended July 31, 2020, respectively, and accounted for approximately 59.5% and 17.4% of total revenue for the six months ended July 31, 2020, respectively. The customers representing 10% or more of revenue and accounts receivable were Wintech and Chicony, which accounted for approximately 54.9% and 20.5% of total revenue for the three months ended July 31, 2019, respectively, and accounted for approximately 56.5% and 19.1% of total revenue for the six months ended July 31, 2019, respectively. Accounts receivable with Wintech and Chicony were approximately $8.1 million and $10.1 million as of July 31,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20" w:right="3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the consolidated financial statements and notes thereto for the fiscal year ended January 31, 2020 and management’s discussion and analysis of our financial condition and results of operations included in our Annual Report on Form 10-K for the 2020 fiscal year filed with the Securities and Exchange Commission, or SEC, on March 27, 2020.</w:t>
      </w:r>
    </w:p>
    <w:p>
      <w:pPr>
        <w:spacing w:after="0" w:line="183" w:lineRule="exact"/>
        <w:rPr>
          <w:sz w:val="20"/>
          <w:szCs w:val="20"/>
          <w:color w:val="auto"/>
        </w:rPr>
      </w:pPr>
    </w:p>
    <w:p>
      <w:pPr>
        <w:ind w:right="40" w:firstLine="510"/>
        <w:spacing w:after="0" w:line="252" w:lineRule="auto"/>
        <w:rPr>
          <w:sz w:val="20"/>
          <w:szCs w:val="20"/>
          <w:color w:val="auto"/>
        </w:rPr>
      </w:pPr>
      <w:r>
        <w:rPr>
          <w:rFonts w:ascii="Times New Roman" w:cs="Times New Roman" w:eastAsia="Times New Roman" w:hAnsi="Times New Roman"/>
          <w:sz w:val="18"/>
          <w:szCs w:val="18"/>
          <w:i w:val="1"/>
          <w:iCs w:val="1"/>
          <w:color w:val="auto"/>
        </w:rPr>
        <w:t>This Quarterly Report on Form 10-Q, including this “Management’s Discussion and Analysis of Financial Condition and Results of Operations”, includes a number of forward-looking statements that involve many risks and uncertainties. Forward-looking statements are identified by the use of the words “would,” “could,” “will,” “may,” “expect,” “believe,” “should,” “anticipate,” “outlook,” “if,” “future,” “intend,” “plan,” “estimate,” “predict,” “potential,” “target,” “seek,” “project,” “forecast,” “continue” or “foreseeable” and similar words and phrases, including the negatives of these terms, or other variations of these terms, that denote future events. Such statements include, but are not limited to, statements concerning our market opportunity and our ability to compete in such markets, our product strategy, our ability to develop and introduce new solutions, our future financial and operating performance, our sales and marketing strategy, our investment strategy, research and development, our customer and supplier relationships and inventory levels, industry trends, our cash needs and capital requirements, our repurchase programs, our expectations about taxes and operating expenses, the availability of third-party components and economic and political conditions. These statements reflect our current views with respect to future events and our potential financial performance, and are subject to risks and uncertainties that could cause our actual results and financial position to differ materially and adversely from what is projected or implied in any forward-looking statements included in this Quarterly Report on Form 10-Q. These factors include, but are not limited to: risks associated with revenue being generated from new customers or design wins, neither of which is assured; our ability to retain and expand customer relationships and to achieve design wins; the ongoing and potential impact of the COVID-19 pandemic on our operations or the operations of our supply chain or our customers; risks associated with the overall economy, including escalating trade tensions between the U.S. and China; the commercial success of our customers’ products; our growth strategy; fluctuations in our operating results; our ability to anticipate future market demands and future needs and preferences of our customers; our ability to introduce new and enhanced solutions; the expansion of our current markets and our ability to successfully enter new markets; anticipated trends and challenges, including competition, in the markets in which we operate or seek to operate; our expectations regarding computer vision; our ability to effectively generate and manage growth; our ability to retain key employees; the potential for intellectual property disputes or other litigation; the risks described under Item 1A of Part II — “Risk Factors,” and Item 2 of Part I — “Management’s Discussion and Analysis of Financial Condition and Results of Operations”; the risks described elsewhere in this Quarterly Report on Form 10-Q and those discussed in other documents we file with the SEC. We make these forward-looking statements based upon information available on the date of this Quarterly Report on Form 10-Q, and we have no obligation (and expressly disclaim any such obligation) to update or alter any forward-looking statements, whether as a result of new information or otherwise except as otherwise required by securities regulations.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We are a leading developer of semiconductor solutions for video that enable high-definition, or HD, video capture, analysis, sharing and display. In the last ten years, we have primarily focused on providing video and image processors for professional and consumer camera devices, such as internet protocol, or IP, security cameras, wearable sports cameras, drones and aftermarket automotive video recorders. Over the last several years, our development efforts focused on creating advanced artificial intelligence, or AI, computer vision, or CV, algorithms and high-performance, low-power hardware platforms to enhance processing acceleration, which we refer to as our CVflow™ architecture. The CVflow architecture supports a variety of computer vision algorithms, including stereovision, object identification and motion detection, obstacle detection and avoidance, terrain mapping technology, and face recognition, and allows customers to differentiate their products by porting their own algorithms and neural networks to our CVflow-based chips. Our system-on-a-chip, or SoC, designs fully integrate HD video processing, image processing, AI, computer vision functionality, audio processing, and system functions onto a single chip, delivering exceptional video and image quality at high compression rates, differentiated functionality and low power consumption. These computer vision-based technologies are allowing us to address a broader range of markets and applications requiring AI video features, including IP security cameras, automotive cameras, consumer cameras, and industrial and robotic markets and applications.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Our revenue over the last three years has been generated primarily from sales of our SoC solutions for incorporation into specialized video and image capture devices such as wearable sports cameras, automotive aftermarket cameras, IP security cameras and cameras incorporated into drones. Our revenue from several of these markets, however, has recently experienced significant declines. As a result, we believe that our future revenue growth, if any, will significantly depend upon our ability to expand within camera markets, particularly in the professional IP security and home security and monitoring camera markets, as well as emerging markets such as AI-enabled security cameras, AI-based driving applications, including auto-parking, driver monitoring systems, advanced blind spot detection, object detection, and deep learning algorithms for HD mapping solutions, OEM automotive advanced driver assistance systems, or ADAS, applications, and industrial and robotics markets. We expect our research and development expenditures to increase in comparison to prior periods as we devote additional resources to the development of innovative video and image processing solutions with increased functionality, such as AI and CV capabilities, and as we target new markets.</w:t>
      </w:r>
    </w:p>
    <w:p>
      <w:pPr>
        <w:spacing w:after="0" w:line="188"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We sell our SoC solutions to leading original design manufacturers, or ODMs, and OEMs globally, and in the automotive market, we also sell to Tier-1 suppliers. We refer to ODMs and Tier-1 automotive suppliers as our customers and OEMs as our end customers, except as otherwise indicated or as the context otherwise requires.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sales cycles typically require a significant investment of time and a substantial expenditure of resources before we can realize revenue from the sale of our solutions, if any. Our typical sales cycle consists of a multi-month sales and development process involving our customers’ system designers and management and our sales personnel and software engineers. If successful, this process culminates in a customer’s decision to use our solutions in its system, which we refer to as a design win. Our sales efforts are typically directed to the OEM of the product that will incorporate our video and image processing solution, but the eventual design and incorporation of our SoC into the product may be handled by an ODM or Tier-1 supplier on behalf of the OEM.</w:t>
      </w:r>
    </w:p>
    <w:p>
      <w:pPr>
        <w:spacing w:after="0" w:line="18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Volume production may begin within six to 18 months after a design win, depending on the complexity of our customer’s product and other factors upon which we may have little or no influence. Once our solutions have been incorporated into a customer’s design, they are likely to be used for the life cycle of the customer’s product. Conversely, a design loss to a competitor will likely preclude any opportunity for future revenue from such customer’s product. Even if we obtain a design win and our SoC remains a component through the life cycle of a customer’s product, the volume and timing of actual sales of our SoCs to the customer depend upon the production, release and market acceptance of that product, none of which are within our control. A portable consumer device typically has a product life cycle of six to 18 months, while an IP security camera typically has a product life cycle of 12 to 24 months. We anticipate that product lifecycles will typically be longer than 24 months in the OEM automotive and industrial and robotics markets, as new product introductions occur less frequently in these markets.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9"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Highlights and Trends</w:t>
      </w:r>
    </w:p>
    <w:p>
      <w:pPr>
        <w:spacing w:after="0" w:line="121" w:lineRule="exact"/>
        <w:rPr>
          <w:sz w:val="20"/>
          <w:szCs w:val="20"/>
          <w:color w:val="auto"/>
        </w:rPr>
      </w:pPr>
    </w:p>
    <w:p>
      <w:pPr>
        <w:ind w:left="1000" w:hanging="500"/>
        <w:spacing w:after="0" w:line="25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recorded revenue of $50.1 million and $104.8 million for the three and six months ended July 31, 2020, respectively. This represented a decrease of 11.2% for the three months ended July 31, 2020 and an increase of 1.1% for the six months ended July 31, 2020, respectively, as compared to the same periods in the prior fiscal year. The decreased revenue for the three months ended July 31, 2020 was primarily attributable to lower revenue from the sports camera, professional IP security camera, and automotive markets. In the sports camera market, incorporation of our solutions into newly launched sports camera products from Dajiang Innovation Technology Inc., or DJI, resulted in a ramp of SoC shipments in the second quarter of fiscal year 2020 that did not recur in the current fiscal period. In the professional IP security camera market, despite continued growth in the North America and Asia regions,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lower revenue was partially offset by increased revenue in the consumer IP security camera and other consumer markets, including drone and wearable camera markets. In the consumer IP security camera market, revenue growth was led by the home security and monitoring market in the North America region. For the six months ended July 31, 2020, increased revenue was primarily attributable to higher revenue in the consumer IP security camera and drone markets, partially offset by decreased revenue in the sports camera and professional IP security camera markets. While revenue was relatively flat for the six months ended July 31, 2020 compared to the same period in the prior fiscal year, we experienced continued demand for our new CV-based solutions in the professional IP security camera market and made initial shipments of our CV-based solutions into the consumer IP security camera and automotive markets in fiscal year 2021.</w:t>
      </w:r>
    </w:p>
    <w:p>
      <w:pPr>
        <w:spacing w:after="0" w:line="83" w:lineRule="exact"/>
        <w:rPr>
          <w:rFonts w:ascii="Times New Roman" w:cs="Times New Roman" w:eastAsia="Times New Roman" w:hAnsi="Times New Roman"/>
          <w:sz w:val="18"/>
          <w:szCs w:val="18"/>
          <w:color w:val="auto"/>
        </w:rPr>
      </w:pPr>
    </w:p>
    <w:p>
      <w:pPr>
        <w:ind w:left="1000" w:right="320" w:hanging="500"/>
        <w:spacing w:after="0" w:line="273"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operating losses of $15.3 million and $30.9 million for the three and six months ended July 31, 2020, respectively, as compared to operating losses of $10.4 million and $28.6 million for the three and six months ended July 31, 2019, respectively. In addition to the changes in revenue, the increased operating losses were also attributable to increased operating expenses, partially offset by increased gross margin. The increase in expenses primarily related to approximately $3.2 million of research and development grants from a foreign government in the second quarter of fiscal year 2020 that did not recur in fiscal year 2021. The increased expenses were also attributable to increased employee benefit expense and SoC development cost, partially offset by decreased equipment expense, travel expense, consulting services and a foreign subsidy granted due to the COVID-19 pandemic.</w:t>
      </w:r>
    </w:p>
    <w:p>
      <w:pPr>
        <w:spacing w:after="0" w:line="63" w:lineRule="exact"/>
        <w:rPr>
          <w:rFonts w:ascii="Times New Roman" w:cs="Times New Roman" w:eastAsia="Times New Roman" w:hAnsi="Times New Roman"/>
          <w:sz w:val="17"/>
          <w:szCs w:val="17"/>
          <w:color w:val="auto"/>
        </w:rPr>
      </w:pPr>
    </w:p>
    <w:p>
      <w:pPr>
        <w:ind w:left="1000" w:hanging="500"/>
        <w:spacing w:after="0" w:line="258"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generated cash flows from operating activities of $5.2 million for the six months ended July 31, 2020, as compared to $13.4 million for the six months ended July 31, 2019. The decreased cash flows from operating activities were primarily due to increased net loss adjusted by non-cash expenses, decreased cash receipts associated with the timing of payments from customers, decreased liabilities associated with the timing of payments to suppliers and increased inventory purchases. The decreased cash flows from operating activities were partially offset by decreased cash payments for other operating asset purchases.</w:t>
      </w:r>
    </w:p>
    <w:p>
      <w:pPr>
        <w:spacing w:after="0" w:line="75" w:lineRule="exact"/>
        <w:rPr>
          <w:rFonts w:ascii="Times New Roman" w:cs="Times New Roman" w:eastAsia="Times New Roman" w:hAnsi="Times New Roman"/>
          <w:sz w:val="18"/>
          <w:szCs w:val="18"/>
          <w:color w:val="auto"/>
        </w:rPr>
      </w:pPr>
    </w:p>
    <w:p>
      <w:pPr>
        <w:ind w:left="1000" w:hanging="500"/>
        <w:spacing w:after="0" w:line="261"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16, 2020, we repurchased a total of 25,719 of our ordinary shares for approximately $1.0 million in cash. On May 29, 2020, our Board of Directors approved an extension of the repurchase program for an additional twelve months ending June 30, 2021. There were no shares repurchased for the three months ended July 31, 2020. As of July 31, 2020, there was approximately $49.0 million available for repurchases through June 30, 2021.</w:t>
      </w:r>
    </w:p>
    <w:p>
      <w:pPr>
        <w:spacing w:after="0" w:line="396"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840" w:top="333"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7"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COVID-19 Could Adversely Affect our Business in a Material Way. </w:t>
      </w:r>
      <w:r>
        <w:rPr>
          <w:rFonts w:ascii="Times New Roman" w:cs="Times New Roman" w:eastAsia="Times New Roman" w:hAnsi="Times New Roman"/>
          <w:sz w:val="18"/>
          <w:szCs w:val="18"/>
          <w:color w:val="auto"/>
        </w:rPr>
        <w:t>The COVID-19 pandemic has resulted in significant governmental measures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implemented to control the spread of the virus, including, among others, restrictions on travel and the imposition of remote or work-from-home conditions in many of the locations where we have offices. While we have not yet experienced a significant disruption of our operations as a result of the COVID-19 pandemic, if the remote or work-from-home conditions in any of our offices continues for an extended period of time, we may experience delays in product development, a decreased ability to support our customers, reduced design win activity, and overall lack of productivity. Similarly, while we have not yet experienced a major disruption in our supply chain as a result of the COVID-19 pandemic, if there is a significant outbreak that impacts Samsung Electronic Corporation’s ability to manufacture our SoCs or our third-party contractors’ ability to assemble, test and ship our products, we could experience delays or reductions in our ability to ship products to our customers. The pandemic may also impact our customers’ ability to manufacture their products, support their customers or reduce or delay demand for their products, which could, in turn, reduce such customers’ demand for our solutions. For example, in the six months ended July 31, 2020, we saw an overall slowdown in the automotive industry which negatively impacted our revenue related to our computer vision-based solutions in the OEM video recorder market. While we cannot quantify specific impacts of the COVID-19 pandemic or actions taken by governments and businesses in response thereto, our results of operations and financial condition may be negatively affected if we encounter supply chain problems, reductions in demand due to our customers or end customers having problems, or other unexpected COVID-19 ramifications.</w:t>
      </w:r>
    </w:p>
    <w:p>
      <w:pPr>
        <w:spacing w:after="0" w:line="187"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Political and Trade Relations Between the United States and China Could Adversely Affect our Business in a Material Way. </w:t>
      </w:r>
      <w:r>
        <w:rPr>
          <w:rFonts w:ascii="Times New Roman" w:cs="Times New Roman" w:eastAsia="Times New Roman" w:hAnsi="Times New Roman"/>
          <w:sz w:val="18"/>
          <w:szCs w:val="18"/>
          <w:color w:val="auto"/>
        </w:rPr>
        <w:t>Trade tensions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United States and China have been escalating, which has, in our view, created and will continue to create an uncertain business environment.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instance, during the six months ended July 31, 2020, lower demand from our two largest China customers resulted in our revenue decreased in the professional IP security camera market. Even in the absence of new tariffs or trade restrictions, it is possible that China customers or potential customers could take actions to reduce dependence on the supply of components subject to United States trade laws, including our solutions.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In addition, the escalating social and political tensions in Hong Kong could, in the future, impact the operation of our warehouse facility in Hong Kong, through which a substantial majority of our finished SoCs are shipped to customers or logistic partners. Continued deterioration in political, social or economic conditions in Hong Kong or future actions by the Chinese or U.S. governments, could possibly result in business interruptions, substantially delayed or lost sales, loss of inventory, or increased expenses. The materialization of these risks could have a material adverse effect on our business.</w:t>
      </w:r>
    </w:p>
    <w:p>
      <w:pPr>
        <w:spacing w:after="0" w:line="187"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Computer Vision Trends</w:t>
      </w:r>
      <w:r>
        <w:rPr>
          <w:rFonts w:ascii="Times New Roman" w:cs="Times New Roman" w:eastAsia="Times New Roman" w:hAnsi="Times New Roman"/>
          <w:sz w:val="18"/>
          <w:szCs w:val="18"/>
          <w:color w:val="auto"/>
        </w:rPr>
        <w:t>. We expect that computer vision functionality will become an increasingly important requirement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many of our current and future markets, including IP security, automotive, and industrial and robotics, and certain consumer markets. As a result, we believe that our ability to develop advanced AI computer vision technology, enable and support customer product development in emerging applications, such as ADAS, advanced blind spot detection, object detection, people recognition, retail analytics, and machine learning, and gain customer acceptance of our technology platform and solutions, will be critical to our future success. Moreover, achieving design wins, particularly for computer vision-centric applications in the IP security, automotive, and industrial and robotics markets, is vital to our ability to generate revenue growth. As such, we closely monitor design wins by customer and end market. However, a design win may not successfully materialize into revenue, and even if it does result in revenue, the amount generated by each design win can vary significantly.</w:t>
      </w:r>
    </w:p>
    <w:p>
      <w:pPr>
        <w:spacing w:after="0" w:line="185"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Ability to Develop and Introduce New or Enhanced Solutions</w:t>
      </w:r>
      <w:r>
        <w:rPr>
          <w:rFonts w:ascii="Times New Roman" w:cs="Times New Roman" w:eastAsia="Times New Roman" w:hAnsi="Times New Roman"/>
          <w:sz w:val="18"/>
          <w:szCs w:val="18"/>
          <w:color w:val="auto"/>
        </w:rPr>
        <w:t>. We operate in a dynamic environment characterized by rapidly changing technologies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technological obsolescence. To compete successfully, we must design, develop, market and sell enhanced solutions with increased levels of performance and functionality that meet the expectations of our customers. As such, we continuously invest in our research and development projects, especially CV technologies. However, failure to anticipate or timely develop new or enhanced solutions in response to technology shifts and trends could result in decreased revenue and our competitors achieving design wins we sought. Moreover, any reliability or quality problems with our solutions could harm our reputation, increase additional development and replacement costs, and prevent us from retaining existing customers and attracting new customers.</w:t>
      </w:r>
    </w:p>
    <w:p>
      <w:pPr>
        <w:spacing w:after="0" w:line="183"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Pricing, Product Cost and Margin</w:t>
      </w:r>
      <w:r>
        <w:rPr>
          <w:rFonts w:ascii="Times New Roman" w:cs="Times New Roman" w:eastAsia="Times New Roman" w:hAnsi="Times New Roman"/>
          <w:sz w:val="18"/>
          <w:szCs w:val="18"/>
          <w:color w:val="auto"/>
        </w:rPr>
        <w:t>. Our pricing and margins depend on the volumes and features of the solutions we provide to our customers.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Additionally, we make significant investments in new solutions for both cost improvements and new features that we expect to drive revenue and maintain margins. In general, solutions incorporated into more complex configurations, such as those used in high-performance camera applications or, in the future, advanced driver assistance systems, have higher prices and higher gross margins as compared to solutions sold into lower-performing, more competitive camera applications. Our average selling price can vary by market and application due to market-specific supply and demand, the maturation of products launched in previous years and the launch of new products by us or our competitors.</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25" w:name="page26"/>
    <w:bookmarkEnd w:id="25"/>
    <w:p>
      <w:pPr>
        <w:ind w:right="140" w:firstLine="510"/>
        <w:spacing w:after="0" w:line="282" w:lineRule="auto"/>
        <w:rPr>
          <w:sz w:val="20"/>
          <w:szCs w:val="20"/>
          <w:color w:val="auto"/>
        </w:rPr>
      </w:pPr>
      <w:r>
        <w:rPr>
          <w:rFonts w:ascii="Times New Roman" w:cs="Times New Roman" w:eastAsia="Times New Roman" w:hAnsi="Times New Roman"/>
          <w:sz w:val="18"/>
          <w:szCs w:val="18"/>
          <w:color w:val="auto"/>
        </w:rPr>
        <w:t>We continually monitor the cost of our solutions. As we rely on third-party manufacturers for the manufacture of our products, we maintain a close relationship with these suppliers to continually monitor production yields, component costs and design efficiencies.</w:t>
      </w:r>
    </w:p>
    <w:p>
      <w:pPr>
        <w:spacing w:after="0" w:line="160" w:lineRule="exact"/>
        <w:rPr>
          <w:sz w:val="20"/>
          <w:szCs w:val="20"/>
          <w:color w:val="auto"/>
        </w:rPr>
      </w:pPr>
    </w:p>
    <w:p>
      <w:pPr>
        <w:ind w:right="2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Shifting Consumer Preferences. </w:t>
      </w:r>
      <w:r>
        <w:rPr>
          <w:rFonts w:ascii="Times New Roman" w:cs="Times New Roman" w:eastAsia="Times New Roman" w:hAnsi="Times New Roman"/>
          <w:sz w:val="18"/>
          <w:szCs w:val="18"/>
          <w:color w:val="auto"/>
        </w:rPr>
        <w:t>Our revenue is also subject to consumer preferences, regarding form factor and functionality, and how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preferences impact the video and image capture electronics that we support. For example, improved smartphone video capture capabilities led to the decline of video cameras aimed at the video and image capture market. The current video and image capture market is now characterized by a greater volume of more specialized video and image capture devices that are less likely to be replaced with smartphones, such as wearable, IP security, drone and automotive cameras. This increasing specialization of video capture devices has changed our customer base and end markets and has impacted our revenue. In the future, we expect further changes will continue to impact our business performance in those markets.</w:t>
      </w:r>
    </w:p>
    <w:p>
      <w:pPr>
        <w:spacing w:after="0" w:line="182"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i w:val="1"/>
          <w:iCs w:val="1"/>
          <w:color w:val="auto"/>
        </w:rPr>
        <w:t>Continued Concentration of Revenue by End Market</w:t>
      </w:r>
      <w:r>
        <w:rPr>
          <w:rFonts w:ascii="Times New Roman" w:cs="Times New Roman" w:eastAsia="Times New Roman" w:hAnsi="Times New Roman"/>
          <w:sz w:val="18"/>
          <w:szCs w:val="18"/>
          <w:color w:val="auto"/>
        </w:rPr>
        <w:t>. Historically, our revenue has been significantly concentrated in a small number of end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we developed technologies to provide solutions for new markets as they emerged, such as the sports camera, IP security, drone and automotive video recorder camera markets. Since fiscal year 2018, the professional and consumer IP security camera markets and automotive markets, including the OEM and aftermarket video recorder market, have been our largest end markets and sales into these markets collectively generated the majority of our revenue. We believe, however, that continued expansion into new markets is required to facilitate revenue growth and customer diversification. We have recently introduced solutions to address emerging applications and markets, such as the incorporation of CV functionalities for AI-enabled security cameras, AI-based driving applications and industrial and robotics markets. While we will continue to seek to expand our end market exposure, we anticipate that sales to a limited number of end markets will continue to account for a significant percentage of our total revenue for the foreseeable future. Our end market concentration may cause our financial performance to fluctuate significantly from period to period based on the success or failure of products that our SoCs are designed into as well as the overall growth or decline in the video capture markets in which we compete. In addition, we derive a significant portion of our revenue from a limited number of ODMs who build products on behalf of a limited number of OEMs and from a limited number of OEMs to whom we ship directly. We believe that our operating results for the foreseeable future will continue to depend on sales to a relatively small number of customers.</w:t>
      </w:r>
    </w:p>
    <w:p>
      <w:pPr>
        <w:spacing w:after="0" w:line="19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i w:val="1"/>
          <w:iCs w:val="1"/>
          <w:color w:val="auto"/>
        </w:rPr>
        <w:t>Ability to Capitalize on Connectivity Trends</w:t>
      </w:r>
      <w:r>
        <w:rPr>
          <w:rFonts w:ascii="Times New Roman" w:cs="Times New Roman" w:eastAsia="Times New Roman" w:hAnsi="Times New Roman"/>
          <w:sz w:val="18"/>
          <w:szCs w:val="18"/>
          <w:color w:val="auto"/>
        </w:rPr>
        <w:t>. Mobile connected devices are ubiquitous today and play an increasingly prominent role in consumers’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lives. The constant connectivity provided by these devices has created a demand for connected electronic peripherals such as video and image capture devices. Our ability to capitalize on these trends by supporting our end customers in the development of connected peripherals that seamlessly cooperate with other connected devices and allow consumers to distribute and share video and images with online media platforms is critical for our success. We have added wireless communication functionality into our solutions for wearable, IP security, drone and automotive video recorder cameras. The combination of our compression technology with wireless connectivity enables wireless video streaming and uploading of videos and images to the Internet. Our solutions enable IP security camera systems to stream video content to either cloud infrastructure or connected mobile devices, and our solutions for wearable and drone cameras allow consumers to quickly stream or upload video and images to social media platforms.</w:t>
      </w:r>
    </w:p>
    <w:p>
      <w:pPr>
        <w:spacing w:after="0" w:line="185"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i w:val="1"/>
          <w:iCs w:val="1"/>
          <w:color w:val="auto"/>
        </w:rPr>
        <w:t>Sales Volume</w:t>
      </w:r>
      <w:r>
        <w:rPr>
          <w:rFonts w:ascii="Times New Roman" w:cs="Times New Roman" w:eastAsia="Times New Roman" w:hAnsi="Times New Roman"/>
          <w:sz w:val="18"/>
          <w:szCs w:val="18"/>
          <w:color w:val="auto"/>
        </w:rPr>
        <w:t>. A typical design win that successfully launches into the marketplace can generate a wide range of sales volumes for our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depending on the end market demand for our customers’ products. Our ability to accurately forecast demand can be adversely affected by a number of factors, including the reputation of the end customer, market penetration, product capabilities, size of the end market that the product addresses, our end customers’ ability to sell their products, miscalculations by our customers of their inventory requirements, changes in market conditions, adverse changes in our product order mix and fluctuating demand for our customers’ products. In certain cases, we may provide volume discounts on sales of our solutions, which may be offset by lower manufacturing costs related to higher volumes. In general, our customers with greater market penetration and better branding tend to develop products that generate larger volumes over the product life cycle.</w:t>
      </w:r>
    </w:p>
    <w:p>
      <w:pPr>
        <w:spacing w:after="0" w:line="183"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Customer Product Life Cycle. </w:t>
      </w:r>
      <w:r>
        <w:rPr>
          <w:rFonts w:ascii="Times New Roman" w:cs="Times New Roman" w:eastAsia="Times New Roman" w:hAnsi="Times New Roman"/>
          <w:sz w:val="18"/>
          <w:szCs w:val="18"/>
          <w:color w:val="auto"/>
        </w:rPr>
        <w:t>We estimate our customers’ product life cycles based on the customer, type of product and end market. We typically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commence commercial shipments from six to 18 months following a design win; however, in some markets, more lengthy product and development cycles are possible, depending on the scope and nature of the project, such as in the automotive OEM market. A portable consumer device typically has a product life cycle of six to 18 months, and an IP security camera typically has a product life cycle of 12 to 24 months. We anticipate that product development and product life cycles will typically be longer than 24 months in the OEM automotive, Tier-1 automotive suppliers and robotics markets, as new product introductions typically occur less frequently in these markets.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our statement of operations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920" w:type="dxa"/>
            <w:vAlign w:val="bottom"/>
            <w:gridSpan w:val="6"/>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173"/>
        </w:trPr>
        <w:tc>
          <w:tcPr>
            <w:tcW w:w="3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20" w:type="dxa"/>
            <w:vAlign w:val="bottom"/>
            <w:gridSpan w:val="5"/>
          </w:tcPr>
          <w:p>
            <w:pPr>
              <w:jc w:val="right"/>
              <w:ind w:right="42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50,113</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104,758</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103,598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19,155</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23,973</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41,780</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43,308</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30,958</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62,978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32,802</w:t>
            </w: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67,002</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6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13,445</w:t>
            </w:r>
          </w:p>
        </w:tc>
        <w:tc>
          <w:tcPr>
            <w:tcW w:w="16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12,425</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26,880</w:t>
            </w:r>
          </w:p>
        </w:tc>
        <w:tc>
          <w:tcPr>
            <w:tcW w:w="16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25,502</w:t>
            </w:r>
          </w:p>
        </w:tc>
        <w:tc>
          <w:tcPr>
            <w:tcW w:w="8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42,845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93,882</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88,939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(15,289)</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(10,408)</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(30,904)</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(28,649)</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(14,009)</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(8,213)</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(28,346)</w:t>
            </w:r>
          </w:p>
        </w:tc>
        <w:tc>
          <w:tcPr>
            <w:tcW w:w="16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(24,258)</w:t>
            </w:r>
          </w:p>
        </w:tc>
        <w:tc>
          <w:tcPr>
            <w:tcW w:w="0" w:type="dxa"/>
            <w:vAlign w:val="bottom"/>
          </w:tcPr>
          <w:p>
            <w:pPr>
              <w:spacing w:after="0"/>
              <w:rPr>
                <w:sz w:val="1"/>
                <w:szCs w:val="1"/>
                <w:color w:val="auto"/>
              </w:rPr>
            </w:pPr>
          </w:p>
        </w:tc>
      </w:tr>
      <w:tr>
        <w:trPr>
          <w:trHeight w:val="230"/>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(10,191)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(30,219)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(27,502)</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operating results as a percentage of revenue of each line item for the periods indicated:</w:t>
      </w:r>
    </w:p>
    <w:p>
      <w:pPr>
        <w:spacing w:after="0" w:line="22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80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80" w:type="dxa"/>
            <w:vAlign w:val="bottom"/>
          </w:tcPr>
          <w:p>
            <w:pPr>
              <w:spacing w:after="0"/>
              <w:rPr>
                <w:sz w:val="13"/>
                <w:szCs w:val="13"/>
                <w:color w:val="auto"/>
              </w:rPr>
            </w:pPr>
          </w:p>
        </w:tc>
        <w:tc>
          <w:tcPr>
            <w:tcW w:w="180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378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5"/>
            <w:vMerge w:val="continue"/>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78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CFF0FC"/>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43"/>
        </w:trPr>
        <w:tc>
          <w:tcPr>
            <w:tcW w:w="37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80" w:type="dxa"/>
            <w:vAlign w:val="bottom"/>
            <w:tcBorders>
              <w:bottom w:val="single" w:sz="8" w:color="CFF0FC"/>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bottom w:val="single" w:sz="8" w:color="CFF0FC"/>
            </w:tcBorders>
          </w:tcPr>
          <w:p>
            <w:pPr>
              <w:spacing w:after="0"/>
              <w:rPr>
                <w:sz w:val="21"/>
                <w:szCs w:val="21"/>
                <w:color w:val="auto"/>
              </w:rPr>
            </w:pPr>
          </w:p>
        </w:tc>
        <w:tc>
          <w:tcPr>
            <w:tcW w:w="2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7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from operations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3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We derive substantially all of our revenue from the sale of HD and Ultra HD video and image processing SoC solutions to IP security camera OEMs, IP security camera ODMs, OEM automotive or Tier-1 automotive suppliers, either directly or through our distributors. In recent years, our SoC solutions have been primarily used in camera markets, such as IP security, automotive video recorder, drone and wearable cameras. Although we expect these camera markets, in particular the IP security and automotive video recorder markets, to continue to generate revenue for the foreseeable future, we have recently introduced new SoCs targeting emerging CV applications in the IP security camera, OEM automotive and industrial and robotics markets. We derive a substantial portion of our revenue from sales made indirectly through one of our distributors, Wintech Microelectronics Co., Ltd., or Wintech, and directly to one of our ODM customers, Chicony Electronics Co., Ltd., or Chicony.</w:t>
      </w:r>
    </w:p>
    <w:p>
      <w:pPr>
        <w:spacing w:after="0" w:line="189"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We have historically experienced seasonal fluctuations in our quarterly revenue with our third fiscal quarter normally being the highest revenue quarter. This fluctuation has been driven primarily by increased sales in IP security and consumer camera markets as our customers build inventories in preparation for the holiday shopping season. Our average selling prices fluctuate based on the mix of our solutions sold in a period which reflects the impact of both changes in unit sales of existing solutions as well as the introduction and sales of new solutions. Our solutions are typically characterized by a life cycle that begins with higher average selling prices and lower volumes, followed by broader market adoption, higher volumes and average selling prices that are lower than initial levels.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27" w:name="page28"/>
    <w:bookmarkEnd w:id="27"/>
    <w:p>
      <w:pPr>
        <w:ind w:right="100" w:firstLine="510"/>
        <w:spacing w:after="0" w:line="261" w:lineRule="auto"/>
        <w:rPr>
          <w:sz w:val="20"/>
          <w:szCs w:val="20"/>
          <w:color w:val="auto"/>
        </w:rPr>
      </w:pPr>
      <w:r>
        <w:rPr>
          <w:rFonts w:ascii="Times New Roman" w:cs="Times New Roman" w:eastAsia="Times New Roman" w:hAnsi="Times New Roman"/>
          <w:sz w:val="18"/>
          <w:szCs w:val="18"/>
          <w:color w:val="auto"/>
        </w:rPr>
        <w:t>The end markets into which we sell our products have seen significant changes as consumer preferences have evolved in response to new technologies. As a result, the composition and timing of our revenue may differ meaningfully during periods of technology or consumer preference changes. We expect shifts in consumer use of video capture to continue to change over time, as AI and CV specialized use cases emerge and video capture continues to proliferate.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21" w:lineRule="exact"/>
        <w:rPr>
          <w:sz w:val="20"/>
          <w:szCs w:val="20"/>
          <w:color w:val="auto"/>
        </w:rPr>
      </w:pPr>
    </w:p>
    <w:p>
      <w:pPr>
        <w:ind w:right="240" w:firstLine="510"/>
        <w:spacing w:after="0" w:line="266" w:lineRule="auto"/>
        <w:rPr>
          <w:sz w:val="20"/>
          <w:szCs w:val="20"/>
          <w:color w:val="auto"/>
        </w:rPr>
      </w:pPr>
      <w:r>
        <w:rPr>
          <w:rFonts w:ascii="Times New Roman" w:cs="Times New Roman" w:eastAsia="Times New Roman" w:hAnsi="Times New Roman"/>
          <w:sz w:val="18"/>
          <w:szCs w:val="18"/>
          <w:color w:val="auto"/>
        </w:rPr>
        <w:t>Cost of revenue includes the cost of materials such as wafers processed by third-party foundries, costs associated with packaging, assembly and testing, and our manufacturing support operations, such as logistics, planning and quality assurance. Cost of revenue also includes indirect costs, such as warranty, inventory valuation reserves and other general overhead costs.</w:t>
      </w:r>
    </w:p>
    <w:p>
      <w:pPr>
        <w:spacing w:after="0" w:line="176" w:lineRule="exact"/>
        <w:rPr>
          <w:sz w:val="20"/>
          <w:szCs w:val="20"/>
          <w:color w:val="auto"/>
        </w:rPr>
      </w:pPr>
    </w:p>
    <w:p>
      <w:pPr>
        <w:ind w:right="40" w:firstLine="510"/>
        <w:spacing w:after="0" w:line="256" w:lineRule="auto"/>
        <w:rPr>
          <w:sz w:val="20"/>
          <w:szCs w:val="20"/>
          <w:color w:val="auto"/>
        </w:rPr>
      </w:pPr>
      <w:r>
        <w:rPr>
          <w:rFonts w:ascii="Times New Roman" w:cs="Times New Roman" w:eastAsia="Times New Roman" w:hAnsi="Times New Roman"/>
          <w:sz w:val="18"/>
          <w:szCs w:val="18"/>
          <w:color w:val="auto"/>
        </w:rPr>
        <w:t>We expect that our gross margin may fluctuate from period to period as a result of changes in customer mix, average selling price, product mix and the introduction of new products by us or our competitors. In general, solutions incorporated into more complex configurations, such as those used in high-performance cameras, and in future advanced automotive OEM applications, have had or are expected to have higher prices and higher gross margins, as compared to solutions sold into the lower-performance, more competitive camera applications. As semiconductor products mature and unit volumes sold to customers increase, their average selling prices typically decline. These declines may be paired with improvements in manufacturing yields and lower wafer, packaging and test costs, which offset some of the margin reduction that could result from lower selling prices.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including salaries, stock-based compensation and employee benefits. The expense also includes costs of development incurred in connection with our collaborations with our foundry vendors, costs of licensing intellectual property from third parties for product development, costs of development for software and hardware tools, cost of fabrication of mask sets for prototype products, and allocated depreciation and facility expenses, net of any research and development grants. All research and development costs are expensed as incurred. We expect our research and development expense to increase in absolute dollars as we continue to enhance and expand our product features and offerings and increase headcount for new SoC development and development of computer vision technology, especially for the OEM automotive market.</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consists primarily of personnel costs, including salaries, stock-based compensation and employee benefits for our sales, marketing, finance, human resources, information technology and administrative personnel. The expense also includes professional service costs related to accounting, tax, legal services, and allocated depreciation and facility expenses. We expect our selling, general and administrative expense to increase in absolute dollars as we continue to maintain the infrastructure and expand the size of our sales and marketing organization to support our business strategy of addressing new opportunities with our computer vision technology.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primarily of interest and other income from debt security investments and cash deposits with financial institutions.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21" w:lineRule="exact"/>
        <w:rPr>
          <w:sz w:val="20"/>
          <w:szCs w:val="20"/>
          <w:color w:val="auto"/>
        </w:rPr>
      </w:pPr>
    </w:p>
    <w:p>
      <w:pPr>
        <w:ind w:right="140" w:firstLine="478"/>
        <w:spacing w:after="0" w:line="254" w:lineRule="auto"/>
        <w:rPr>
          <w:sz w:val="20"/>
          <w:szCs w:val="20"/>
          <w:color w:val="auto"/>
        </w:rPr>
      </w:pPr>
      <w:r>
        <w:rPr>
          <w:rFonts w:ascii="Times New Roman" w:cs="Times New Roman" w:eastAsia="Times New Roman" w:hAnsi="Times New Roman"/>
          <w:sz w:val="18"/>
          <w:szCs w:val="18"/>
          <w:color w:val="auto"/>
        </w:rPr>
        <w:t>We are incorporated and domiciled in the Cayman Islands and also conduct business in several countries such as the United States, China, Taiwan, Hong Kong, Italy, South Korea and Japan, and we are subject to taxation in those jurisdictions. Our worldwide operating income is subject to varying tax rates, and our effective tax rate is highly dependent upon the geographic distribution of our earnings or losses and the tax laws and regulations in each geographical region. It is also subject to fluctuation from changes in the valuation of our deferred tax assets and liabilities; tax benefits from excess stock-based compensation deductions; transfer pricing adjustments and the tax effects of nondeductible compensation. We have historically had lower effective tax rates as a substantial percentage of our operations are conducted in lower-tax jurisdictions. If our operational structure was to change in such a manner that would increase the amount of operating income subject to taxation in higher-tax jurisdictions, or if we were to commence operations in jurisdictions assessing relatively higher tax rates, our effective tax rate could fluctuate significantly on a quarterly basis and/or be adversely affected.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provision for income taxes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uncertain tax position reserves and changes to reserves that are considered appropriate, as well as the related net interest and penalties.</w:t>
      </w:r>
    </w:p>
    <w:p>
      <w:pPr>
        <w:spacing w:after="0" w:line="79"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Significant judgment is also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July 31, 2020 and 2019</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80" w:type="dxa"/>
            <w:vAlign w:val="bottom"/>
          </w:tcPr>
          <w:p>
            <w:pPr>
              <w:spacing w:after="0"/>
              <w:rPr>
                <w:sz w:val="13"/>
                <w:szCs w:val="13"/>
                <w:color w:val="auto"/>
              </w:rPr>
            </w:pP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488"/>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4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50,113</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56,410</w:t>
            </w:r>
          </w:p>
        </w:tc>
        <w:tc>
          <w:tcPr>
            <w:tcW w:w="140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8"/>
                <w:szCs w:val="18"/>
                <w:color w:val="auto"/>
              </w:rPr>
              <w:t>$   (6,297)</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  104,758</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103,598</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1,160</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decreased revenue for the three months ended July 31, 2020, as compared to the same period in the prior fiscal year, was primarily attributable to lower revenue from the sports camera, professional IP security camera, and automotive markets. In the sports camera market, incorporation of our solutions into newly launched sports camera products from Dajiang Innovation Technology Inc., or DJI, resulted in a ramp of SoC shipments in the second quarter of fiscal year 2020 that did not recur in the current fiscal period. In the professional IP security camera market, despite continued growth in the North America and Asia regions, lower demand from our two largest China customers caused by higher inventory build-up in fiscal year 2020 and escalated trade tensions between the United States and China, together with less demand from the Europe region, resulted in a significant revenue decrease in this market. The decreased revenue in the automotive markets was primarily due to an overall slowdown in the automotive industry. The lower revenue was partially offset by increased revenue in the consumer IP security camera and other consumer markets, including drone and wearable camera markets. In the consumer IP security camera market, revenue growth was led by the home security and monitoring market in the North America region. For the six months ended July 31, 2020, increased revenue was primarily attributable to higher revenue in the consumer IP security camera and drone markets, partially offset by decreased revenue in the sports camera and professional IP security camera markets. While revenue was relatively flat for the six months ended July 31, 2020 compared to the same period in the prior fiscal year, we experienced continued demand for our new CV-based solutions in the professional IP security camera market and made initial shipments of our CV-based solutions into the consumer IP security camera and automotive markets in fiscal year 2021.</w:t>
      </w:r>
    </w:p>
    <w:p>
      <w:pPr>
        <w:spacing w:after="0" w:line="30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304"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60" w:type="dxa"/>
            <w:vAlign w:val="bottom"/>
          </w:tcPr>
          <w:p>
            <w:pPr>
              <w:spacing w:after="0"/>
              <w:rPr>
                <w:sz w:val="15"/>
                <w:szCs w:val="15"/>
                <w:color w:val="auto"/>
              </w:rPr>
            </w:pP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60" w:type="dxa"/>
            <w:vAlign w:val="bottom"/>
          </w:tcPr>
          <w:p>
            <w:pPr>
              <w:spacing w:after="0"/>
              <w:rPr>
                <w:sz w:val="15"/>
                <w:szCs w:val="15"/>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56"/>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4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86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r>
      <w:tr>
        <w:trPr>
          <w:trHeight w:val="155"/>
        </w:trPr>
        <w:tc>
          <w:tcPr>
            <w:tcW w:w="1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900" w:type="dxa"/>
            <w:vAlign w:val="bottom"/>
            <w:gridSpan w:val="5"/>
          </w:tcPr>
          <w:p>
            <w:pPr>
              <w:jc w:val="right"/>
              <w:ind w:right="417"/>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229"/>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  19,155</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23,973</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2"/>
              <w:spacing w:after="0"/>
              <w:rPr>
                <w:sz w:val="20"/>
                <w:szCs w:val="20"/>
                <w:color w:val="auto"/>
              </w:rPr>
            </w:pPr>
            <w:r>
              <w:rPr>
                <w:rFonts w:ascii="Times New Roman" w:cs="Times New Roman" w:eastAsia="Times New Roman" w:hAnsi="Times New Roman"/>
                <w:sz w:val="18"/>
                <w:szCs w:val="18"/>
                <w:color w:val="auto"/>
              </w:rPr>
              <w:t>$   (4,818)</w:t>
            </w: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8"/>
                <w:szCs w:val="18"/>
                <w:color w:val="auto"/>
              </w:rPr>
              <w:t>41,780</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43,308</w:t>
            </w:r>
          </w:p>
        </w:tc>
        <w:tc>
          <w:tcPr>
            <w:tcW w:w="2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   (1,528)</w:t>
            </w: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3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30,958</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w:t>
            </w:r>
          </w:p>
        </w:tc>
        <w:tc>
          <w:tcPr>
            <w:tcW w:w="220" w:type="dxa"/>
            <w:vAlign w:val="bottom"/>
          </w:tcPr>
          <w:p>
            <w:pPr>
              <w:spacing w:after="0"/>
              <w:rPr>
                <w:sz w:val="21"/>
                <w:szCs w:val="21"/>
                <w:color w:val="auto"/>
              </w:rPr>
            </w:pPr>
          </w:p>
        </w:tc>
        <w:tc>
          <w:tcPr>
            <w:tcW w:w="124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color w:val="auto"/>
              </w:rPr>
              <w:t>(1,479)</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62,978</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60,290</w:t>
            </w:r>
          </w:p>
        </w:tc>
        <w:tc>
          <w:tcPr>
            <w:tcW w:w="200" w:type="dxa"/>
            <w:vAlign w:val="bottom"/>
          </w:tcPr>
          <w:p>
            <w:pPr>
              <w:spacing w:after="0"/>
              <w:rPr>
                <w:sz w:val="21"/>
                <w:szCs w:val="21"/>
                <w:color w:val="auto"/>
              </w:rPr>
            </w:pPr>
          </w:p>
        </w:tc>
        <w:tc>
          <w:tcPr>
            <w:tcW w:w="1260" w:type="dxa"/>
            <w:vAlign w:val="bottom"/>
            <w:gridSpan w:val="2"/>
          </w:tcPr>
          <w:p>
            <w:pPr>
              <w:jc w:val="right"/>
              <w:ind w:right="322"/>
              <w:spacing w:after="0"/>
              <w:rPr>
                <w:sz w:val="20"/>
                <w:szCs w:val="20"/>
                <w:color w:val="auto"/>
              </w:rPr>
            </w:pPr>
            <w:r>
              <w:rPr>
                <w:rFonts w:ascii="Times New Roman" w:cs="Times New Roman" w:eastAsia="Times New Roman" w:hAnsi="Times New Roman"/>
                <w:sz w:val="18"/>
                <w:szCs w:val="18"/>
                <w:color w:val="auto"/>
              </w:rPr>
              <w:t>2,688</w:t>
            </w: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1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57.5%</w:t>
            </w:r>
          </w:p>
        </w:tc>
        <w:tc>
          <w:tcPr>
            <w:tcW w:w="6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58.2%</w:t>
            </w:r>
          </w:p>
        </w:tc>
        <w:tc>
          <w:tcPr>
            <w:tcW w:w="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r>
    </w:tbl>
    <w:p>
      <w:pPr>
        <w:spacing w:after="0" w:line="198" w:lineRule="exact"/>
        <w:rPr>
          <w:sz w:val="20"/>
          <w:szCs w:val="20"/>
          <w:color w:val="auto"/>
        </w:rPr>
      </w:pPr>
    </w:p>
    <w:p>
      <w:pPr>
        <w:jc w:val="both"/>
        <w:ind w:right="60" w:firstLine="510"/>
        <w:spacing w:after="0" w:line="261" w:lineRule="auto"/>
        <w:rPr>
          <w:sz w:val="20"/>
          <w:szCs w:val="20"/>
          <w:color w:val="auto"/>
        </w:rPr>
      </w:pPr>
      <w:r>
        <w:rPr>
          <w:rFonts w:ascii="Times New Roman" w:cs="Times New Roman" w:eastAsia="Times New Roman" w:hAnsi="Times New Roman"/>
          <w:sz w:val="18"/>
          <w:szCs w:val="18"/>
          <w:color w:val="auto"/>
        </w:rPr>
        <w:t>Cost of revenue decreased for the three months ended July 31, 2020, as compared to the same period in the prior fiscal year, primarily due to lower volumes of SoC shipments associated with decreased revenue. Cost of revenue decreased for the six months ended July 31, 2020, as compared to the same period in the prior fiscal year, primarily due to lower SoC shipments in the professional IP security camera market, partially offset by increased shipments in the consumer IP security camera and drone markets.</w:t>
      </w:r>
    </w:p>
    <w:p>
      <w:pPr>
        <w:spacing w:after="0" w:line="180"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Gross margin increased for the three and six months ended July 31, 2020, as compared to the same periods in the prior fiscal year, primarily due to gross margin improvement in the professional IP security camera market as a result of customer concentration shift from the China region to the North America and Asia regions other than China.</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304" w:lineRule="exact"/>
        <w:rPr>
          <w:sz w:val="20"/>
          <w:szCs w:val="20"/>
          <w:color w:val="auto"/>
        </w:rPr>
      </w:pPr>
    </w:p>
    <w:tbl>
      <w:tblPr>
        <w:tblLayout w:type="fixed"/>
        <w:tblInd w:w="40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55"/>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Borders>
              <w:bottom w:val="single" w:sz="8" w:color="auto"/>
            </w:tcBorders>
          </w:tcPr>
          <w:p>
            <w:pPr>
              <w:jc w:val="right"/>
              <w:ind w:right="30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4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tcBorders>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60" w:type="dxa"/>
            <w:vAlign w:val="bottom"/>
            <w:tcBorders>
              <w:bottom w:val="single" w:sz="8" w:color="auto"/>
            </w:tcBorders>
          </w:tcPr>
          <w:p>
            <w:pPr>
              <w:jc w:val="right"/>
              <w:ind w:right="23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r>
      <w:tr>
        <w:trPr>
          <w:trHeight w:val="156"/>
        </w:trPr>
        <w:tc>
          <w:tcPr>
            <w:tcW w:w="2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60" w:type="dxa"/>
            <w:vAlign w:val="bottom"/>
            <w:gridSpan w:val="4"/>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29"/>
        </w:trPr>
        <w:tc>
          <w:tcPr>
            <w:tcW w:w="2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32,802</w:t>
            </w:r>
          </w:p>
        </w:tc>
        <w:tc>
          <w:tcPr>
            <w:tcW w:w="2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30,420</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8"/>
                <w:szCs w:val="18"/>
                <w:color w:val="auto"/>
              </w:rPr>
              <w:t>2,382</w:t>
            </w: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   67,002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3,565</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bl>
    <w:p>
      <w:pPr>
        <w:spacing w:after="0" w:line="198"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Research and development expense increased for the three and six months ended July 31, 2020, as compared to the same periods in the prior fiscal year, primarily due to approximately $3.2 million of research and development grants from a foreign government in the second quarter of prior fiscal year that did not recur in the current fiscal year. The increased expenses were also attributable to increased employee benefit expense and SoC development cost, partially offset by decreased equipment expense, travel expense, consulting services and a foreign subsidy granted due to the COVID-19 pandemic. For the three and six months ended July 31, 2020, employee benefit expense increased by approximately $0.5 million and $0.5 million, respectively, as a result of issuance of stock and benefit programs. Our engineering headcount was flat at 561 at July 31, 2020 compared to 559 at July 31, 2019. SoC development cost increased by $0.9 million and $2.6 million for the three and six months ended July 31, 2020, respectively, due to project timing and number of chips in development. In the second quarter of fiscal year 2021, there was approximately $0.7 million of a foreign subsidy granted related to the COVID-19 pandemic. For the three and six months ended July 31, 2020, the equipment expense, travel expense and contractor services decreased by aggregate of $1.4 million and $2.1 million, respectively, caused by COVID-19 pandemic restrictions.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jc w:val="right"/>
              <w:ind w:right="742"/>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4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Borders>
              <w:top w:val="single" w:sz="8" w:color="auto"/>
              <w:bottom w:val="single" w:sz="8" w:color="auto"/>
            </w:tcBorders>
          </w:tcPr>
          <w:p>
            <w:pPr>
              <w:jc w:val="right"/>
              <w:ind w:right="18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102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6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tcBorders>
              <w:top w:val="single" w:sz="8" w:color="auto"/>
              <w:bottom w:val="single" w:sz="8" w:color="auto"/>
            </w:tcBorders>
          </w:tcPr>
          <w:p>
            <w:pPr>
              <w:jc w:val="right"/>
              <w:ind w:right="262"/>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92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0" w:type="dxa"/>
            <w:vAlign w:val="bottom"/>
            <w:gridSpan w:val="3"/>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administrative</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13,445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12,425</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2"/>
              <w:spacing w:after="0"/>
              <w:rPr>
                <w:sz w:val="20"/>
                <w:szCs w:val="20"/>
                <w:color w:val="auto"/>
              </w:rPr>
            </w:pPr>
            <w:r>
              <w:rPr>
                <w:rFonts w:ascii="Times New Roman" w:cs="Times New Roman" w:eastAsia="Times New Roman" w:hAnsi="Times New Roman"/>
                <w:sz w:val="18"/>
                <w:szCs w:val="18"/>
                <w:color w:val="auto"/>
              </w:rPr>
              <w:t>1,020</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92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8"/>
                <w:szCs w:val="18"/>
                <w:color w:val="auto"/>
              </w:rPr>
              <w:t>$   26,880</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25,502</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FF0FC"/>
          </w:tcPr>
          <w:p>
            <w:pPr>
              <w:jc w:val="right"/>
              <w:ind w:right="362"/>
              <w:spacing w:after="0"/>
              <w:rPr>
                <w:sz w:val="20"/>
                <w:szCs w:val="20"/>
                <w:color w:val="auto"/>
              </w:rPr>
            </w:pPr>
            <w:r>
              <w:rPr>
                <w:rFonts w:ascii="Times New Roman" w:cs="Times New Roman" w:eastAsia="Times New Roman" w:hAnsi="Times New Roman"/>
                <w:sz w:val="18"/>
                <w:szCs w:val="18"/>
                <w:color w:val="auto"/>
              </w:rPr>
              <w:t>1,378</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six months ended July 31, 2020, as compared to the same periods in the prior fiscal year, primarily due to increased employee benefit expense, as well as increased professional services and facility cost. For the three and six months ended July 31, 2020, employee benefit expense increased by approximately $0.3 million and $0.6 million, respectively, as a result of issuance of stock and benefit programs. Professional services and facility related cost increased by approximately $1.1 million and $1.4 million, respectively. The increases were partially offset by approximately $0.4 million and $0.7 million of less expenditures on travel and marketing activities for the three and six months ended July 31, 2020, respectively, caused by COVID-19 pandemic restrictions.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00" w:type="dxa"/>
            <w:vAlign w:val="bottom"/>
            <w:gridSpan w:val="4"/>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120" w:type="dxa"/>
            <w:vAlign w:val="bottom"/>
          </w:tcPr>
          <w:p>
            <w:pPr>
              <w:spacing w:after="0"/>
              <w:rPr>
                <w:sz w:val="13"/>
                <w:szCs w:val="13"/>
                <w:color w:val="auto"/>
              </w:rPr>
            </w:pPr>
          </w:p>
        </w:tc>
        <w:tc>
          <w:tcPr>
            <w:tcW w:w="110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120" w:type="dxa"/>
            <w:vAlign w:val="bottom"/>
          </w:tcPr>
          <w:p>
            <w:pPr>
              <w:spacing w:after="0"/>
              <w:rPr>
                <w:sz w:val="13"/>
                <w:szCs w:val="13"/>
                <w:color w:val="auto"/>
              </w:rPr>
            </w:pPr>
          </w:p>
        </w:tc>
        <w:tc>
          <w:tcPr>
            <w:tcW w:w="112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w w:val="91"/>
              </w:rPr>
              <w:t>31,</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6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8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50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0" w:type="dxa"/>
            <w:vAlign w:val="bottom"/>
            <w:gridSpan w:val="5"/>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ind w:right="262"/>
              <w:spacing w:after="0"/>
              <w:rPr>
                <w:sz w:val="20"/>
                <w:szCs w:val="20"/>
                <w:color w:val="auto"/>
              </w:rPr>
            </w:pPr>
            <w:r>
              <w:rPr>
                <w:rFonts w:ascii="Times New Roman" w:cs="Times New Roman" w:eastAsia="Times New Roman" w:hAnsi="Times New Roman"/>
                <w:sz w:val="18"/>
                <w:szCs w:val="18"/>
                <w:color w:val="auto"/>
              </w:rPr>
              <w:t>(915)</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(41.7)%</w:t>
            </w:r>
          </w:p>
        </w:tc>
        <w:tc>
          <w:tcPr>
            <w:tcW w:w="2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2,558</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282"/>
              <w:spacing w:after="0"/>
              <w:rPr>
                <w:sz w:val="20"/>
                <w:szCs w:val="20"/>
                <w:color w:val="auto"/>
              </w:rPr>
            </w:pPr>
            <w:r>
              <w:rPr>
                <w:rFonts w:ascii="Times New Roman" w:cs="Times New Roman" w:eastAsia="Times New Roman" w:hAnsi="Times New Roman"/>
                <w:sz w:val="18"/>
                <w:szCs w:val="18"/>
                <w:color w:val="auto"/>
              </w:rPr>
              <w:t>(1,833)</w:t>
            </w: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The decrease in other income, net, for the three and six months ended July 31, 2020, as compared to the same periods in the prior fiscal year, was primarily due to decreases of approximately $1.3 million and $1.8 million, respectively, in interest and other income from our deposits and debt security investments as a result of lower interest rates during the current fiscal year due to COVID-19 pandemic and a higher number of debt securities purchased at premium. The decrease was also attributable to an approximately $0.3 million of a foreign subsidy granted during the first half of fiscal year 2020 that did not recur in the current fiscal year. The decrease was partially offset by approximately $0.5 million and $0.4 million of net gains from foreign currency transactions and remeasurements for the three and six months ended July 31, 2020, respectively.</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1" w:right="379" w:bottom="1440" w:gutter="0" w:footer="0" w:header="0"/>
        </w:sectPr>
      </w:pPr>
    </w:p>
    <w:bookmarkStart w:id="30" w:name="page31"/>
    <w:bookmarkEnd w:id="30"/>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July</w:t>
            </w:r>
          </w:p>
        </w:tc>
        <w:tc>
          <w:tcPr>
            <w:tcW w:w="28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2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31,</w:t>
            </w:r>
          </w:p>
        </w:tc>
        <w:tc>
          <w:tcPr>
            <w:tcW w:w="6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Borders>
              <w:bottom w:val="single" w:sz="8" w:color="auto"/>
            </w:tcBorders>
            <w:vMerge w:val="continue"/>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6"/>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1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9"/>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6"/>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2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99"/>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720" w:type="dxa"/>
            <w:vAlign w:val="bottom"/>
            <w:tcBorders>
              <w:bottom w:val="single" w:sz="8" w:color="auto"/>
            </w:tcBorders>
          </w:tcPr>
          <w:p>
            <w:pPr>
              <w:jc w:val="right"/>
              <w:ind w:right="376"/>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1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40" w:type="dxa"/>
            <w:vAlign w:val="bottom"/>
            <w:gridSpan w:val="3"/>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w:t>
            </w: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28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  (1,231)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4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1,873</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rPr>
              <w:t>$  (1,371)</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r>
              <w:rPr>
                <w:rFonts w:ascii="Times New Roman" w:cs="Times New Roman" w:eastAsia="Times New Roman" w:hAnsi="Times New Roman"/>
                <w:sz w:val="19"/>
                <w:szCs w:val="19"/>
                <w:color w:val="auto"/>
              </w:rPr>
              <w:t>%</w:t>
            </w: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The quarterly income taxes reflect an estimate of the corresponding fiscal year’s annual effective tax rate and include, when applicable, adjustments from discrete tax items arising in that quarter.</w:t>
      </w:r>
    </w:p>
    <w:p>
      <w:pPr>
        <w:spacing w:after="0" w:line="162" w:lineRule="exact"/>
        <w:rPr>
          <w:sz w:val="20"/>
          <w:szCs w:val="20"/>
          <w:color w:val="auto"/>
        </w:rPr>
      </w:pPr>
    </w:p>
    <w:p>
      <w:pPr>
        <w:ind w:right="120" w:firstLine="510"/>
        <w:spacing w:after="0" w:line="266" w:lineRule="auto"/>
        <w:rPr>
          <w:sz w:val="20"/>
          <w:szCs w:val="20"/>
          <w:color w:val="auto"/>
        </w:rPr>
      </w:pPr>
      <w:r>
        <w:rPr>
          <w:rFonts w:ascii="Times New Roman" w:cs="Times New Roman" w:eastAsia="Times New Roman" w:hAnsi="Times New Roman"/>
          <w:sz w:val="18"/>
          <w:szCs w:val="18"/>
          <w:color w:val="auto"/>
        </w:rPr>
        <w:t>The decrease in income tax expense for the three and six months ended July 31, 2020, as compared to the same periods in the prior fiscal year, was primarily due to a decrease in the proportion of profits generated in higher tax jurisdictions, as well as an increase in the U.S. federal research tax credit, partially offset by an increase in non-deductible stock-based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As of July 31, 2020 and January 31, 2020, we had cash, cash equivalents and marketable debt securities of approximately $410.7 million and $404.7 million, respectively. We invest in highly liquid, short-term marketable debt securities and hold these investments as available-for-sale securities. As of July 31, 2020, these securities had a fair value of approximately $214.0 million with immaterial unrealized losses caused by market fluctuations.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30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r>
      <w:tr>
        <w:trPr>
          <w:trHeight w:val="155"/>
        </w:trPr>
        <w:tc>
          <w:tcPr>
            <w:tcW w:w="49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8"/>
              <w:spacing w:after="0" w:line="155" w:lineRule="exact"/>
              <w:rPr>
                <w:sz w:val="20"/>
                <w:szCs w:val="20"/>
                <w:color w:val="auto"/>
              </w:rPr>
            </w:pPr>
            <w:r>
              <w:rPr>
                <w:rFonts w:ascii="Times New Roman" w:cs="Times New Roman" w:eastAsia="Times New Roman" w:hAnsi="Times New Roman"/>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4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54"/>
              <w:spacing w:after="0" w:line="155" w:lineRule="exact"/>
              <w:rPr>
                <w:sz w:val="20"/>
                <w:szCs w:val="20"/>
                <w:color w:val="auto"/>
              </w:rPr>
            </w:pPr>
            <w:r>
              <w:rPr>
                <w:rFonts w:ascii="Times New Roman" w:cs="Times New Roman" w:eastAsia="Times New Roman" w:hAnsi="Times New Roman"/>
                <w:sz w:val="14"/>
                <w:szCs w:val="14"/>
                <w:b w:val="1"/>
                <w:bCs w:val="1"/>
                <w:color w:val="auto"/>
              </w:rPr>
              <w:t>2019</w:t>
            </w:r>
          </w:p>
        </w:tc>
        <w:tc>
          <w:tcPr>
            <w:tcW w:w="80" w:type="dxa"/>
            <w:vAlign w:val="bottom"/>
          </w:tcPr>
          <w:p>
            <w:pPr>
              <w:spacing w:after="0"/>
              <w:rPr>
                <w:sz w:val="13"/>
                <w:szCs w:val="13"/>
                <w:color w:val="auto"/>
              </w:rPr>
            </w:pPr>
          </w:p>
        </w:tc>
      </w:tr>
      <w:tr>
        <w:trPr>
          <w:trHeight w:val="156"/>
        </w:trPr>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3"/>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5,222</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80" w:type="dxa"/>
            <w:vAlign w:val="bottom"/>
            <w:shd w:val="clear" w:color="auto" w:fill="CFF0FC"/>
          </w:tcPr>
          <w:p>
            <w:pPr>
              <w:spacing w:after="0"/>
              <w:rPr>
                <w:sz w:val="19"/>
                <w:szCs w:val="19"/>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0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(16,555)</w:t>
            </w: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11,871</w:t>
            </w:r>
          </w:p>
        </w:tc>
        <w:tc>
          <w:tcPr>
            <w:tcW w:w="80" w:type="dxa"/>
            <w:vAlign w:val="bottom"/>
          </w:tcPr>
          <w:p>
            <w:pPr>
              <w:spacing w:after="0"/>
              <w:rPr>
                <w:sz w:val="19"/>
                <w:szCs w:val="19"/>
                <w:color w:val="auto"/>
              </w:rPr>
            </w:pPr>
          </w:p>
        </w:tc>
      </w:tr>
      <w:tr>
        <w:trPr>
          <w:trHeight w:val="23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80" w:type="dxa"/>
            <w:vAlign w:val="bottom"/>
            <w:shd w:val="clear" w:color="auto" w:fill="CFF0FC"/>
          </w:tcPr>
          <w:p>
            <w:pPr>
              <w:spacing w:after="0"/>
              <w:rPr>
                <w:sz w:val="19"/>
                <w:szCs w:val="19"/>
                <w:color w:val="auto"/>
              </w:rPr>
            </w:pPr>
          </w:p>
        </w:tc>
      </w:tr>
      <w:tr>
        <w:trPr>
          <w:trHeight w:val="205"/>
        </w:trPr>
        <w:tc>
          <w:tcPr>
            <w:tcW w:w="490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(10,755)</w:t>
            </w:r>
          </w:p>
        </w:tc>
        <w:tc>
          <w:tcPr>
            <w:tcW w:w="420" w:type="dxa"/>
            <w:vAlign w:val="bottom"/>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28,644</w:t>
            </w:r>
          </w:p>
        </w:tc>
        <w:tc>
          <w:tcPr>
            <w:tcW w:w="80" w:type="dxa"/>
            <w:vAlign w:val="bottom"/>
          </w:tcPr>
          <w:p>
            <w:pPr>
              <w:spacing w:after="0"/>
              <w:rPr>
                <w:sz w:val="20"/>
                <w:szCs w:val="20"/>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119" w:lineRule="exact"/>
        <w:rPr>
          <w:sz w:val="20"/>
          <w:szCs w:val="20"/>
          <w:color w:val="auto"/>
        </w:rPr>
      </w:pPr>
    </w:p>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decreased for the six months ended July 31, 2020, as compared to the same period in the prior fiscal year, primarily due to increased net loss adjusted by non-cash expenses, decreased cash receipts associated with the timing of payments from customers, decreased liabilities associated with the timing of payments to suppliers and increased inventory purchases. The decreased cash flows from operating activities were partially offset by decreased cash payments for other operating asset purchases.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(Used in) Investing Activities</w:t>
      </w:r>
    </w:p>
    <w:p>
      <w:pPr>
        <w:spacing w:after="0" w:line="119" w:lineRule="exact"/>
        <w:rPr>
          <w:sz w:val="20"/>
          <w:szCs w:val="20"/>
          <w:color w:val="auto"/>
        </w:rPr>
      </w:pPr>
    </w:p>
    <w:p>
      <w:pPr>
        <w:ind w:firstLine="51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increased for the six months ended July 31, 2020, as compared to the same period in the prior fiscal year, primarily due to approximately $18.0 million of additional investments in debt securities, as well as approximately $10.7 million less cash receipts from the sale and maturity of debt securities. The increase was partially offset by approximately $0.3 million of less expenditure on capital asset purchases.</w:t>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19" w:lineRule="exact"/>
        <w:rPr>
          <w:sz w:val="20"/>
          <w:szCs w:val="20"/>
          <w:color w:val="auto"/>
        </w:rPr>
      </w:pPr>
    </w:p>
    <w:p>
      <w:pPr>
        <w:jc w:val="both"/>
        <w:ind w:right="120" w:firstLine="51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decreased for the six months ended July 31, 2020, as compared to the same period in the prior fiscal year, primarily due to approximately $1.6 million of less cash proceeds from option exercises and employee stock purchase withholdings, $1.0 million of cash used for the repurchasing of our ordinary shares under the stock repurchase program, as well as an additional $0.2 million of payment for intangible asset purchases.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19" w:lineRule="exact"/>
        <w:rPr>
          <w:sz w:val="20"/>
          <w:szCs w:val="20"/>
          <w:color w:val="auto"/>
        </w:rPr>
      </w:pPr>
    </w:p>
    <w:p>
      <w:pPr>
        <w:ind w:right="180" w:firstLine="510"/>
        <w:spacing w:after="0" w:line="256" w:lineRule="auto"/>
        <w:rPr>
          <w:sz w:val="20"/>
          <w:szCs w:val="20"/>
          <w:color w:val="auto"/>
        </w:rPr>
      </w:pPr>
      <w:r>
        <w:rPr>
          <w:rFonts w:ascii="Times New Roman" w:cs="Times New Roman" w:eastAsia="Times New Roman" w:hAnsi="Times New Roman"/>
          <w:sz w:val="18"/>
          <w:szCs w:val="18"/>
          <w:color w:val="auto"/>
        </w:rPr>
        <w:t>Since the inception of the stock repurchase programs in June 2016, a total of $275.0 million has been authorized for repurchase, and to date, we have repurchased a total of 4,011,595 shares for approximately $175.8 million in cash under the programs. As of July 31, 2020, $49.0 million remained available for repurchases under the current repurchase program through June 30, 2021. Repurchases under the program may be made from time-to-time through open market purchases, 10b5-1 plans or privately negotiated transactions subject to market conditions, applicable legal requirements and other relevant factors. The repurchase program does not obligate us to acquire any particular amount of ordinary shares, and it may be suspended at any time at the company's discretion. Repurchases are funded using working capital and any repurchased shares are recorded as authorized but unissued shares.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and Capital Expenditure Requirements</w:t>
      </w:r>
    </w:p>
    <w:p>
      <w:pPr>
        <w:spacing w:after="0" w:line="119"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As of July 31, 2020, we had cash, cash equivalents and marketable debt securities of approximately $410.7 million. We believe that our existing cash balances will be sufficient to meet our anticipated cash requirements through at least the next 12 months. In the future, we expect our operating and capital expenditures to increase as we increase headcount, expand our business activities, and implement and enhance our information technology platforms. As we expand our operations, we may require more working capital. If our available cash balances are insufficient to satisfy our future liquidity requirements, we may seek to sell equity or convertible debt securities or borrow funds commercially. The sale of equity and convertible debt securities may result in dilution to our shareholders, and those securities may have rights senior to those of our ordinary shares. If we raise additional funds through the issuance of convertible debt securities, these securities could contain covenants that would restrict our operations. We may require additional capital beyond our currently anticipated amounts. Additional capital may not be available to us on reasonable terms, or at all.</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short- term and long-term capital requirements will depend on many factors, including the following:</w:t>
      </w:r>
    </w:p>
    <w:p>
      <w:pPr>
        <w:spacing w:after="0" w:line="117" w:lineRule="exact"/>
        <w:rPr>
          <w:sz w:val="20"/>
          <w:szCs w:val="20"/>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from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our costs;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our research and development of new technologies and products to address new markets and applications;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magnitude and duration of COVID-19 impact;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emergence of competing or complementary technologies or products;</w:t>
      </w:r>
    </w:p>
    <w:p>
      <w:pPr>
        <w:spacing w:after="0" w:line="117" w:lineRule="exact"/>
        <w:rPr>
          <w:rFonts w:ascii="Times New Roman" w:cs="Times New Roman" w:eastAsia="Times New Roman" w:hAnsi="Times New Roman"/>
          <w:sz w:val="18"/>
          <w:szCs w:val="18"/>
          <w:color w:val="auto"/>
        </w:rPr>
      </w:pPr>
    </w:p>
    <w:p>
      <w:pPr>
        <w:ind w:left="1520" w:right="380" w:hanging="500"/>
        <w:spacing w:after="0" w:line="282" w:lineRule="auto"/>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filing, prosecuting, defending and enforcing any patent claims and other intellectual property rights or participating in litigation-related activities;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acquisition of complementary businesses, products and technologies.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Manufacturing Purchase Obligations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July 31, 2020, we had purchase obligations with our independent contract manufacturers of $24.4 million.</w:t>
      </w:r>
    </w:p>
    <w:p>
      <w:pPr>
        <w:spacing w:after="0" w:line="225" w:lineRule="exact"/>
        <w:rPr>
          <w:sz w:val="20"/>
          <w:szCs w:val="20"/>
          <w:color w:val="auto"/>
        </w:rPr>
      </w:pPr>
    </w:p>
    <w:p>
      <w:pPr>
        <w:jc w:val="both"/>
        <w:ind w:firstLine="510"/>
        <w:spacing w:after="0" w:line="261" w:lineRule="auto"/>
        <w:rPr>
          <w:sz w:val="20"/>
          <w:szCs w:val="20"/>
          <w:color w:val="auto"/>
        </w:rPr>
      </w:pPr>
      <w:r>
        <w:rPr>
          <w:rFonts w:ascii="Times New Roman" w:cs="Times New Roman" w:eastAsia="Times New Roman" w:hAnsi="Times New Roman"/>
          <w:sz w:val="18"/>
          <w:szCs w:val="18"/>
          <w:color w:val="auto"/>
        </w:rPr>
        <w:t>Except as described above with respect to the manufacturing purchase obligations, there were no other material changes in our contractual obligations, commitments and contingencies from those disclosed in our Annual Report on Form 10-K for the fiscal year ended January 31, 2020. Please see Item 7, “Management’s Discussion and Analysis of Financial Condition and Results of Operations – Contractual Obligations, Commitments and Contingencies” in our Annual Report on Form 10-K for the fiscal year ended January 31, 2020 for a description of our contractual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300" w:firstLine="510"/>
        <w:spacing w:after="0" w:line="282" w:lineRule="auto"/>
        <w:rPr>
          <w:sz w:val="20"/>
          <w:szCs w:val="20"/>
          <w:color w:val="auto"/>
        </w:rPr>
      </w:pPr>
      <w:r>
        <w:rPr>
          <w:rFonts w:ascii="Times New Roman" w:cs="Times New Roman" w:eastAsia="Times New Roman" w:hAnsi="Times New Roman"/>
          <w:sz w:val="18"/>
          <w:szCs w:val="18"/>
          <w:color w:val="auto"/>
        </w:rPr>
        <w:t>As of July 31, 2020, we did not engage in any off-balance sheet arrangements, including the use of structured finance, special purpose entities or variable interest entities.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Authoritative Accounting Guidance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Note 1 of Notes to Condensed Consolidated Financial Statements for information regarding recently issued accounting pronouncements.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Management Estimates</w:t>
      </w:r>
    </w:p>
    <w:p>
      <w:pPr>
        <w:spacing w:after="0" w:line="121" w:lineRule="exact"/>
        <w:rPr>
          <w:sz w:val="20"/>
          <w:szCs w:val="20"/>
          <w:color w:val="auto"/>
        </w:rPr>
      </w:pPr>
    </w:p>
    <w:p>
      <w:pPr>
        <w:ind w:firstLine="578"/>
        <w:spacing w:after="0" w:line="289"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as compared to the critical accounting policies and estimates described in our Annual Report on Form 10-K for the 2020 fiscal year filed with the SEC on March 27, 2020, except for the recently adopted accounting guidance on measurement of credit losses on financial instruments as discussed in Notes 1 and 2 of Notes to Condensed Consolidated Financial Statements.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510"/>
        <w:spacing w:after="0" w:line="261" w:lineRule="auto"/>
        <w:rPr>
          <w:sz w:val="20"/>
          <w:szCs w:val="20"/>
          <w:color w:val="auto"/>
        </w:rPr>
      </w:pPr>
      <w:r>
        <w:rPr>
          <w:rFonts w:ascii="Times New Roman" w:cs="Times New Roman" w:eastAsia="Times New Roman" w:hAnsi="Times New Roman"/>
          <w:sz w:val="18"/>
          <w:szCs w:val="18"/>
          <w:color w:val="auto"/>
        </w:rPr>
        <w:t>As of July 31, 2020 and January 31, 2020, we had cash, cash equivalents and marketable debt securities totaling $410.7 million and $404.7 million, respectively. Our cash is deposited in checking accounts with reputable financial institutions. The cash equivalents and marketable debt securities consist primarily of investments in money market funds, asset-backed securities, commercial paper, U.S. government securities, and debt securities of corporations. Our cash is held for working capital purposes. We do not enter into investments for trading or speculative purposes.</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Rate Fluctuation Risk</w:t>
      </w:r>
    </w:p>
    <w:p>
      <w:pPr>
        <w:spacing w:after="0" w:line="119" w:lineRule="exact"/>
        <w:rPr>
          <w:sz w:val="20"/>
          <w:szCs w:val="20"/>
          <w:color w:val="auto"/>
        </w:rPr>
      </w:pPr>
    </w:p>
    <w:p>
      <w:pPr>
        <w:ind w:right="140" w:firstLine="510"/>
        <w:spacing w:after="0" w:line="256" w:lineRule="auto"/>
        <w:rPr>
          <w:sz w:val="20"/>
          <w:szCs w:val="20"/>
          <w:color w:val="auto"/>
        </w:rPr>
      </w:pPr>
      <w:r>
        <w:rPr>
          <w:rFonts w:ascii="Times New Roman" w:cs="Times New Roman" w:eastAsia="Times New Roman" w:hAnsi="Times New Roman"/>
          <w:sz w:val="18"/>
          <w:szCs w:val="18"/>
          <w:color w:val="auto"/>
        </w:rPr>
        <w:t xml:space="preserve">The primary objectives of our investment activities are to preserve capital, provide liquidity and maximize income without significantly increasing risk. Some of the securities we invest in are subject to market risk. This means that a change in prevailing interest rates may </w:t>
      </w:r>
      <w:r>
        <w:rPr>
          <w:rFonts w:ascii="Times New Roman" w:cs="Times New Roman" w:eastAsia="Times New Roman" w:hAnsi="Times New Roman"/>
          <w:sz w:val="18"/>
          <w:szCs w:val="18"/>
          <w:color w:val="212529"/>
        </w:rPr>
        <w:t>affect the interest income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our cash, cash equivalents and marketable debt securities, and the market value of those securities</w:t>
      </w:r>
      <w:r>
        <w:rPr>
          <w:rFonts w:ascii="Times New Roman" w:cs="Times New Roman" w:eastAsia="Times New Roman" w:hAnsi="Times New Roman"/>
          <w:sz w:val="18"/>
          <w:szCs w:val="18"/>
          <w:color w:val="000000"/>
        </w:rPr>
        <w:t>. To minimize this risk, we maintain our portfolio in a</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variety of debt securities with high liquidity and low credit risk. We do not enter into investments for trading or speculative purposes. A 10% change in interest rates will not have a material impact on our future interest income or investment fair value. The liquidity risk and the risk associated with fluctuating interest rates are limited to our investment portfolio.</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19" w:lineRule="exact"/>
        <w:rPr>
          <w:sz w:val="20"/>
          <w:szCs w:val="20"/>
          <w:color w:val="auto"/>
        </w:rPr>
      </w:pPr>
    </w:p>
    <w:p>
      <w:pPr>
        <w:ind w:right="180" w:firstLine="510"/>
        <w:spacing w:after="0" w:line="255" w:lineRule="auto"/>
        <w:rPr>
          <w:sz w:val="20"/>
          <w:szCs w:val="20"/>
          <w:color w:val="auto"/>
        </w:rPr>
      </w:pPr>
      <w:r>
        <w:rPr>
          <w:rFonts w:ascii="Times New Roman" w:cs="Times New Roman" w:eastAsia="Times New Roman" w:hAnsi="Times New Roman"/>
          <w:sz w:val="18"/>
          <w:szCs w:val="18"/>
          <w:color w:val="auto"/>
        </w:rPr>
        <w:t>To date, all of our product sales and inventory purchases have been denominated in U.S. dollars. We therefore have not had any foreign currency risk associated with these two activities. The functional currency of all of our entities is the U.S. dollar. Our operations outside of the United States incur operating expenses and hold assets and liabilities denominated in foreign currencies, principally the New Taiwan Dollar and the Chinese Yuan Renminbi. Our results of operations and cash flows are subject to fluctuations due to changes in foreign currency exchange rates, particularly with respect to a strengthening of the U.S. dollar. As we grow our operations, our exposure to foreign currency risk could become more significant. To date, we have not entered into any foreign currency exchange contracts and currently do not expect to enter into foreign currency exchange contracts for trading or speculative purposes.</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The term “disclosure controls and procedures” (as defined in Rules 13a- 15(e) and 15d- 15(e))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94"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Based upon such evaluation, our Chief Executive Officer and Chief Financial Officer have concluded that, as of July 31, 2020, our disclosure controls and procedures were effective at the reasonable assurance level.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80" w:firstLine="51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Company’s fiscal quarter ended July 31, 2020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Disclosure Controls and Internal Control over Financial Reporting</w:t>
      </w:r>
    </w:p>
    <w:p>
      <w:pPr>
        <w:spacing w:after="0" w:line="121"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Because of their inherent limitations, our disclosure controls and procedures and our internal control over financial reporting may not prevent material errors or fraud. A control system, no matter how well conceived and operated, can provide only reasonable, not absolute, assurance that the objectives of the control system are met. The effectiveness of our disclosure controls and procedures and our internal control over financial reporting is subject to risks, including that the controls may become inadequate because of changes in conditions or that the degree of compliance with our policies or procedures may deteriorate.</w:t>
      </w: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engaged in any material legal proceedings at this time.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60" w:firstLine="510"/>
        <w:spacing w:after="0" w:line="257" w:lineRule="auto"/>
        <w:rPr>
          <w:sz w:val="20"/>
          <w:szCs w:val="20"/>
          <w:color w:val="auto"/>
        </w:rPr>
      </w:pPr>
      <w:r>
        <w:rPr>
          <w:rFonts w:ascii="Times New Roman" w:cs="Times New Roman" w:eastAsia="Times New Roman" w:hAnsi="Times New Roman"/>
          <w:sz w:val="18"/>
          <w:szCs w:val="18"/>
          <w:i w:val="1"/>
          <w:iCs w:val="1"/>
          <w:color w:val="auto"/>
        </w:rPr>
        <w:t>Certain factors may have a material adverse effect on our business, financial condition and results of operations.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actually occurs, our business, financial condition, results of operations, and future prospects could be materially and adversely affected. In that event, the trading price of our ordinary shares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Our Industry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COVID-19 pandemic could adversely affect our business in a material way.</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The global COVID-19 pandemic has significantly affected the populations of the United States, Italy, China and many other countries. The outbreak has resulted in significant governmental measures being implemented to control the spread of COVID-19, including, among others, shelter in place orders and restrictions on travel, manufacturing and the movement of employees in many regions of the world, as well as responsive measures from businesses. As a result, we have had to impose remote or work from home conditions in many of our offices, including the United States, Italy, Japan and South Korea. The majority of our SoCs are manufactured in South Korea and assembled and tested by third parties in Taiwan. In addition, certain of our logistics and shipping operations are in Taiwan and Hong Kong. If any of our third-party manufacturing, assembly and testing partners or our logistics and shipping operations are unable to operate efficiently or at all due to responsive measures to COVID-19, we may experience delays in our supply chain and be unable to meet our customers’ expectations and requirements. If remote or work from home conditions in any of our offices continue for an extended period of time, we may experience delays in product development, a decreased ability to support our customers, reduced design win activity, and overall lack of productivity. Similarly, our customers and potential customers may also experience delays in the development of their products, reduced sales activity, decreased ability to support their customers, closures of their manufacturing facilities or inability to obtain other components, as a result of measures implemented to control the spread of COVID-19. COVID-19 has negatively impacted the overall global economy and, as a result of, may negatively impact demand for our customers’ products and, in turn, impact demand for our solutions. If COVID-19 continues to progress in ways that further disrupt the manufacture, shipment and buying patterns of our products or the products of our customers, or further deteriorates the global economy, it may materially negatively impact our operating results for the second half of fiscal 2021 and subsequent periods, including revenue, gross margins, operating margins, cash flows and other operating results and our overall business.</w:t>
      </w:r>
    </w:p>
    <w:p>
      <w:pPr>
        <w:spacing w:after="0" w:line="191" w:lineRule="exact"/>
        <w:rPr>
          <w:sz w:val="20"/>
          <w:szCs w:val="20"/>
          <w:color w:val="auto"/>
        </w:rPr>
      </w:pPr>
    </w:p>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design our solutions into their product offerings, or if our customers’ product offerings are not commercially successful, our business would suffer.</w:t>
      </w:r>
    </w:p>
    <w:p>
      <w:pPr>
        <w:spacing w:after="0" w:line="37" w:lineRule="exact"/>
        <w:rPr>
          <w:sz w:val="20"/>
          <w:szCs w:val="20"/>
          <w:color w:val="auto"/>
        </w:rPr>
      </w:pPr>
    </w:p>
    <w:p>
      <w:pPr>
        <w:ind w:right="40" w:firstLine="510"/>
        <w:spacing w:after="0" w:line="223" w:lineRule="auto"/>
        <w:rPr>
          <w:sz w:val="20"/>
          <w:szCs w:val="20"/>
          <w:color w:val="auto"/>
        </w:rPr>
      </w:pPr>
      <w:r>
        <w:rPr>
          <w:rFonts w:ascii="Times New Roman" w:cs="Times New Roman" w:eastAsia="Times New Roman" w:hAnsi="Times New Roman"/>
          <w:sz w:val="18"/>
          <w:szCs w:val="18"/>
          <w:color w:val="auto"/>
        </w:rPr>
        <w:t>We sell our video and image processing system-on-a-chip, or SoC, solutions to original equipment manufacturers, or OEMs, who include our SoCs in their products, and to original design manufacturers, or ODMs, who include our SoCs in the products that they supply to OEMs. We generally refer to ODMs as our customers and OEMs as our end customers, except as otherwise indicated or as the context otherwise requires. Our video and image processing SoCs are generally incorporated into our customers’ products at the design stage, which is referred to as a design win. As a result, we rely on OEMs to design our solutions into the products that they design and sell. Without these design wins, our business would be significantly harmed. We often incur significant expenditures developing a new SoC solution without any assurance that any OEM will select our solution for design into its own product. Once an OEM designs a competitor’s device into its product, it becomes significantly more difficult for us to sell our SoC solutions to that OEM because changing suppliers involves significant cost, time, effort and risk for the OEM. We anticipate that it will take longer and require more resources and greater expenditures to achieve design wins, and likely take longer to generate revenue from such design wins in the new markets we are targeting, such as the OEM automotive and robotics markets, than our legacy camera markets. In addition, trade tensions between the United States and China and potential new export restrictions, as discussed in subsequent risk factors, may make it more difficult to secure future design wins with China customers.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1" w:right="359" w:bottom="1440" w:gutter="0" w:footer="0" w:header="0"/>
        </w:sectPr>
      </w:pPr>
    </w:p>
    <w:bookmarkStart w:id="34" w:name="page35"/>
    <w:bookmarkEnd w:id="34"/>
    <w:p>
      <w:pPr>
        <w:ind w:right="60" w:firstLine="510"/>
        <w:spacing w:after="0" w:line="227" w:lineRule="auto"/>
        <w:rPr>
          <w:sz w:val="20"/>
          <w:szCs w:val="20"/>
          <w:color w:val="auto"/>
        </w:rPr>
      </w:pPr>
      <w:r>
        <w:rPr>
          <w:rFonts w:ascii="Times New Roman" w:cs="Times New Roman" w:eastAsia="Times New Roman" w:hAnsi="Times New Roman"/>
          <w:sz w:val="18"/>
          <w:szCs w:val="18"/>
          <w:color w:val="auto"/>
        </w:rPr>
        <w:t>Even if an OEM designs one of our SoC solutions into its product, we cannot be assured that the OEM’s product will be commercially successful over time or at all. For example, in the past we have secured design wins for camera products that were never commercially released by our customer or did not sell in volumes initially forecast by the customer, as a result of factors beyond our control. If other products or other product categories incorporating our SoC solutions are not commercially successful or experience rapid decline, our revenue and business will suffer. Similarly, if an OEM designs one of our SoC solutions into its product, we are not assured that we will receive or continue to receive new design wins from that OEM, which could negatively impact our business.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fail to penetrate new markets, our revenue and financial condition could be harmed.</w:t>
      </w:r>
    </w:p>
    <w:p>
      <w:pPr>
        <w:spacing w:after="0" w:line="121" w:lineRule="exact"/>
        <w:rPr>
          <w:sz w:val="20"/>
          <w:szCs w:val="20"/>
          <w:color w:val="auto"/>
        </w:rPr>
      </w:pPr>
    </w:p>
    <w:p>
      <w:pPr>
        <w:ind w:firstLine="510"/>
        <w:spacing w:after="0" w:line="251" w:lineRule="auto"/>
        <w:rPr>
          <w:sz w:val="20"/>
          <w:szCs w:val="20"/>
          <w:color w:val="auto"/>
        </w:rPr>
      </w:pPr>
      <w:r>
        <w:rPr>
          <w:rFonts w:ascii="Times New Roman" w:cs="Times New Roman" w:eastAsia="Times New Roman" w:hAnsi="Times New Roman"/>
          <w:sz w:val="18"/>
          <w:szCs w:val="18"/>
          <w:color w:val="auto"/>
        </w:rPr>
        <w:t>Years ago, a substantial portion of our revenue was generated from sales of our SoCs to OEMs and ODMs of HD video cameras, including IP security cameras, wearable cameras and drones. Our revenue from several of these markets, however, has experienced significant declines. As a result, we believe that our future revenue growth, if any, will significantly depend on our ability to expand within the camera markets with our new artificial intelligence, or AI, computer vision SoC solutions, particularly in emerging markets such as the OEM automotive, robotics and industrial markets, as well as the existing professional IP security and home security and monitoring camera markets. Each of these markets presents distinct and substantial risks and, in many cases, requires us to develop new functionality or software to address the particular requirements of that market. We anticipate that as we continue to move into new markets, such as the OEM automotive, robotics and industrial markets, we will likely face competition from larger competitors with greater resources and more history in these markets. If any of these markets do not develop as we currently anticipate, or if the development of such markets is delayed or impacted by factors outside of our control, such as the COVID-19 pandemic, or if we are unable to penetrate them successfully with our solutions, our revenue could decline, and our financial condition would be negatively impacted. Some of these markets are primarily served by only a few large, multinational OEMs with substantial negotiating power relative to us and, in some instances, with internal solutions that are competitive to our products. Meeting the technical requirements and securing design wins with any of these companies will require a substantial investment of our time and resources and we cannot assure you that we will secure design wins from these or other companies or that we will achieve meaningful revenue from the sales of our solutions into these markets. If we fail to penetrate these or other new markets we are targeting, our financial condition would likely</w:t>
      </w:r>
    </w:p>
    <w:p>
      <w:pPr>
        <w:spacing w:after="0" w:line="1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suffer. Moreover, if we are successful in achieving design wins in these new markets, it will likely take longer to generate revenue from such design wins than in our current markets.</w:t>
      </w:r>
    </w:p>
    <w:p>
      <w:pPr>
        <w:spacing w:after="0" w:line="1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sell our products to several China customers has been restricted.</w:t>
      </w:r>
    </w:p>
    <w:p>
      <w:pPr>
        <w:spacing w:after="0" w:line="12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On October 9, 2019, our security camera customers Hangzhou Hikvision Digital Technology Co., Ltd, or Hikvision, and Zhejiang Dahua Technology Co., Ltd., or Dahua, were added to the Entity List of the Bureau of Industry and Security, or BIS, of the U.S. Department of Commerce, or Commerce, which imposes limitations on the supply of certain U.S. items to the listed entities. While the addition of Hikvision and Dahua to the Entity List negatively impacts our ability to ship items subject to BIS regulations, including US-produced SoC solutions, to these entities, we have determined that that we are able to ship some foreign-produced SoC products to the listed entities in compliance with applicable law. Notwithstanding our ability to continue to supply some SoC products to the listed entities, these customers may seek to obtain similar or substitute products from our competitors that are not subject to these limitations, or to develop similar or substitute products themselves. We also cannot be certain what additional actions the U.S. government may take with respect to Hikvision and Dahua, or our other China customers, including changes to the Entity List restrictions, export regulations, tariffs or other trade restrictions, or whether the Chinese government may take any actions in response to U.S. government action that may adversely affect our ability to do business with our China customers. Even in the absence of new restrictions, tariffs or trade actions imposed by the U.S. or Chinese government, our China customers may take actions to reduce dependence on the supply of components subject to U.S. trade regulations, including our SoC solutions, which could have a material adverse effect on our operating results. We are unable to predict the duration of the restrictions imposed by the U.S. government in October 2019 or of any additional governmental actions, any of which could have a long-term adverse effect on our business, operating results and financial condition.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5" w:name="page36"/>
    <w:bookmarkEnd w:id="35"/>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and political conditions, including possible trade tariffs and trade restrictions, may have an impact on our business and financial condition in ways that we currently cannot predict.</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Beyond the BIS actions relating to Hikvision and Dahua, general trade tensions between the United States and China have been escalating, which has, in our view, created and will continue to create an uncertain business environment. For example, BIS has added over 150 entities related to Huawei Technologies Co., Ltd. to the Entity List and created new controls on foreign-produced items when one of these entities is a party to the transaction. If additional tariffs or trade restrictions are imposed on our SoC solutions or the products of our customers, or trade restrictions are imposed on our ability to conduct business with certain customers, there could be a negative impact on our operations and financial performance. For example, H.R. 5515 - John S. McCain National Defense Authorization Act for Fiscal Year 2019 negatively impacts Hikvision and Dahua’s ability to sell products into the U.S. security camera market and could decrease their demand for our solutions. Similarly, changes in export classification requirements, such as those proposed by U.S. Congress, could impact our ability to supply our solutions to certain companies or in certain countries. Even in the absence of new restrictions, tariffs or changes in export classifications, it is possible that foreign customers could take actions to reduce dependence on the supply of components, including our solutions, that could be subject to new export classifications or trade restrictions. There are also risks that the Chinese government may, among other things, require the use of local suppliers, compel companies that do business in China to partner with local companies to conduct business and provide incentives to government-backed local customers to buy from local suppliers. The materialization of these risks could have a material adverse effect on our business and financial condition.</w:t>
      </w:r>
    </w:p>
    <w:p>
      <w:pPr>
        <w:spacing w:after="0" w:line="183" w:lineRule="exact"/>
        <w:rPr>
          <w:sz w:val="20"/>
          <w:szCs w:val="20"/>
          <w:color w:val="auto"/>
        </w:rPr>
      </w:pPr>
    </w:p>
    <w:p>
      <w:pPr>
        <w:ind w:right="320" w:firstLine="58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subject us to liability or impair our ability to compete in international markets.</w:t>
      </w:r>
    </w:p>
    <w:p>
      <w:pPr>
        <w:spacing w:after="0" w:line="51" w:lineRule="exact"/>
        <w:rPr>
          <w:sz w:val="20"/>
          <w:szCs w:val="20"/>
          <w:color w:val="auto"/>
        </w:rPr>
      </w:pPr>
    </w:p>
    <w:p>
      <w:pPr>
        <w:ind w:right="120" w:firstLine="584"/>
        <w:spacing w:after="0" w:line="25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our products in compliance with U.S. export controls, including the Commerce’s Export Administration Regulations. We may not always be successful in obtaining necessary export licenses, and our failure to obtain required import or export approval for our products or limitations on our ability to export or sell our products imposed by these laws may harm both our international and domestic sales and adversely affect our revenue. Noncompliance with these laws could have negative consequences, including government investigations, penalties and reputational harm.</w:t>
      </w:r>
    </w:p>
    <w:p>
      <w:pPr>
        <w:spacing w:after="0" w:line="187" w:lineRule="exact"/>
        <w:rPr>
          <w:sz w:val="20"/>
          <w:szCs w:val="20"/>
          <w:color w:val="auto"/>
        </w:rPr>
      </w:pPr>
    </w:p>
    <w:p>
      <w:pPr>
        <w:ind w:right="80" w:firstLine="510"/>
        <w:spacing w:after="0" w:line="256" w:lineRule="auto"/>
        <w:rPr>
          <w:sz w:val="20"/>
          <w:szCs w:val="20"/>
          <w:color w:val="auto"/>
        </w:rPr>
      </w:pPr>
      <w:r>
        <w:rPr>
          <w:rFonts w:ascii="Times New Roman" w:cs="Times New Roman" w:eastAsia="Times New Roman" w:hAnsi="Times New Roman"/>
          <w:sz w:val="18"/>
          <w:szCs w:val="18"/>
          <w:color w:val="auto"/>
        </w:rPr>
        <w:t>Compliance with export and import regulations have not had a significant impact on our business to date, but changes in our products or changes in export, import and economic sanctions laws and regulations may delay our introduction of new products in international markets, prevent our customers from deploying our products internationally or, in some cases, prevent the export or import of our products to or 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In such event, our business and results of operations could be adversely affected.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primary inventory warehouse is located in Hong Kong and may be affected by recent political, social and economic conditions in Hong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Kong.</w:t>
      </w:r>
    </w:p>
    <w:p>
      <w:pPr>
        <w:spacing w:after="0" w:line="99" w:lineRule="exact"/>
        <w:rPr>
          <w:sz w:val="20"/>
          <w:szCs w:val="20"/>
          <w:color w:val="auto"/>
        </w:rPr>
      </w:pPr>
    </w:p>
    <w:p>
      <w:pPr>
        <w:ind w:right="60" w:firstLine="510"/>
        <w:spacing w:after="0" w:line="252" w:lineRule="auto"/>
        <w:rPr>
          <w:sz w:val="20"/>
          <w:szCs w:val="20"/>
          <w:color w:val="auto"/>
        </w:rPr>
      </w:pPr>
      <w:r>
        <w:rPr>
          <w:rFonts w:ascii="Times New Roman" w:cs="Times New Roman" w:eastAsia="Times New Roman" w:hAnsi="Times New Roman"/>
          <w:sz w:val="18"/>
          <w:szCs w:val="18"/>
          <w:color w:val="auto"/>
        </w:rPr>
        <w:t>We operate a warehouse facility in Hong Kong through which the substantial majority of our finished SoCs are shipped to customers or logistic partners. BIS has imposed additional restrictions on exports and reexports of U.S.-controlled items to Hong Kong by removing preferential treatment that Hong Kong used to receive and imposing more stringent licensing requirements similar to those applicable to China. Hong Kong has recently experienced, and continues to experience, significant political unrest and social strife, including protests that resulted in the closing of the Hong Kong international airport on August 12, 2019 for two days. Recently, in response to national security legislation adopted by the Chinese government, the U.S. Secretary of State certified to the U.S. Congress on May 27, 2020 that Hong Kong no longer maintains a sufficient degree of autonomy from China to warrant special treatment by the U.S. While such certification, and subsequent statements made by the U.S. President relating to Hong Kong’s status, do not have an immediate impact on Hong Kong for trade or other purposes, these recent actions represent an escalation in political and trade tensions involving the U.S, China and Hong Kong. It is possible that the U.S. government may take future measures to impose stricter export controls or duties on shipments made to Hong Kong, add additional parties to the Entity List, or reduce preferential treatment currently accorded to Hong Kong, which could harm our business, increase the cost of conducting our operations in Hong Kong or result in retaliatory actions against U.S. interests. While we have not been materially impacted by these problems to date, continued deterioration in political, social or economic conditions in Hong Kong or future unforeseen problems, including health pandemics, could affect deliveries of our SoCs to our customers or logistic partners, possibly resulting in business interruptions, substantially delayed or lost sales, loss of inventory, or increased expenses that cannot be passed on to customers, any of which could ultimately have a material adverse effect on our business and financial results. In such an eventuality, we could be forced to relocate our warehouse operations, either temporarily or permanently, to another potentially costlier location or find alternative potentially costlier methods of shipping our finished SoCs to customers and logistic partners. While we are taking measures to attempt to maintain the continuity of our product delivery operations notwithstanding the impact on the use of our Hong Kong facility of the continued or deteriorating conditions in Hong Kong or other future unforeseen problems there, we cannot ensure that these measures will be successful in eliminating disruptions in our business.</w:t>
      </w:r>
    </w:p>
    <w:p>
      <w:pPr>
        <w:spacing w:after="0" w:line="187" w:lineRule="exact"/>
        <w:rPr>
          <w:sz w:val="20"/>
          <w:szCs w:val="20"/>
          <w:color w:val="auto"/>
        </w:rPr>
      </w:pPr>
    </w:p>
    <w:p>
      <w:pPr>
        <w:ind w:right="4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target markets may not grow or develop as we currently expect and are subject to market risks, any of which could harm our business, revenue and operating results.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are focusing our development resources on addressing computer vision applications, primarily in the professional IP security and home security and monitoring camera markets, the OEM automotive and robotics markets, with our computer vision solutions. The application of computer vision functionality in these markets is relatively new, and we may be unable to predict the timing or development of these markets with accuracy. For example, a slower than expected adoption rate for computer vision technology in the IP security camera market could slow the demand for our new solutions. Similarly, a slower than anticipated adoption of electronic mirrors, advanced driving assistance systems and autonomous driving functionality could reduce demand for our new computer vision solutions. The COVID-19 pandemic has had a negative impact on the global economy and may decrease or delay development of new markets and new programs in emerging markets. If our key target markets, such as automotive cameras, IP security cameras and cameras for robotic applications, do not grow, grow slower, or do not develop in ways that we currently expect, demand for our video and image processing SoCs may not materialize as expected, and our business and operating results could suffer.</w:t>
      </w:r>
    </w:p>
    <w:p>
      <w:pPr>
        <w:spacing w:after="0" w:line="184"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cancel their orders, change production quantities or delay production. If we fail to accurately forecast demand for our solutions, revenue shortfalls or excess, obsolete or insufficient inventory could result.</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customers typically do not provide us with firm, long-term purchase commitments. A substantial majority of our sales are made on a purchase order basis, which permits our customers to cancel, change or delay their product purchase commitments with little or no notice to us and often without penalty to them. Because production lead times often exceed the amount of time required by our customers to fill their orders, we often must build SoCs in advance of receiving orders from customers, relying on an imperfect demand forecast to project volumes and product mix.</w:t>
      </w:r>
    </w:p>
    <w:p>
      <w:pPr>
        <w:spacing w:after="0" w:line="180" w:lineRule="exact"/>
        <w:rPr>
          <w:sz w:val="20"/>
          <w:szCs w:val="20"/>
          <w:color w:val="auto"/>
        </w:rPr>
      </w:pPr>
    </w:p>
    <w:p>
      <w:pPr>
        <w:ind w:right="80" w:firstLine="510"/>
        <w:spacing w:after="0" w:line="255" w:lineRule="auto"/>
        <w:rPr>
          <w:sz w:val="20"/>
          <w:szCs w:val="20"/>
          <w:color w:val="auto"/>
        </w:rPr>
      </w:pPr>
      <w:r>
        <w:rPr>
          <w:rFonts w:ascii="Times New Roman" w:cs="Times New Roman" w:eastAsia="Times New Roman" w:hAnsi="Times New Roman"/>
          <w:sz w:val="18"/>
          <w:szCs w:val="18"/>
          <w:color w:val="auto"/>
        </w:rPr>
        <w:t>Our SoCs are incorporated into products manufactured by or for our end customers, and as a result, demand for our solutions is influenced by the demand for our customers’ products. Our ability to accurately forecast demand can be adversely affected by a number of factors, including inaccurate forecasting by our customers, miscalculations by our customers of their inventory requirements, changes in market conditions including reductions in market activity due to the COVID-19 pandemic, adverse changes in our product order mix and fluctuating demand for our customers’ products. Even after an order is received, our customers may cancel these orders, request a decrease in production quantities or request a delay in the delivery of our solutions. Any such cancellation, decrease or delay subjects us to a number of risks, most notably that our projected sales will not materialize on schedule or at all, leading to unanticipated revenue shortfalls and excess or obsolete inventory that we may be unable to sell to other customers.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37" w:name="page38"/>
    <w:bookmarkEnd w:id="37"/>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Alternatively, if we are unable to project customer requirements accurately, we may not build enough SoCs, which could lead to delays in product shipments and lost sales opportunities in the near term, as well as force our customers to identify alternative sources, which could affect our ongoing relationships with these customers. We have in the past had customers significantly increase their requested production quantities with little or no advance notice. If we do not fulfill customer demands in a timely manner, our customers may cancel their orders and we may be subject to customer claims for cost of replacement. In addition, the rapid pace of innovation in our industry could render portions of our inventory obsolete. Excess or obsolete inventory levels could result in unexpected expenses or increases in our reserves that could adversely affect our business, operating results and financial condition. In addition, any significant future cancellations or deferrals of product orders could harm our margins, increase our write-offs due to product obsolescence and restrict our ability to fund our operations.</w:t>
      </w:r>
    </w:p>
    <w:p>
      <w:pPr>
        <w:spacing w:after="0" w:line="188" w:lineRule="exact"/>
        <w:rPr>
          <w:sz w:val="20"/>
          <w:szCs w:val="20"/>
          <w:color w:val="auto"/>
        </w:rPr>
      </w:pPr>
    </w:p>
    <w:p>
      <w:pPr>
        <w:ind w:right="4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limited number of customers and end customers for a significant portion of our revenue. If we fail to retain or expand our customer relationships, our revenue could decline.</w:t>
      </w:r>
    </w:p>
    <w:p>
      <w:pPr>
        <w:spacing w:after="0" w:line="51" w:lineRule="exact"/>
        <w:rPr>
          <w:sz w:val="20"/>
          <w:szCs w:val="20"/>
          <w:color w:val="auto"/>
        </w:rPr>
      </w:pPr>
    </w:p>
    <w:p>
      <w:pPr>
        <w:ind w:right="80" w:firstLine="510"/>
        <w:spacing w:after="0" w:line="253" w:lineRule="auto"/>
        <w:rPr>
          <w:sz w:val="20"/>
          <w:szCs w:val="20"/>
          <w:color w:val="auto"/>
        </w:rPr>
      </w:pPr>
      <w:r>
        <w:rPr>
          <w:rFonts w:ascii="Times New Roman" w:cs="Times New Roman" w:eastAsia="Times New Roman" w:hAnsi="Times New Roman"/>
          <w:sz w:val="18"/>
          <w:szCs w:val="18"/>
          <w:color w:val="auto"/>
        </w:rPr>
        <w:t>We derive a significant portion of our revenue from a limited number of ODMs who build products on behalf of a limited number of OEMs and from a limited number of OEMs to whom we ship directly. We anticipate that this customer concentration will continue for the foreseeable future. In fiscal year 2020, the customers representing 10% or more of our revenue were Wintech Microelectronics Co., Ltd., or Wintech, the Company’s distributor, and Chicony Electronics Co., Ltd., or Chicony, a direct ODM customer, which accounted for approximately 60% and 18% of total revenue, respectively. For the six months ended July 31, 2020, the customers representing 10% or more of revenue were Wintech and Chicony which accounted for approximately 60% and 17% of total revenue, respectively. We believe that our operating results for the foreseeable future will continue to depend on sales to a relatively small number of customers and end customers. In the future, these customers may decide not to purchase our SoC solutions at all, may purchase fewer solutions than they did in the past or may alter their purchasing patterns. As substantially all of our sales to date have been made on a purchase order basis, these customers may cancel, change or delay product purchase commitments with little or no notice to us and often without penalty and may make our revenue volatile from period to period, which has happened in the past. The loss of a significant customer, or substantial reduction in purchases by a significant customer, could happen again at any time and without notice, and such loss would likely harm our financial condition and results of operations. Moreover, because several of our largest OEM customers have a dominant position in their markets, a loss of a significant customer may not be easily replaced.</w:t>
      </w:r>
    </w:p>
    <w:p>
      <w:pPr>
        <w:spacing w:after="0" w:line="183" w:lineRule="exact"/>
        <w:rPr>
          <w:sz w:val="20"/>
          <w:szCs w:val="20"/>
          <w:color w:val="auto"/>
        </w:rPr>
      </w:pPr>
    </w:p>
    <w:p>
      <w:pPr>
        <w:ind w:right="3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long-term supply contracts with our third-party manufacturing vendors, and they may not allocate sufficient capacity to us at reasonable prices to meet future demands for our solutions.</w:t>
      </w:r>
    </w:p>
    <w:p>
      <w:pPr>
        <w:spacing w:after="0" w:line="51" w:lineRule="exact"/>
        <w:rPr>
          <w:sz w:val="20"/>
          <w:szCs w:val="20"/>
          <w:color w:val="auto"/>
        </w:rPr>
      </w:pPr>
    </w:p>
    <w:p>
      <w:pPr>
        <w:ind w:firstLine="510"/>
        <w:spacing w:after="0" w:line="252" w:lineRule="auto"/>
        <w:rPr>
          <w:sz w:val="20"/>
          <w:szCs w:val="20"/>
          <w:color w:val="auto"/>
        </w:rPr>
      </w:pPr>
      <w:r>
        <w:rPr>
          <w:rFonts w:ascii="Times New Roman" w:cs="Times New Roman" w:eastAsia="Times New Roman" w:hAnsi="Times New Roman"/>
          <w:sz w:val="18"/>
          <w:szCs w:val="18"/>
          <w:color w:val="auto"/>
        </w:rPr>
        <w:t>The semiconductor industry is subject to intense competitive pricing pressure from customers and competitors. Accordingly, any increase in the cost of our solutions, whether by adverse purchase price variances or adverse manufacturing cost variances, will reduce our gross margins and operating profit. We currently do not have long-term supply contracts with most of our primary third-party vendors, and we negotiate pricing with our main vendors on a purchase order-by-purchase order basis. Therefore, they are not obligated to perform services or supply product to us for any specific period, in any specific quantities, or at any specific price, except as may be provided in a particular purchase order. The ability of our foundry vendors to provide us with a product, which is solely sourced at each foundry, is limited by their available capacity, existing obligations and technological capabilities. Foundry capacity may not be available when we need it or at reasonable prices. None of our third-party foundry or assembly and test vendors have provided contractual assurances to us that adequate capacity will be available to us to meet our anticipated future demand for our solutions. Moreover, availability of foundry capacity at our primary foundry vendor has tightened recently, which could limit the volume of products we can produce and/or delay production of new products, both of which would negatively impact our business and operations. Our foundry and assembly and test vendors may allocate capacity to the production of other companies’ products while reducing deliveries to us on short notice. In particular, other companies that are larger and better financed than we are or that have long-term agreements with our foundry or assembly and test vendors may cause our foundry or assembly and test vendors to reallocate capacity to them, decreasing the capacity available to us. Converting or transferring manufacturing from a primary location or supplier to a backup provider could be expensive and would likely take at least two or more quarters. There are only a few foundries, including Samsung and Taiwan Semiconductor Manufacturing Co., Ltd., or TSMC, that are currently available for certain advanced process technologies that we utilize or may utilize, such as 10 or 5 nanometer, or nm. Accordingly, as we continue to develop solutions in advanced process nodes, we will be increasingly dependent upon such foundries. The unavailability of one or both of these foundries could significantly impact our ability to produce our new products or delay production, which would negatively impact our business.</w:t>
      </w:r>
    </w:p>
    <w:p>
      <w:pPr>
        <w:spacing w:after="0" w:line="192" w:lineRule="exact"/>
        <w:rPr>
          <w:sz w:val="20"/>
          <w:szCs w:val="20"/>
          <w:color w:val="auto"/>
        </w:rPr>
      </w:pPr>
    </w:p>
    <w:p>
      <w:pPr>
        <w:ind w:right="140" w:firstLine="510"/>
        <w:spacing w:after="0" w:line="258" w:lineRule="auto"/>
        <w:rPr>
          <w:sz w:val="20"/>
          <w:szCs w:val="20"/>
          <w:color w:val="auto"/>
        </w:rPr>
      </w:pPr>
      <w:r>
        <w:rPr>
          <w:rFonts w:ascii="Times New Roman" w:cs="Times New Roman" w:eastAsia="Times New Roman" w:hAnsi="Times New Roman"/>
          <w:sz w:val="18"/>
          <w:szCs w:val="18"/>
          <w:color w:val="auto"/>
        </w:rPr>
        <w:t>If, in the future, we enter into arrangements with suppliers that include additional fees to expedite delivery, nonrefundable deposits or loans in exchange for capacity commitments or commitments to purchase specified quantities over extended periods, such arrangements may be costly, reduce our financial flexibility and be on terms unfavorable to us, if we are able to secure such arrangements at all. To date, we have not entered into any such arrangements with our suppliers. If we need additional foundry or assembly and test subcontractors because of increased demand or the inability to obtain timely and adequate deliveries from our current vendors, we may not be able to do so cost-effectively, if at all.</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new or enhanced solutions on a timely basis, our ability to attract and retain customers could be impaired and our competitive position could be harmed.</w:t>
      </w:r>
    </w:p>
    <w:p>
      <w:pPr>
        <w:spacing w:after="0" w:line="51"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operate in a dynamic environment characterized by rapidly changing technologies and technological obsolescence. To compete successfully, we must design, develop, market and sell enhanced solutions that provide increasingly higher levels of performance and functionality and that meet the cost expectations of our customers. Our existing or future solutions could be rendered obsolete by the introduction of new products by our competitors; convergence of other markets with or into the camera market; the market adoption of products based on new or alternative technologies; the emergence of new industry standards for video compression; or the requirement of additional functionality included in video processors, such as artificial intelligence functionality. In addition, the markets for our solutions are characterized by frequent introduction of next-generation and new products, short product life cycles, increasing demand for added functionality and significant price competition. As we develop and introduce new solutions, we face the risk that customers may not value or be willing to bear the cost of incorporating these newer solutions into their products, particularly if they believe their customers are satisfied with current solutions. Regardless of the improved features or superior performance of the newer solutions, customers may be unwilling to adopt our new solutions due to design or pricing constraints. If we or our customers are unable to manage product transitions in a timely and cost-effective manner, our business and results of operations would suffer.</w:t>
      </w:r>
    </w:p>
    <w:p>
      <w:pPr>
        <w:spacing w:after="0" w:line="192" w:lineRule="exact"/>
        <w:rPr>
          <w:sz w:val="20"/>
          <w:szCs w:val="20"/>
          <w:color w:val="auto"/>
        </w:rPr>
      </w:pPr>
    </w:p>
    <w:p>
      <w:pPr>
        <w:ind w:right="120" w:firstLine="510"/>
        <w:spacing w:after="0" w:line="254" w:lineRule="auto"/>
        <w:rPr>
          <w:sz w:val="20"/>
          <w:szCs w:val="20"/>
          <w:color w:val="auto"/>
        </w:rPr>
      </w:pPr>
      <w:r>
        <w:rPr>
          <w:rFonts w:ascii="Times New Roman" w:cs="Times New Roman" w:eastAsia="Times New Roman" w:hAnsi="Times New Roman"/>
          <w:sz w:val="18"/>
          <w:szCs w:val="18"/>
          <w:color w:val="auto"/>
        </w:rPr>
        <w:t>Our failure to anticipate or timely develop new or enhanced solutions in response to technological shifts could result in decreased revenue and our competitors achieving design wins that we sought. In particular, we may experience difficulties with product design, development of new software, manufacturing, marketing or qualification that could delay or prevent our development, introduction or marketing of new or enhanced solutions. In addition, for some markets, such as the automotive OEM market, we expect that we will need to establish relationships with third-party suppliers or software providers in order to effectively market our solutions to end-customers. Failure to establish these relationships could harm our ability to achieve design wins. Delays in product development could impair our relationships with our customers and negatively impact sales of our solutions under development. If we fail to introduce new or enhanced solutions that meet the needs of our customers or penetrate new markets in a timely fashion, we will lose market share, and our operating results will be adversely affected.</w:t>
      </w:r>
    </w:p>
    <w:p>
      <w:pPr>
        <w:spacing w:after="0" w:line="188" w:lineRule="exact"/>
        <w:rPr>
          <w:sz w:val="20"/>
          <w:szCs w:val="20"/>
          <w:color w:val="auto"/>
        </w:rPr>
      </w:pPr>
    </w:p>
    <w:p>
      <w:pPr>
        <w:ind w:right="1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Achieving design wins is subject to lengthy competitive selection processes that require us to incur significant costs. Even if we begin a product design, a customer may decide to cancel or change its product plans, resulting in no revenue from such expenditures.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are focused on selling our video and image processing solutions to ODMs and OEMs for incorporation into their products at the design stage. These efforts to achieve design wins typically are lengthy, especially in emerging markets such as the OEM automotive market, and in any case can require us to both incur design and development costs and dedicate scarce engineering resources in pursuit of a single customer opportunity. We may not prevail in the competitive selection process, and even when we do achieve a design win, we may never generate any revenue despite incurring development expenditures. For example, in the past we had achieved certain design wins and projected substantial future revenue as a result of such design wins. Subsequently, based on factors outside of our control, the applicable end customers abruptly cancelled the projects, with no notice to us, resulting in a loss of projected revenue. In addition, even if an OEM designs one of our SoC solutions into one of its products, we cannot be assured that we will secure new design wins from that OEM for future products. Further, even after securing a design win, we have experienced and may again experience delays in generating revenue from our solutions as a result of the lengthy product development cycle typically required, if we generate any revenue at all as a result of any such design win.</w:t>
      </w:r>
    </w:p>
    <w:p>
      <w:pPr>
        <w:spacing w:after="0" w:line="194"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Our customers generally take a considerable amount of time to evaluate our solutions. The typical time from early engagement by our sales force to actual product introduction runs from nine to 12 months, though it will likely take significantly longer in new markets such as the OEM automotive and robotics markets. The delays inherent in these lengthy sales cycles increase the risk that a customer will decide to cancel, curtail, reduce or delay its product plans, causing us to lose anticipated sales. In addition, any delay or cancellation of a customer’s plans could harm our financial results, as we may have incurred significant expense and generated no revenue. If we were unable to generate revenue after incurring substantial expenses to develop any of our solutions, our business would suffer.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expect competition to increase in the future, which could have an adverse effect on our revenue and market share.</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global semiconductor market in general, and the video and image processing markets in particular, are highly competitive. We compete in different target markets to various degrees on the basis of a number of competitive factors, including our solutions’ performance, features, energy efficiency, size, ease with which our solution may be integrated into our customers’ products, customer support, reliability and price, as well as on the basis of our reputation. We expect competition to increase and intensify as more and larger semiconductor companies enter our markets and as existing competitors improve or expand their product offerings. We also expect that the trend among large OEMs to seek to develop their own semiconductor solutions will continue and expand, particularly in camera markets experiencing consolidation, such as the IP security market. In addition, in our newer markets, such as the OEM automotive and robotics markets, we will face competition from larger competitors with longer histories in these markets. Increased competition could result in price pressure, reduced profitability and loss of market share, any of which could harm our business, revenue and operating results.</w:t>
      </w:r>
    </w:p>
    <w:p>
      <w:pPr>
        <w:spacing w:after="0" w:line="188"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competitors range from large, international companies offering a wide range of semiconductor products to smaller companies specializing in narrow markets. In the IP security camera market, our primary competitors include AMLogic Inc., Fullhan Microelectronics Co., Ltd., Geo Semiconductor, Inc., HiSilicon Technologies Co., Ltd., or HiSilicon, which is owned by Huawei Technologies Co., Ingenic Semiconductor Co., Ltd., Intel Corporation, or Intel, Movidius Ltd., a subsidiary of Intel, Novatek Microelectronics Corp., or Novatek, OmniVision Technologies, Inc., or OmniVision, Qualcomm Incorporated, or Qualcomm, Realtek Semiconductor Corp., SigmaStar Technology Corp., or SigmaStar, Socionext Inc., or Socionext, an entity created from the merger of the system LSI businesses of Fujitsu Ltd. and Panasonic Corporation, or Panasonic, and Texas Instruments Incorporated, or Texas Instruments, as well as vertically integrated divisions of IP Security camera device OEMs, including Axis Communications AB, Hanwha Techwin, and Sony Corporation, or Sony. In the automotive camera market, we currently compete against Allwinner Technology Co., Ltd., Alpha Imaging Technology Corp., Core Logic, Inc., Mobileye, an Intel company, Novatek, NXP Semiconductors N.V., OmniVision, Qualcomm, Renesas Electronics Corporation, SigmaStar, Sunplus Technology Co. Ltd., Texas Instruments and Xilinx Inc. In the wearable sports camera market, our primary competitors are vertically integrated divisions of camera device OEMs, including Sony, Panasonic, HiSilicon and Socionext. Our primary competitors in the drone camera market include HiSilicon, Intel, NVIDIA Corporation and Qualcomm.</w:t>
      </w:r>
    </w:p>
    <w:p>
      <w:pPr>
        <w:spacing w:after="0" w:line="190" w:lineRule="exact"/>
        <w:rPr>
          <w:sz w:val="20"/>
          <w:szCs w:val="20"/>
          <w:color w:val="auto"/>
        </w:rPr>
      </w:pPr>
    </w:p>
    <w:p>
      <w:pPr>
        <w:ind w:right="140" w:firstLine="510"/>
        <w:spacing w:after="0" w:line="261" w:lineRule="auto"/>
        <w:rPr>
          <w:sz w:val="20"/>
          <w:szCs w:val="20"/>
          <w:color w:val="auto"/>
        </w:rPr>
      </w:pPr>
      <w:r>
        <w:rPr>
          <w:rFonts w:ascii="Times New Roman" w:cs="Times New Roman" w:eastAsia="Times New Roman" w:hAnsi="Times New Roman"/>
          <w:sz w:val="18"/>
          <w:szCs w:val="18"/>
          <w:color w:val="auto"/>
        </w:rPr>
        <w:t>Certain of our customers and suppliers also have divisions that produce products competitive with ours and other customers may seek to vertically integrate competitive solutions in the future. In addition, certain third-party developers of technology competitive to our solutions have licensed their technology, including image signal processing and computer vision IP, which potentially enables a greater number of competitors to offer competitive solutions.</w:t>
      </w:r>
    </w:p>
    <w:p>
      <w:pPr>
        <w:spacing w:after="0" w:line="180"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ability to compete successfully depends on elements both within and outside of our control. Many of our competitors are substantially larger, have greater financial, technical, marketing, distribution, customer support and other resources, are more established than we are and have significantly better brand recognition and broader product offerings than us, which may enable them to develop and enable new technology into product solutions better or faster than us and to better withstand adverse economic or market conditions in the future. Our ability to compete will depend on a number of factors, including:</w:t>
      </w:r>
    </w:p>
    <w:p>
      <w:pPr>
        <w:spacing w:after="0" w:line="75" w:lineRule="exact"/>
        <w:rPr>
          <w:sz w:val="20"/>
          <w:szCs w:val="20"/>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market and technology trends and successfully develop solutions that meet market needs;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identifying and penetrating new markets, applications and customers;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understand the price points and performance metrics of competing products in the marketplace;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solutions’ performance and cost-effectiveness relative to that of competing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gain access to leading design tools and product specifications at the same time as our competitors;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relationships with key OEMs and ODMs;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effective implementation of video processing standards;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international operations in a timely and cost-efficient manner;</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products in volume on a timely basis at competitive prices;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support our customers’ incorporation of our solutions into their products; and</w:t>
      </w:r>
    </w:p>
    <w:p>
      <w:pPr>
        <w:spacing w:after="0" w:line="117"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design and application engineers with expertise in image video and image processing technologies and sales and marketing personnel.</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0" w:name="page41"/>
    <w:bookmarkEnd w:id="40"/>
    <w:p>
      <w:pPr>
        <w:ind w:right="420" w:firstLine="510"/>
        <w:spacing w:after="0" w:line="266" w:lineRule="auto"/>
        <w:rPr>
          <w:sz w:val="20"/>
          <w:szCs w:val="20"/>
          <w:color w:val="auto"/>
        </w:rPr>
      </w:pPr>
      <w:r>
        <w:rPr>
          <w:rFonts w:ascii="Times New Roman" w:cs="Times New Roman" w:eastAsia="Times New Roman" w:hAnsi="Times New Roman"/>
          <w:sz w:val="18"/>
          <w:szCs w:val="18"/>
          <w:color w:val="auto"/>
        </w:rPr>
        <w:t>Our competitors may also establish cooperative relationships among themselves or with third parties or acquire companies that provide similar products to ours. As a result, new competitors or alliances may emerge that could acquire significant market share. Any of these factors, alone or in combination with others, could harm our business and result in a loss of market share and an increase in pricing pressure.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our operating results on a quarterly and annual basis could cause the market price of our ordinary shares to decline.</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Our revenue and operating results have fluctuated significantly from period to period in the past and are likely to do so in the future. In particular, our business has tended to be seasonal with higher revenue in our third quarter as our customers typically increase their production to meet holiday shopping season or year-end demand for their products. We also may experience seasonally lower demand in our first quarter as a result of industry seasonality and the impact of ODM and OEM factory closures associated with the Chinese New Year holiday. As a result, you should not rely on period-to-period comparisons of our operating results as an indication of our future performance. In future periods, our revenue and results of operations may be below the expectations of analysts and investors, which could cause the market price of our ordinary shares to decline.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affect our operating results include:</w:t>
      </w:r>
    </w:p>
    <w:p>
      <w:pPr>
        <w:spacing w:after="0" w:line="117" w:lineRule="exact"/>
        <w:rPr>
          <w:sz w:val="20"/>
          <w:szCs w:val="20"/>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sales cycles, product mix, and prices for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forecasting, scheduling, rescheduling or cancellation of orders by our customers;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shifts in consumer or manufacturer preferences and any resultant change in demand for video and image capture devices into which our solutions are incorporated;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markets, including new entrants or pricing pressures;</w:t>
      </w:r>
    </w:p>
    <w:p>
      <w:pPr>
        <w:spacing w:after="0" w:line="117" w:lineRule="exact"/>
        <w:rPr>
          <w:rFonts w:ascii="Times New Roman" w:cs="Times New Roman" w:eastAsia="Times New Roman" w:hAnsi="Times New Roman"/>
          <w:sz w:val="18"/>
          <w:szCs w:val="18"/>
          <w:color w:val="auto"/>
        </w:rPr>
      </w:pPr>
    </w:p>
    <w:p>
      <w:pPr>
        <w:ind w:left="1520" w:right="20" w:hanging="500"/>
        <w:spacing w:after="0" w:line="282"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customers’ ability to manufacture and ship products that incorporate our solutions caused by internal and external factors beyond our control;</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define, design and release new solutions in a timely manner that meet our customers’ needs;</w:t>
      </w:r>
    </w:p>
    <w:p>
      <w:pPr>
        <w:spacing w:after="0" w:line="117" w:lineRule="exact"/>
        <w:rPr>
          <w:rFonts w:ascii="Times New Roman" w:cs="Times New Roman" w:eastAsia="Times New Roman" w:hAnsi="Times New Roman"/>
          <w:sz w:val="18"/>
          <w:szCs w:val="18"/>
          <w:color w:val="auto"/>
        </w:rPr>
      </w:pPr>
    </w:p>
    <w:p>
      <w:pPr>
        <w:ind w:left="1520" w:right="220" w:hanging="500"/>
        <w:spacing w:after="0" w:line="282"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manufacturing costs, including wafer, test and assembly costs, mask costs, manufacturing yields and product quality and reliability;</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adequate manufacturing capacity from our manufacturing subcontractors;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product announcements by our competitors or by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research and development and related new products expenditures;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inventory for excess quantities and technological obsolescence;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and changes in accounting policies;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share price, which may lead to higher stock-based compensation expense;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our effective tax rate;</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socioeconomic and political conditions in the countries where we operate or where our products are sold or used, including the COVID-19 pandemic, U.S.-China relations and the conditions in Hong Kong; and</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litigation, especially related to intellectual property.</w:t>
      </w:r>
    </w:p>
    <w:p>
      <w:pPr>
        <w:spacing w:after="0" w:line="225" w:lineRule="exact"/>
        <w:rPr>
          <w:sz w:val="20"/>
          <w:szCs w:val="20"/>
          <w:color w:val="auto"/>
        </w:rPr>
      </w:pPr>
    </w:p>
    <w:p>
      <w:pPr>
        <w:ind w:right="100" w:firstLine="510"/>
        <w:spacing w:after="0" w:line="254" w:lineRule="auto"/>
        <w:rPr>
          <w:sz w:val="20"/>
          <w:szCs w:val="20"/>
          <w:color w:val="auto"/>
        </w:rPr>
      </w:pPr>
      <w:r>
        <w:rPr>
          <w:rFonts w:ascii="Times New Roman" w:cs="Times New Roman" w:eastAsia="Times New Roman" w:hAnsi="Times New Roman"/>
          <w:sz w:val="18"/>
          <w:szCs w:val="18"/>
          <w:color w:val="auto"/>
        </w:rPr>
        <w:t>Moreover, the semiconductor industry has historically been cyclical in nature, reflecting overall economic conditions as well as budgeting and buying patterns of consumers. We expect these cyclical conditions to continue. As a result, our quarterly operating results are difficult to predict, even in the near term. Our expense levels are relatively fixed in the short term and are based, in part, on our expectations of future revenue. If revenue levels are below our expectations, we may experience material adverse impacts on our business, including declines in margins and profitability, or incur losses. For example, our revenue declined 23% in fiscal year 2019 compared to fiscal year 2018, and we incurred our first annual net losses since our initial public offering, or IPO, in 2012. For the twelve months ended January 31, 2020, our revenue increased by 0.4% compared to the same period in fiscal year 2019, and we incurred a net loss of $44.8 million. For the six months ended July 31, 2020, our revenue increased by 1.1% compared to the same period in fiscal year 2020, and we incurred a net loss of $30.2 million. We may experience similar fluctuations or declines in revenue or net losses in the future, which would harm our operating results.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right="2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While we intend to continue to invest in research and development, we may be unable to make the substantial investments that are required to remain competitive in our business.</w:t>
      </w:r>
    </w:p>
    <w:p>
      <w:pPr>
        <w:spacing w:after="0" w:line="15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The semiconductor industry requires substantial investment in research and development in order to bring to market new and enhanced solutions. Our research and development expense was $129.7 million, $128.1 million and $115.5 million in fiscal years 2020, 2019 and 2018, respectively. For the six months ended July 31, 2020, our research and development expense was $67.0 million. We expect to increase our research and development expenditures as compared to prior periods as part of our strategy of focusing on the development of innovative video and image processing solutions with increased functionality, such as computer vision capabilities, and as we target new markets, such as the automotive OEM and robotics markets. We are unable to predict whether we will have sufficient resources to achieve the level of investment in research and development required to remain competitive. For example, development in the latest process nodes, such as 10nm and 5nm, can cost significantly more than required to develop in larger process nodes, such as 28nm or 14nm. This added cost could prevent us from being able to maintain a technology advantage over larger competitors that have significantly more resources to invest in research and development. In addition, we cannot assure you that the technologies which are the focus of our research and development expenditures will become commercially successful or generate any revenue.</w:t>
      </w:r>
    </w:p>
    <w:p>
      <w:pPr>
        <w:spacing w:after="0" w:line="190" w:lineRule="exact"/>
        <w:rPr>
          <w:sz w:val="20"/>
          <w:szCs w:val="20"/>
          <w:color w:val="auto"/>
        </w:rPr>
      </w:pPr>
    </w:p>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average selling prices of video and image processing solutions in our target markets have historically decreased over time and will likely do so in the future, which could harm our revenue and gross margins.</w:t>
      </w:r>
    </w:p>
    <w:p>
      <w:pPr>
        <w:spacing w:after="0" w:line="51" w:lineRule="exact"/>
        <w:rPr>
          <w:sz w:val="20"/>
          <w:szCs w:val="20"/>
          <w:color w:val="auto"/>
        </w:rPr>
      </w:pPr>
    </w:p>
    <w:p>
      <w:pPr>
        <w:ind w:right="80" w:firstLine="510"/>
        <w:spacing w:after="0" w:line="254" w:lineRule="auto"/>
        <w:rPr>
          <w:sz w:val="20"/>
          <w:szCs w:val="20"/>
          <w:color w:val="auto"/>
        </w:rPr>
      </w:pPr>
      <w:r>
        <w:rPr>
          <w:rFonts w:ascii="Times New Roman" w:cs="Times New Roman" w:eastAsia="Times New Roman" w:hAnsi="Times New Roman"/>
          <w:sz w:val="18"/>
          <w:szCs w:val="18"/>
          <w:color w:val="auto"/>
        </w:rPr>
        <w:t>Average selling prices of semiconductor products in the markets we serve have historically decreased over time, and we expect such declines to continue to occur for our solutions over time. Our gross margins and financial results will suffer if we are unable to offset reductions in our average selling prices by reducing our costs, developing new or enhanced SoC solutions on a timely basis with higher selling prices or gross margins, or increasing our sales volumes. Additionally, because we do not operate our own manufacturing, assembly or testing facilities, we may not be able to reduce our costs as rapidly as companies that operate their own facilities, and our costs may even increase, which could also reduce our gross margins. In the past, we have reduced the prices of our SoC solutions in anticipation of future competitive pricing pressures, new product introductions by us or our competitors and other factors. Recently, we have experienced competitive pricing pressures at the low ends of the automotive aftermarket camera market and China-based IP security camera market. We expect that we will have to address pricing pressures again in the future, particularly in markets experiencing consolidation, which could require us to reduce the prices of our SoC solutions and harm our operating results.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do not generate revenue growth, we may not be able to execute our business plan and our operating results could suffer.</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You should not rely on our revenue, gross margins or operating results for any prior quarterly or annual periods as an indication of our future operating performance. In years past, we experienced significant growth in a short period of time. Our revenue increased from $21.5 million in fiscal year 2008 to $316.4 million in fiscal year 2016. Recently, however, we have not sustained this growth rate. Our revenue decreased to $295.4 million in fiscal year 2018 and to $227.8 million in fiscal year 2019, resulting in the first annual net losses since our IPO in 2012. In fiscal year 2020, our revenue increased by 0.4% compared to fiscal year 2019. For the six months ended July 31, 2020, our revenue increased by 1.1% compared to the same period in fiscal year 2020, and we incurred a net loss of $30.2 million. We continue to invest in the development of new technology and solutions and expect our research and development expenditures to increase compared to prior periods. Accordingly, if we are unable to generate or maintain adequate revenue growth, our financial results could suffer and our stock price could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any future growth, we may not be able to execute our business plan and our operating results could suffer.</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business has grown rapidly in the past. Our future operating results depend to a large extent on our ability to successfully manage any expansion and growth, including the challenges of managing a company with an executive management team in the United States and the majority of its employees in Asia. We are increasing our investment in research and development and other functions to grow our business and address new markets, such as the OEM automotive and robotics markets. To manage our growth successfully and handle the responsibilities of being a public company, we believe we must effectively, among other things:</w:t>
      </w:r>
    </w:p>
    <w:p>
      <w:pPr>
        <w:spacing w:after="0" w:line="75" w:lineRule="exact"/>
        <w:rPr>
          <w:sz w:val="20"/>
          <w:szCs w:val="20"/>
          <w:color w:val="auto"/>
        </w:rPr>
      </w:pPr>
    </w:p>
    <w:p>
      <w:pPr>
        <w:ind w:left="1520" w:right="100" w:hanging="500"/>
        <w:spacing w:after="0" w:line="266"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hire, train and manage additional qualified engineers for our research and development activities, particularly in our offices in Asia and especially for the positions of semiconductor design and systems, applications engineering and computer vision development;</w:t>
      </w:r>
    </w:p>
    <w:p>
      <w:pPr>
        <w:spacing w:after="0" w:line="6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sales and business development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additional finance and accounting personnel;</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administrative, financial and operational systems, procedures and controls;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2" w:name="page43"/>
    <w:bookmarkEnd w:id="42"/>
    <w:p>
      <w:pPr>
        <w:ind w:left="1520" w:right="180" w:hanging="500"/>
        <w:spacing w:after="0" w:line="282"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information technology support for enterprise resource planning and design engineering by adapting and expanding our systems and tool capabilities, and properly training new hires as to their use.</w:t>
      </w:r>
    </w:p>
    <w:p>
      <w:pPr>
        <w:spacing w:after="0" w:line="162"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We are likely to incur the costs associated with these increased investments earlier than some of the anticipated benefits, and the return on these investments, if any, may be lower, may develop more slowly than we expect or may not materialize. In addition, development of products to address emerging markets, such as the OEM automotive and robotics markets, could negatively impact our ability to develop new products for our current markets, which may harm our financial condition, particularly in the near term.</w:t>
      </w:r>
    </w:p>
    <w:p>
      <w:pPr>
        <w:spacing w:after="0" w:line="180" w:lineRule="exact"/>
        <w:rPr>
          <w:sz w:val="20"/>
          <w:szCs w:val="20"/>
          <w:color w:val="auto"/>
        </w:rPr>
      </w:pPr>
    </w:p>
    <w:p>
      <w:pPr>
        <w:ind w:right="60" w:firstLine="510"/>
        <w:spacing w:after="0" w:line="282" w:lineRule="auto"/>
        <w:rPr>
          <w:sz w:val="20"/>
          <w:szCs w:val="20"/>
          <w:color w:val="auto"/>
        </w:rPr>
      </w:pPr>
      <w:r>
        <w:rPr>
          <w:rFonts w:ascii="Times New Roman" w:cs="Times New Roman" w:eastAsia="Times New Roman" w:hAnsi="Times New Roman"/>
          <w:sz w:val="18"/>
          <w:szCs w:val="18"/>
          <w:color w:val="auto"/>
        </w:rPr>
        <w:t>If we are unable to manage growth effectively, we may not be able to take advantage of market opportunities or develop new solutions, and we may fail to satisfy customer product or support requirements, maintain product quality, execute our business plan or respond to competitive pressures.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accurately predicting our future revenue and appropriately budgeting our expenses.</w:t>
      </w:r>
    </w:p>
    <w:p>
      <w:pPr>
        <w:spacing w:after="0" w:line="229"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The rapidly evolving nature of the markets in which we sell our solutions, combined with substantial uncertainty concerning how these markets may develop, the considerable amount of time our customers generally take to evaluate our solutions, and other factors beyond our control, limits our ability to accurately forecast quarterly or annual revenue. We continue to expand our staffing and increase our expenditures in anticipation of future revenue growth. If our revenue does not increase as anticipated, we could incur significant losses due to our higher expense levels if we are not able to decrease our expenses in a timely manner to offset any shortfall in future revenue.</w:t>
      </w:r>
    </w:p>
    <w:p>
      <w:pPr>
        <w:spacing w:after="0" w:line="179" w:lineRule="exact"/>
        <w:rPr>
          <w:sz w:val="20"/>
          <w:szCs w:val="20"/>
          <w:color w:val="auto"/>
        </w:rPr>
      </w:pPr>
    </w:p>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processed through a single distributor and the loss of this distributor may cause disruptions in our shipments, which may adversely affect our operations and financial condition.</w:t>
      </w:r>
    </w:p>
    <w:p>
      <w:pPr>
        <w:spacing w:after="0" w:line="159"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sell a significant percentage of our solutions through a single distributor, Wintech Microelectronics Co., Ltd., or Wintech, which serves as our non-exclusive sales representative in Asia, other than Japan. Approximately 60%, 58% and 59% of our revenue was derived from sales through Wintech for the fiscal years ended January 31, 2020, 2019 and 2018, respectively, and approximately 60% of our revenue was derived from sales through Wintech for the six months ended July 31, 2020. We anticipate that a significant portion of our revenue will continue to be derived from sales through Wintech in the foreseeable future. In November 2019, WPG Holdings Co., or WPG, a Taiwan distributor, announced an unsolicited bid to acquire up to 30% of Wintech. While the outcome of WPG’s bid is unknown at this time, an acquisition of Wintech by WPG could have an adverse impact on our relationship with Wintech. Our current agreement with Wintech is effective until September 2022, unless it is terminated earlier by either party for any or no reason with 60 days written notice or by failure of the breaching party to cure a material breach within 30 days following written notice of such material breach by the non-breaching party. Our agreement with Wintech will automatically renew for additional successive 12-month terms unless at least 60 days before the end of the then-current term either party provides written notice to the other party that it elects not to renew the agreement. Termination of the relationship with Wintech, either by us or by Wintech, could result in a temporary or permanent loss of revenue. We may not be successful in finding suitable alternative distributors on satisfactory terms, or at all, and this could adversely affect our ability to effectively sell our solutions in certain geographical locations or to certain end customers. Furthermore, Wintech, or any successor or other distributors we do business with, may face issues obtaining credit, which could impair their ability to make timely payments to us.</w:t>
      </w:r>
    </w:p>
    <w:p>
      <w:pPr>
        <w:spacing w:after="0" w:line="19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our distributors' product inventories.</w:t>
      </w:r>
    </w:p>
    <w:p>
      <w:pPr>
        <w:spacing w:after="0" w:line="12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sell many of our products to customers through distributors who maintain their own inventory of our products for sale to ODMs and end customers. We allow limited price adjustments on sales to distributors. Price adjustments may be effected by way of credits for future product or by cash payments to the distributor, either in arrears or in advance, using estimates based on historical transactions. Upon the adoption of ASC 606 on February 1, 2018, we recognize revenue on sales to distributors upon shipment and transfer of control (known as “sell-in” revenue recognition) based on the amount of consideration expected to be received. To the extent that the actual consideration received is materially different from estimated variable consideration recognized, we may be required to adjust revenue in subsequent periods.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ind w:firstLine="510"/>
        <w:spacing w:after="0" w:line="254" w:lineRule="auto"/>
        <w:rPr>
          <w:sz w:val="20"/>
          <w:szCs w:val="20"/>
          <w:color w:val="auto"/>
        </w:rPr>
      </w:pPr>
      <w:r>
        <w:rPr>
          <w:rFonts w:ascii="Times New Roman" w:cs="Times New Roman" w:eastAsia="Times New Roman" w:hAnsi="Times New Roman"/>
          <w:sz w:val="18"/>
          <w:szCs w:val="18"/>
          <w:color w:val="auto"/>
        </w:rPr>
        <w:t>If our distributors are unable to sell an adequate amount of their inventory of our products in a given quarter to ODMs and end customers, or if they decide to decrease their inventories for any reason, such as adverse global economic conditions or a downturn in technology spending, our sales to these distributors and our revenues may decline. We also face the risk that our distributors may purchase, or for other reasons accumulate, inventory levels of our products in any particular quarter in excess of future anticipated sales to end customers. If such sales do not occur in the time frame anticipated by these distributors for any reason, these distributors may substantially decrease the amount of product they order from us in subsequent periods until their inventory levels realign with end-customer demand, which would harm our business and could adversely affect our revenues in such subsequent periods. Our reserve estimates associated with products stocked by our distributors are based largely on reports that our distributors provide to us on a weekly or monthly basis. To date, we believe this resale and channel inventory data have been generally accurate. To the extent that these data are inaccurate or not received in a timely manner, we may not be able to make reserve estimates for future periods accurately or at all.</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Deterioration of the financial conditions of our customers could adversely affect our operating results.</w:t>
      </w:r>
    </w:p>
    <w:p>
      <w:pPr>
        <w:spacing w:after="0" w:line="121" w:lineRule="exact"/>
        <w:rPr>
          <w:sz w:val="20"/>
          <w:szCs w:val="20"/>
          <w:color w:val="auto"/>
        </w:rPr>
      </w:pPr>
    </w:p>
    <w:p>
      <w:pPr>
        <w:ind w:firstLine="510"/>
        <w:spacing w:after="0" w:line="261" w:lineRule="auto"/>
        <w:rPr>
          <w:sz w:val="20"/>
          <w:szCs w:val="20"/>
          <w:color w:val="auto"/>
        </w:rPr>
      </w:pPr>
      <w:r>
        <w:rPr>
          <w:rFonts w:ascii="Times New Roman" w:cs="Times New Roman" w:eastAsia="Times New Roman" w:hAnsi="Times New Roman"/>
          <w:sz w:val="18"/>
          <w:szCs w:val="18"/>
          <w:color w:val="auto"/>
        </w:rPr>
        <w:t>Deterioration of the financial condition of our distributors or customers could adversely impact our collection of accounts receivable. We regularly review the collectability and creditworthiness of our distributors and customers to determine an appropriate allowance for doubtful receivables. Based on our review of our distributors and customers, we currently have only immaterial reserves for uncollectible accounts. If our uncollectible accounts, however, were to exceed our current or future allowance for doubtful receivables, our operating results would be negatively impacted.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loss of any of our key personnel could seriously harm our business.</w:t>
      </w:r>
    </w:p>
    <w:p>
      <w:pPr>
        <w:spacing w:after="0" w:line="12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We believe our future success depends in large part upon the continuing services of the members of our senior management team and various engineering and other technical personnel. If one or more of our senior executives or other key personnel are unable or unwilling to continue in their present positions, we may not be able to replace them easily or at all, our business may be disrupted, and our financial condition and results of operations may be materially and adversely affected. In addition, if any member of our senior management team or any of our other key personnel joins a competitor or forms a competing company, we may experience material disruption of our operations and development plans and lose customers, know-how and key professionals and staff members, and we may incur increased operating expenses as the attention of other senior executives is diverted to recruit replacements for key personnel.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highly skilled personnel and, if we are unable to hire, retain or motivate key personnel, we may not be able to grow effectively.</w:t>
      </w:r>
    </w:p>
    <w:p>
      <w:pPr>
        <w:spacing w:after="0" w:line="121" w:lineRule="exact"/>
        <w:rPr>
          <w:sz w:val="20"/>
          <w:szCs w:val="20"/>
          <w:color w:val="auto"/>
        </w:rPr>
      </w:pPr>
    </w:p>
    <w:p>
      <w:pPr>
        <w:ind w:right="140" w:firstLine="510"/>
        <w:spacing w:after="0" w:line="255" w:lineRule="auto"/>
        <w:rPr>
          <w:sz w:val="20"/>
          <w:szCs w:val="20"/>
          <w:color w:val="auto"/>
        </w:rPr>
      </w:pPr>
      <w:r>
        <w:rPr>
          <w:rFonts w:ascii="Times New Roman" w:cs="Times New Roman" w:eastAsia="Times New Roman" w:hAnsi="Times New Roman"/>
          <w:sz w:val="18"/>
          <w:szCs w:val="18"/>
          <w:color w:val="auto"/>
        </w:rPr>
        <w:t>Our performance largely depends on the talents and efforts of highly skilled individuals. Our future success depends on our continuing ability to identify, hire, develop, motivate, and retain highly skilled personnel for all areas of our organization. Our industry is characterized by high demand and intense competition for talent. The pool of qualified candidates is limited, particularly in Silicon Valley and parts of Asia for very-large-scale integration, or VLSI, and artificial intelligence and computer vision engineers, and certain of our competitors and potential competitors with greater resources have directly targeted our employees. In addition, our compensation arrangements, such as our equity award programs, may not always be successful in attracting new employees and retaining and motivating our existing employees. Our continued ability to compete effectively, and to grow our business, depends on our ability to attract new employees and to retain and motivate our existing employees.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cyclical nature of the semiconductor industry.</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The semiconductor industry is highly cyclical and is characterized by constant and rapid technological change, rapid product obsolescence, price erosion, evolving standards, short product life cycles and wide fluctuations in product supply and demand. The industry experienced a significant downturn during the 2008-2009 global recession and the economic impact of the COVID-19 pandemic could lead to a similar downturn in future periods. These downturns have been characterized by diminished product demand, production overcapacity, high inventory levels and accelerated erosion of average selling prices. Any future downturns could harm our business and operating results. Furthermore, any significant upturn in the semiconductor industry could result in increased competition for access to third-party foundry and assembly capacity. We are dependent on the availability of this capacity to manufacture and assemble our SoC solutions. None of our third-party foundry or assembly contractors has provided assurances that adequate capacity will be available to us in the future.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44" w:name="page45"/>
    <w:bookmarkEnd w:id="44"/>
    <w:p>
      <w:pPr>
        <w:jc w:val="both"/>
        <w:ind w:right="200" w:firstLine="51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complexity of our solutions could result in unforeseen delays or expenses from undetected defects, errors or bugs in hardware or software which could reduce the market adoption of our new solutions, damage our reputation with current or prospective customers and adversely affect our operating costs.</w:t>
      </w:r>
    </w:p>
    <w:p>
      <w:pPr>
        <w:spacing w:after="0" w:line="67"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Highly complex SoC solutions such as ours frequently contain defects, errors and bugs when they are first introduced or as new versions are released. We have in the past and may in the future experience these defects, errors and bugs. If any of our solutions have reliability, quality or compatibility problems, we may not be able to successfully correct these problems in a timely manner or at all. In addition, if any of our proprietary features contain defects, errors or bugs when first introduced or as new versions of our solutions are released, we may be unable to timely correct these problems. Consequently, our reputation may be damaged and customers may be reluctant to buy our solutions, which could harm our ability to retain existing customers and attract new customers, and could adversely affect our financial results. In addition, these defects, errors or bugs could interrupt or delay sales to our customers. If any of these problems are not found until after we have commenced commercial production of a new product, we may incur significant additional development costs and product recall, repair or replacement costs. These problems may also result in claims against us by our customers or others.</w:t>
      </w:r>
    </w:p>
    <w:p>
      <w:pPr>
        <w:spacing w:after="0" w:line="184" w:lineRule="exact"/>
        <w:rPr>
          <w:sz w:val="20"/>
          <w:szCs w:val="20"/>
          <w:color w:val="auto"/>
        </w:rPr>
      </w:pPr>
    </w:p>
    <w:p>
      <w:pPr>
        <w:ind w:right="8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Camera manufacturers incorporate components supplied by multiple third parties, and a supply shortage or delay in delivery of these components could delay orders for our solutions by our customers.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customers purchase components used in the manufacture of their cameras from various sources of supply, often involving several specialized components, including lenses, sensors, and memory chips. Any supply shortage or delay in delivery by third-party component suppliers, or a third-party supplier’s cessation or shut down of its business, may prevent or delay production of our customers’ products. As a result of delays in delivery or supply shortages of third-party components, orders for our solutions may be delayed or canceled and our business may be harmed. For example, a disruption in the availability of image sensors from Sony Corporation as a result of the April 14, 2016 Kumamoto, Japan earthquake impacted our customers’ ability to build or launch cameras and, as a result, negatively impacted the timing and scope of demand for our SoCs in the second and third quarters of fiscal year 2017. Similarly, our ability to generate design wins in some markets, such as the automotive OEM market, requires us to collaborate with third-party software suppliers in order to offer a complete solution to customers. Our inability to successfully collaborate with such third-party suppliers, or such suppliers’ inability to develop and deliver software, could harm our ability to achieve design wins and harm our business. Errors or defects within a camera system or in the manner in which the various components interact could prevent or delay production of our customers’ products, which could harm our business.</w:t>
      </w:r>
    </w:p>
    <w:p>
      <w:pPr>
        <w:spacing w:after="0" w:line="190" w:lineRule="exact"/>
        <w:rPr>
          <w:sz w:val="20"/>
          <w:szCs w:val="20"/>
          <w:color w:val="auto"/>
        </w:rPr>
      </w:pPr>
    </w:p>
    <w:p>
      <w:pPr>
        <w:ind w:right="20"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outsource our wafer fabrication, assembly and testing operations to third parties, and if these parties fail to produce and deliver our products according to requested demands in specification, quantity, cost and time, our reputation, customer relationships and operating results could suffer.</w:t>
      </w:r>
    </w:p>
    <w:p>
      <w:pPr>
        <w:spacing w:after="0" w:line="28"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We rely on third parties for substantially all of our manufacturing operations, including wafer fabrication, assembly and testing. Currently, the majority of our SoCs are supplied by Samsung in facilities located in Austin, Texas and South Korea, from whom we have the option to purchase both fully assembled and tested products as well as tested die in wafer form for assembly. Samsung subcontracts the assembly and initial testing of the assembled chips it supplies to us to Signetics Corporation and STATS ChipPAC Ltd. In the case of purchases of tested die from Samsung, we contract the assembly to Advanced Semiconductor Engineering, Inc., or ASE. We also have products supplied by Global UniChip Corporation, or GUC, in Taiwan, from whom we purchase fully assembled and tested products. The wafers used by GUC in the assembly of our products are manufactured by TSMC in Taiwan. The assembly is done by GUC subcontracted assembly suppliers ASE, and Powertech Technology Inc, or PTI. Final testing of all of our products is handled by King Yuan Electronics Co., Ltd. or Sigurd Corporation under the supervision of our engineers. We depend on these third parties to supply us with material of a requested quantity in a timely manner that meets our standards for yield, cost and manufacturing quality. Availability of capacity within our supply chain has tightened recently, which could limit the volume of products we can produce and negatively impact our business and operations. We do not have any long-term supply agreements with any of our manufacturing suppliers. If one or more of these vendors terminates its relationship with us, or if we encounter any problems with our manufacturing supply chain, including available capacity constraints, our ability to ship our solutions to our customers on time and in the quantity required would be adversely affected, which in turn could cause an unanticipated decline in our sales and damage our customer relationships.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5" w:name="page46"/>
    <w:bookmarkEnd w:id="45"/>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foundry vendors do not achieve satisfactory yields or quality, our reputation and customer relationships could be harmed.</w:t>
      </w:r>
    </w:p>
    <w:p>
      <w:pPr>
        <w:spacing w:after="0" w:line="12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The fabrication of our video and image processing SoC solutions is a complex and technically demanding process. Minor deviations in the manufacturing process can cause substantial decreases in yields, and in some cases, cause production to be suspended. Our foundry vendors, from time to time, experience manufacturing defects and reduced manufacturing yields, including in the fabrication of our SoCs. Changes in manufacturing processes or the inadvertent use of defective or contaminated materials by our foundry vendors could result in lower than anticipated manufacturing yields or unacceptable performance of our SoCs. Many of these problems are difficult to detect at an early stage of the manufacturing process and may be time consuming and expensive to correct. Poor yields from our foundry vendors, or defects, integration issues or other performance problems in our solutions, could cause us significant customer relations and business reputation problems, harm our financial results and give rise to financial or other damages to our customers. Our customers might consequently seek damages from us for their losses. A product liability claim brought against us, even if unsuccessful, would likely be time consuming and costly to defend.</w:t>
      </w:r>
    </w:p>
    <w:p>
      <w:pPr>
        <w:spacing w:after="0" w:line="80"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Each of our SoC solutions is manufactured at a single location. If we experience manufacturing problems at a particular location, we would be required to transfer manufacturing to a new location or supplier. Converting or transferring manufacturing from a primary location or supplier to a backup fabrication facility could be expensive and could take two or more quarters. During such a transition, we would be required to meet customer demand from our then-existing inventory, as well as any partially finished goods that could be modified to the required product specifications. We do not seek to maintain sufficient inventory to address a lengthy transition period because we believe it is uneconomical to keep more than minimal inventory on hand. As a result, we may not be able to meet customer needs during such a transition, which could delay shipments, cause production delays, result in a decline in our sales and damage our customer relationships.</w:t>
      </w:r>
    </w:p>
    <w:p>
      <w:pPr>
        <w:spacing w:after="0" w:line="185" w:lineRule="exact"/>
        <w:rPr>
          <w:sz w:val="20"/>
          <w:szCs w:val="20"/>
          <w:color w:val="auto"/>
        </w:rPr>
      </w:pPr>
    </w:p>
    <w:p>
      <w:pPr>
        <w:ind w:right="6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difficulties in transitioning to new wafer fabrication process technologies or in achieving higher levels of design integration, which may result in reduced manufacturing yields, delays in product deliveries and increased costs.</w:t>
      </w:r>
    </w:p>
    <w:p>
      <w:pPr>
        <w:spacing w:after="0" w:line="51" w:lineRule="exact"/>
        <w:rPr>
          <w:sz w:val="20"/>
          <w:szCs w:val="20"/>
          <w:color w:val="auto"/>
        </w:rPr>
      </w:pPr>
    </w:p>
    <w:p>
      <w:pPr>
        <w:ind w:right="40" w:firstLine="510"/>
        <w:spacing w:after="0" w:line="253" w:lineRule="auto"/>
        <w:rPr>
          <w:sz w:val="20"/>
          <w:szCs w:val="20"/>
          <w:color w:val="auto"/>
        </w:rPr>
      </w:pPr>
      <w:r>
        <w:rPr>
          <w:rFonts w:ascii="Times New Roman" w:cs="Times New Roman" w:eastAsia="Times New Roman" w:hAnsi="Times New Roman"/>
          <w:sz w:val="18"/>
          <w:szCs w:val="18"/>
          <w:color w:val="auto"/>
        </w:rPr>
        <w:t>We aim to use the most advanced manufacturing process technology appropriate for our products that is available from our third-party foundries. As a result, we periodically evaluate the benefits of migrating our solutions to smaller geometry process technologies in order to improve performance and reduce costs. We believe this strategy will help us remain competitive. We may face difficulties, delays and increased expense as we transition our products to new processes, such as the 5nm process node, and potentially to new foundries. We depend on Samsung and TSMC, as the principal foundries for our products, to transition to new processes successfully. We cannot assure you that Samsung or TSMC will be able to effectively manage such transitions or that we will be able to maintain our relationship with Samsung or TSMC or develop relationships with new foundries. Moreover, as we utilize more advanced process nodes beyond 10nm, we are increasingly dependent upon Samsung and TSMC, who are the only foundries currently available for certain advanced process technologies. If we or our foundry vendors experience significant delays in transitioning to smaller geometries or fail to efficiently implement transitions, we could experience reduced manufacturing yields, delays in product deliveries and increased costs, all of which could harm our relationships with our customers and our operating results.</w:t>
      </w:r>
    </w:p>
    <w:p>
      <w:pPr>
        <w:spacing w:after="0" w:line="190" w:lineRule="exact"/>
        <w:rPr>
          <w:sz w:val="20"/>
          <w:szCs w:val="20"/>
          <w:color w:val="auto"/>
        </w:rPr>
      </w:pPr>
    </w:p>
    <w:p>
      <w:pPr>
        <w:ind w:right="3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vendors to supply software development tools to us for the development of our new products, and we may be unable to obtain the tools necessary to develop or enhance new or existing products.</w:t>
      </w:r>
    </w:p>
    <w:p>
      <w:pPr>
        <w:spacing w:after="0" w:line="51"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rely on third-party software development tools to assist us in the design, simulation and verification of new products or product enhancements. To bring new products or product enhancements to market in a timely manner, or at all, we need software development tools that are sophisticated enough or technologically advanced enough to complete our design, simulations and verifications. In the future, the design requirements necessary to meet consumer demands for more features and greater functionality from our solutions may exceed the capabilities of available software development tools. Unavailability of software development tools may result in our missing design cycles or losing design wins, either of which could result in a loss of market share or negatively impact our operating results.</w:t>
      </w:r>
    </w:p>
    <w:p>
      <w:pPr>
        <w:spacing w:after="0" w:line="187" w:lineRule="exact"/>
        <w:rPr>
          <w:sz w:val="20"/>
          <w:szCs w:val="20"/>
          <w:color w:val="auto"/>
        </w:rPr>
      </w:pPr>
    </w:p>
    <w:p>
      <w:pPr>
        <w:ind w:right="20" w:firstLine="510"/>
        <w:spacing w:after="0" w:line="261" w:lineRule="auto"/>
        <w:rPr>
          <w:sz w:val="20"/>
          <w:szCs w:val="20"/>
          <w:color w:val="auto"/>
        </w:rPr>
      </w:pPr>
      <w:r>
        <w:rPr>
          <w:rFonts w:ascii="Times New Roman" w:cs="Times New Roman" w:eastAsia="Times New Roman" w:hAnsi="Times New Roman"/>
          <w:sz w:val="18"/>
          <w:szCs w:val="18"/>
          <w:color w:val="auto"/>
        </w:rPr>
        <w:t>Because of the importance of software development tools to the development and enhancement of our solutions, our relationships with leaders in the computer-aided design industry, including Cadence Design Systems, Inc., Mentor Graphics Corporation and Synopsys, Inc., are critical to us. If these relationships are not successful, we may be unable to develop new products or product enhancements in a timely manner, which could result in a loss of market share, a decrease in revenue or negatively impact our operating results.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6" w:name="page47"/>
    <w:bookmarkEnd w:id="46"/>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adequately protect our intellectual property rights could impair our ability to compete effectively or defend ourselves from litigation, which could harm our business, financial condition and results of operations.</w:t>
      </w:r>
    </w:p>
    <w:p>
      <w:pPr>
        <w:spacing w:after="0" w:line="51" w:lineRule="exact"/>
        <w:rPr>
          <w:sz w:val="20"/>
          <w:szCs w:val="20"/>
          <w:color w:val="auto"/>
        </w:rPr>
      </w:pPr>
    </w:p>
    <w:p>
      <w:pPr>
        <w:ind w:right="20" w:firstLine="510"/>
        <w:spacing w:after="0" w:line="268" w:lineRule="auto"/>
        <w:rPr>
          <w:sz w:val="20"/>
          <w:szCs w:val="20"/>
          <w:color w:val="auto"/>
        </w:rPr>
      </w:pPr>
      <w:r>
        <w:rPr>
          <w:rFonts w:ascii="Times New Roman" w:cs="Times New Roman" w:eastAsia="Times New Roman" w:hAnsi="Times New Roman"/>
          <w:sz w:val="17"/>
          <w:szCs w:val="17"/>
          <w:color w:val="auto"/>
        </w:rPr>
        <w:t>Our success depends, in part, on our ability to protect our intellectual property. We rely primarily on patent, copyright, trademark and trade secret laws, as well as confidentiality and non-disclosure agreements and other contractual protections, to protect our proprietary technologies and know-how, all of which offer only limited protection. The steps we have taken to protect our intellectual property rights may not be adequate to prevent misappropriation of our proprietary information or infringement of our intellectual property rights, and our ability to prevent such misappropriation or infringement is uncertain, particularly in countries outside of the United States. The failure of our patents to adequately protect our technology might make it easier for our competitors to offer similar products or technologies, which would harm our business. For example, our patents and patent applications could be opposed, contested, circumvented, designed around by our competitors or be declared invalid or unenforceable in judicial or administrative proceedings. Our foreign patent protection is generally not as comprehensive as our U.S. patent protection and may not protect our intellectual property in some countries where our products are sold or may be sold in the future. Many U.S.-based companies have encountered substantial intellectual property infringement in foreign countries, including countries where we sell products. Even if foreign patents are granted, effective enforcement in foreign countries may not be available. For example, the legal environment relating to intellectual property protection in certain emerging market countries where we operate is relatively weaker, often making it difficult to create and enforce such rights. We may not be able to effectively protect our intellectual property rights in these emerging markets or elsewhere. If such an impermissible use of our intellectual property or trade secrets were to occur, our ability to sell our solutions at competitive prices may be adversely affected and our business, financial condition, operating results and cash flows could be materially and adversely affected.</w:t>
      </w:r>
    </w:p>
    <w:p>
      <w:pPr>
        <w:spacing w:after="0" w:line="184" w:lineRule="exact"/>
        <w:rPr>
          <w:sz w:val="20"/>
          <w:szCs w:val="20"/>
          <w:color w:val="auto"/>
        </w:rPr>
      </w:pPr>
    </w:p>
    <w:p>
      <w:pPr>
        <w:ind w:right="60" w:firstLine="510"/>
        <w:spacing w:after="0" w:line="256" w:lineRule="auto"/>
        <w:rPr>
          <w:sz w:val="20"/>
          <w:szCs w:val="20"/>
          <w:color w:val="auto"/>
        </w:rPr>
      </w:pPr>
      <w:r>
        <w:rPr>
          <w:rFonts w:ascii="Times New Roman" w:cs="Times New Roman" w:eastAsia="Times New Roman" w:hAnsi="Times New Roman"/>
          <w:sz w:val="18"/>
          <w:szCs w:val="18"/>
          <w:color w:val="auto"/>
        </w:rPr>
        <w:t>We may in the future need to initiate infringement claims or litigation in order to try to protect our intellectual property rights. Litigation, whether we are a plaintiff or a defendant, can be expensive, time-consuming and may divert the efforts of our technical staff and management, which could harm our business, whether or not such litigation results in a determination favorable to us. Litigation also puts our patents at risk of being invalidated or interpreted narrowly and our patent applications at risk of not being issued. Additionally, any enforcement of our patents or other intellectual property may provoke third parties to assert counterclaims against us. If we are unable to protect our proprietary rights or if third parties independently develop or gain access to our or similar technologies, our business, revenue, reputation and competitive position could be harmed.</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assertions of infringement of their intellectual property rights could result in our having to incur significant costs and cause our operating results to suffer.</w:t>
      </w:r>
    </w:p>
    <w:p>
      <w:pPr>
        <w:spacing w:after="0" w:line="51" w:lineRule="exact"/>
        <w:rPr>
          <w:sz w:val="20"/>
          <w:szCs w:val="20"/>
          <w:color w:val="auto"/>
        </w:rPr>
      </w:pPr>
    </w:p>
    <w:p>
      <w:pPr>
        <w:ind w:right="100" w:firstLine="510"/>
        <w:spacing w:after="0" w:line="255" w:lineRule="auto"/>
        <w:rPr>
          <w:sz w:val="20"/>
          <w:szCs w:val="20"/>
          <w:color w:val="auto"/>
        </w:rPr>
      </w:pPr>
      <w:r>
        <w:rPr>
          <w:rFonts w:ascii="Times New Roman" w:cs="Times New Roman" w:eastAsia="Times New Roman" w:hAnsi="Times New Roman"/>
          <w:sz w:val="18"/>
          <w:szCs w:val="18"/>
          <w:color w:val="auto"/>
        </w:rPr>
        <w:t>The semiconductor industry is characterized by vigorous protection and pursuit of intellectual property rights and positions, which has resulted in protracted and expensive litigation for many companies. Certain of our customers have received, and we expect, particularly to the extent we gain greater market visibility, that in the future we may receive, communications from others alleging our infringement of their patents, trade secrets or other intellectual property rights. In addition, certain of our end customers have been the subject of lawsuits alleging infringement of intellectual property rights by products incorporating our solutions, including the assertion that the alleged infringement may be attributable, at least in part, to our technology. Lawsuits resulting from such allegations could subject us to significant liability for damages and invalidate our proprietary rights, though this has not occurred to date. Any potential intellectual property litigation also could force us to do one or more of the following:</w:t>
      </w:r>
    </w:p>
    <w:p>
      <w:pPr>
        <w:spacing w:after="0" w:line="81" w:lineRule="exact"/>
        <w:rPr>
          <w:sz w:val="20"/>
          <w:szCs w:val="20"/>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stop selling products or using technology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significant legal expenses;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to the party whose intellectual property rights we may be found to be infringing;</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those products that contain the allegedly infringing intellectual property;</w:t>
      </w:r>
    </w:p>
    <w:p>
      <w:pPr>
        <w:spacing w:after="0" w:line="117" w:lineRule="exact"/>
        <w:rPr>
          <w:rFonts w:ascii="Times New Roman" w:cs="Times New Roman" w:eastAsia="Times New Roman" w:hAnsi="Times New Roman"/>
          <w:sz w:val="18"/>
          <w:szCs w:val="18"/>
          <w:color w:val="auto"/>
        </w:rPr>
      </w:pPr>
    </w:p>
    <w:p>
      <w:pPr>
        <w:ind w:left="15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obtain a license to the relevant intellectual property from third parties, which may not be available on reasonable terms or at all; or</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opportunity to license our technology to others or to collect royalty payments based upon successful protection and assertion of our intellectual property against others.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Any significant impairment of our intellectual property rights from any litigation we face could harm our business and our ability to compete.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47" w:name="page48"/>
    <w:bookmarkEnd w:id="47"/>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potential dispute involving our patents or other intellectual property could affect our customers, which could trigger our indemnification obligations to them and result in substantial expense to us.</w:t>
      </w:r>
    </w:p>
    <w:p>
      <w:pPr>
        <w:spacing w:after="0" w:line="5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In any potential dispute involving our patents or other intellectual property, our customers could also become the target of litigation. Certain of our customers have received notices from third parties claiming to have patent rights in certain technology and inviting our customers to license this technology, and certain of our end customers have been the subject of lawsuits alleging infringement of patents by products incorporating our solutions, including the assertion that the alleged infringement may be attributable, at least in part, to our technology. Because we generally indemnify our customers for intellectual property claims made against them for products incorporating our technology, any litigation could trigger technical support and indemnification obligations under some of our license agreements, which could result in substantial expense to us. Because some of our ODMs and OEMs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ODMs or OEMs that could increase our expenses, disrupt our ability to sell our solutions and reduce our revenue.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warranty and product liability claims and to product recalls.</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From time to time, we are subject to warranty claims that may require us to make significant expenditures to defend these claims or pay damage awards. In the future, we may also be subject to product liability claims resulting from failure of our solutions or if products we design, manufacture, or sell, cause personal injury or property damage, even where the cause is unrelated to product defects. These risks will likely increase as our products are introduced into new devices, markets, or applications, including autonomous and semi-autonomous automotive, drone and robotic applications. In the event of a warranty claim, we may also incur costs if we compensate the affected customer. We maintain product liability insurance, but this insurance is limited in amount and subject to significant deductibles. There is no guarantee that our insurance will be available or adequate to protect against all claims. We also may incur costs and expenses relating to a recall of one of our customers’ products containing one of our devices. The process of identifying a recalled product in consumer devices that have been widely distributed may be lengthy and require significant resources, and we may incur significant replacement costs, contract damage claims from our customers and reputational harm. Costs or payments made in connection with warranty and product liability claims and product recalls could harm our financial condition and results of operations, as well as harm our reputation and cause the market value of our ordinary shares to decline.</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 breach of our security systems may have a material adverse effect on our business.</w:t>
      </w:r>
    </w:p>
    <w:p>
      <w:pPr>
        <w:spacing w:after="0" w:line="12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security systems are designed to maintain the physical security of our facilities and information systems and protect our customers’, suppliers’ and employees’ confidential information. Accidental or willful security breaches or other unauthorized access by third parties to our facilities or our information systems or the existence of computer viruses in our data or software could expose us to a risk of information loss and misappropriation of proprietary and confidential information. Security breaches, computer malware and computer hacking attacks have become more prevalent and sophisticated. Experienced computer programmers and hackers may be able to penetrate our security controls and misappropriate or compromise our confidential information or that of third parties or create system disruptions. Computer programmers and hackers also may be able to develop and deploy viruses, worms and other malicious software programs that attack our information systems and cause disruptions of our business. Data security breaches may also result from non-technical means, for example, actions by an employee. Any theft or misuse of this information could result in, among other things, damage to our reputation, allegations by our customers that we have not performed our contractual obligations, litigation by affected parties and possible financial obligations for liabilities and damages related to the theft or misuse of this information, any of which could have a material adverse effect on our business, financial condition, our reputation, and our relationships with our customers and partners. We also rely on a number of third-party “cloud-based” service providers of corporate infrastructure services relating to, among other things, human resources, electronic communication services and some finance functions, and we are, of necessity, dependent on the security systems of these providers. Any security breaches or other unauthorized access by third parties to the systems of our cloud-based service providers or the existence of computer viruses in their data or software could expose us to a risk of information loss and misappropriation of confidential information. Since the techniques used to obtain unauthorized access or to sabotage systems change frequently and are often not recognized until launched against a target, we may be unable to anticipate these techniques or to implement adequate preventative measures.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8" w:name="page49"/>
    <w:bookmarkEnd w:id="48"/>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provide services and technology necessary for the operation of our business. Any failure of one or more of our vendors, suppliers or licensors to provide such services or technology could harm our business.</w:t>
      </w:r>
    </w:p>
    <w:p>
      <w:pPr>
        <w:spacing w:after="0" w:line="159"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rely on third-party vendors to provide critical services, including, among other things, services related to accounting, human resources, information technology and network monitoring that we cannot or do not create or provide ourselves. We depend on these vendors to ensure that our corporate infrastructure will consistently meet our business requirements. The ability of these third-party vendors to successfully provide reliable and high-quality services is subject to technical and operational uncertainties that are beyond our control. While we may be entitled to damages if our vendors fail to perform under their agreements with us, our agreements with these vendors limit the amount of damages we may receive. In addition, we do not know whether we will be able to collect on any award of damages or that these damages would be sufficient to cover the actual costs we would incur as a result of any vendor’s failure to perform under its agreement with us. Upon expiration or termination of any of our agreements with third-party vendors, we may not be able to replace the services provided to us in a timely manner or on terms and conditions, including service levels and cost, that are favorable to us, and a transition from one vendor to another vendor could subject us to operational delays and inefficiencies until the transition is complete.</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laws, regulations and other legal obligations related to privacy and data protection.</w:t>
      </w:r>
    </w:p>
    <w:p>
      <w:pPr>
        <w:spacing w:after="0" w:line="121" w:lineRule="exact"/>
        <w:rPr>
          <w:sz w:val="20"/>
          <w:szCs w:val="20"/>
          <w:color w:val="auto"/>
        </w:rPr>
      </w:pPr>
    </w:p>
    <w:p>
      <w:pPr>
        <w:ind w:right="60" w:firstLine="510"/>
        <w:spacing w:after="0" w:line="271" w:lineRule="auto"/>
        <w:rPr>
          <w:sz w:val="20"/>
          <w:szCs w:val="20"/>
          <w:color w:val="auto"/>
        </w:rPr>
      </w:pPr>
      <w:r>
        <w:rPr>
          <w:rFonts w:ascii="Times New Roman" w:cs="Times New Roman" w:eastAsia="Times New Roman" w:hAnsi="Times New Roman"/>
          <w:sz w:val="17"/>
          <w:szCs w:val="17"/>
          <w:color w:val="auto"/>
        </w:rPr>
        <w:t>The legislative and regulatory framework for privacy and data protection issues worldwide is rapidly evolving and is likely to remain uncertain for the foreseeable future. We collect personally identifiable information, or PII, and other data as part of our business processes and activities. This data is subject to a variety of U.S. and international laws and regulations, including oversight by various regulatory or other governmental bodies. Many foreign countries and governmental bodies, including the European Union and other relevant jurisdictions where we conduct business, have laws and regulations concerning the collection and use of PII and other data obtained from their residents or by businesses operating within their jurisdictions that are currently more restrictive than those in the U.S. For example, effective May 2018, the European Union adopted the General Data Protection Regulation that imposed more stringent data protection requirements and provided for greater penalties for noncompliance. Any inability, or perceived inability, to adequately address privacy and data protection concerns, even if unfounded, or to comply with applicable laws, regulations, policies, industry standards, contractual obligations or other legal obligations, could result in additional cost and liability to us, damage our reputation and adversely affect our business.</w:t>
      </w:r>
    </w:p>
    <w:p>
      <w:pPr>
        <w:spacing w:after="0" w:line="169" w:lineRule="exact"/>
        <w:rPr>
          <w:sz w:val="20"/>
          <w:szCs w:val="20"/>
          <w:color w:val="auto"/>
        </w:rPr>
      </w:pPr>
    </w:p>
    <w:p>
      <w:pPr>
        <w:ind w:right="2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U.S. Foreign Corrupt Practices Act, or FCPA, and similar laws associated with our activities outside of the United States could subject us to penalties and other adverse consequences.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face significant risks if we fail to comply with the FCPA and other anti-corruption laws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Although we implemented an FCPA compliance program, we cannot assure you that all of our employees and agents, as well as those companies to which we outsource certain of our business operations, will not take actions in violation of our policies and applicable law, for which we may be ultimately held responsible. Any violation of the FCPA or other applicable anti-corruption laws could result in severe criminal or civil sanctions and, in the case of the FCPA, suspension or debarment from U.S. government contracting, which could have a material and adverse effect on our reputation, business, financial condition, operating results and cash flows.</w:t>
      </w:r>
    </w:p>
    <w:p>
      <w:pPr>
        <w:spacing w:after="0" w:line="188" w:lineRule="exact"/>
        <w:rPr>
          <w:sz w:val="20"/>
          <w:szCs w:val="20"/>
          <w:color w:val="auto"/>
        </w:rPr>
      </w:pPr>
    </w:p>
    <w:p>
      <w:pPr>
        <w:ind w:right="6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our customers and third-party contractors are subject to increasingly complex environmental regulations and compliance with these regulations may delay or interrupt our operations and adversely affect our business.</w:t>
      </w:r>
    </w:p>
    <w:p>
      <w:pPr>
        <w:spacing w:after="0" w:line="51" w:lineRule="exact"/>
        <w:rPr>
          <w:sz w:val="20"/>
          <w:szCs w:val="20"/>
          <w:color w:val="auto"/>
        </w:rPr>
      </w:pPr>
    </w:p>
    <w:p>
      <w:pPr>
        <w:ind w:right="20" w:firstLine="510"/>
        <w:spacing w:after="0" w:line="254" w:lineRule="auto"/>
        <w:rPr>
          <w:sz w:val="20"/>
          <w:szCs w:val="20"/>
          <w:color w:val="auto"/>
        </w:rPr>
      </w:pPr>
      <w:r>
        <w:rPr>
          <w:rFonts w:ascii="Times New Roman" w:cs="Times New Roman" w:eastAsia="Times New Roman" w:hAnsi="Times New Roman"/>
          <w:sz w:val="18"/>
          <w:szCs w:val="18"/>
          <w:color w:val="auto"/>
        </w:rPr>
        <w:t>We face increasing complexity in our procurement, design, and research and development operations as a result of requirements relating to the materials composition of our products, including the European Union’s, or EU’s, Restriction on the Use of Certain Hazardous Substances in Electrical and Electronic Equipment, or RoHS, directive, which restricts the content of lead and certain other hazardous substances in specified electronic products put on the market in the EU and similar Chinese legislation relating to marking of electronic products which became effective in March 2007. Failure to comply with these and similar laws and regulations could subject us to fines, penalties, civil or criminal sanctions, contract damage claims, and take-back of non-compliant products, which could harm our business, reputation and operating results. The passage of similar requirements in additional jurisdictions or the tightening of these standards in jurisdictions where our products are already subject to such requirements could cause us to incur significant expenditures to make our products compliant with new requirements, or could limit the markets into which we may sell our products.</w:t>
      </w:r>
    </w:p>
    <w:p>
      <w:pPr>
        <w:spacing w:after="0" w:line="192"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Our failure to comply with present and future environmental, health and safety laws could cause us to incur substantial costs, result in civil or criminal fines and penalties and decreased revenue, which could adversely affect our operating results. Failure by our foundry vendors or other suppliers to comply with applicable environmental laws and requirements could cause disruptions and delays in our product shipments, which could adversely affect our relations with our ODMs and OEMs and adversely affect our business and results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9" w:name="page50"/>
    <w:bookmarkEnd w:id="49"/>
    <w:p>
      <w:pPr>
        <w:ind w:right="1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Regulations related to “conflict minerals” may force us to incur additional expenses, may make our supply chain more complex and may result in damage to our reputation with customers.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or the Dodd-Frank Act, the Securities and Exchange Commission, or the SEC, has adopted requirements for companies that use certain minerals and metals, known as conflict minerals, in their products, whether or not these products are manufactured by third parties. These requirements require companies to perform due diligence, disclose and report whether or not such minerals originate from the Democratic Republic of the Congo and adjoining countries. These requirements could adversely affect the sourcing, availability and pricing of minerals used in the manufacture of semiconductor devices, including our products. While these requirements continue to be subject to administrative uncertainty, we have incurred, and may continue to incur, costs to comply with the disclosure requirements, including costs related to determining the source of any of the relevant minerals and metals used in our products. Since our supply chain is complex, we may not be able to sufficiently verify the origins for these minerals and metals used in our products through the due diligence procedures that we implement, which may harm our reputation. In such event, we may also face difficulties in satisfying customers who require that all of the components of our products are certified as conflict mineral free.</w:t>
      </w:r>
    </w:p>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Rapidly changing industry standards could make our video and image processing solutions obsolete, which would cause our operating results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suffer.</w:t>
      </w:r>
    </w:p>
    <w:p>
      <w:pPr>
        <w:spacing w:after="0" w:line="9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We design our video and image processing solutions to conform to video compression standards, including MPEG-2, H.264 Advanced Video Coding (AVC) and H.265 High Efficiency Video Coding (HEVC), set by industry standards setting bodies such as ITU-T Video Coding Experts Group and the ISO/IEC Moving Picture Experts Group. Generally, our solutions comprise only a part of a camera device. All components of these devices must uniformly comply with industry standards in order to operate efficiently together. We depend on companies that provide other components of the devices to support prevailing industry standards. Many of these companies are significantly larger and more influential in driving industry standards than we are. Some industry standards may not be widely adopted or implemented uniformly, and competing standards may emerge that may be preferred by our customers or by consumers. If our customers or the suppliers that provide other device components adopt new or competing industry standards with which our solutions are not compatible, or if the industry groups fail to adopt standards with which our solutions are compatible, our existing solutions would become less desirable to our customers. If our solutions are not in compliance with prevailing industry standards for a significant period of time, we could miss opportunities to achieve crucial design wins, which could harm our business. As a result, our sales would suffer, and we could be required to make significant expenditures to develop new SoC solutions to ensure compliance with relevant standards.</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use of open source software in our products, processes and technology may expose us to additional risks and compromise our proprietary intellectual property.</w:t>
      </w:r>
    </w:p>
    <w:p>
      <w:pPr>
        <w:spacing w:after="0" w:line="5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Our products, processes and technology sometimes utilize and incorporate software that is subject to an open source license. Open source software is typically freely accessible, usable and modifiable. Certain open source software licenses, such as the GNU General Public License,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terms unfavorable to us or at no cost. This can subject previously proprietary software to open source license terms.</w:t>
      </w:r>
    </w:p>
    <w:p>
      <w:pPr>
        <w:spacing w:after="0" w:line="183"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While we monitor the use of open source software in our products, processes and technology and try to ensure that no open 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third-party for our products, processes or technology, we could, under certain circumstances, be required to disclose the source code to our products, processes or technology. This could harm our intellectual property position and our business, results of operations and financial condition.</w:t>
      </w:r>
    </w:p>
    <w:p>
      <w:pPr>
        <w:spacing w:after="0" w:line="179" w:lineRule="exact"/>
        <w:rPr>
          <w:sz w:val="20"/>
          <w:szCs w:val="20"/>
          <w:color w:val="auto"/>
        </w:rPr>
      </w:pPr>
    </w:p>
    <w:p>
      <w:pPr>
        <w:ind w:right="5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operations and a significant portion of our customers and our subcontractors are located outside of the United States, which subjects us to additional risks, including increased complexity and costs of managing international operations and geopolitical instability.</w:t>
      </w:r>
    </w:p>
    <w:p>
      <w:pPr>
        <w:spacing w:after="0" w:line="51" w:lineRule="exact"/>
        <w:rPr>
          <w:sz w:val="20"/>
          <w:szCs w:val="20"/>
          <w:color w:val="auto"/>
        </w:rPr>
      </w:pPr>
    </w:p>
    <w:p>
      <w:pPr>
        <w:ind w:right="20" w:firstLine="510"/>
        <w:spacing w:after="0" w:line="258" w:lineRule="auto"/>
        <w:rPr>
          <w:sz w:val="20"/>
          <w:szCs w:val="20"/>
          <w:color w:val="auto"/>
        </w:rPr>
      </w:pPr>
      <w:r>
        <w:rPr>
          <w:rFonts w:ascii="Times New Roman" w:cs="Times New Roman" w:eastAsia="Times New Roman" w:hAnsi="Times New Roman"/>
          <w:sz w:val="18"/>
          <w:szCs w:val="18"/>
          <w:color w:val="auto"/>
        </w:rPr>
        <w:t>We have research and development design centers and business development offices in China, Japan, Italy, South Korea and Taiwan, and we expect to continue to conduct business with companies that are located outside the United States, particularly in Asia. We purchase wafers from foreign foundries, have our solutions assembled and tested by subcontractors located in Asia, and supply our solutions to customers located outside of the United States. Even customers of ours that are based in the United States often use contract manufacturers based in Asia to manufacture their products, and these contract manufacturers typically purchase products directly from us. As a result of our international focus, we face numerous challenges and risks, including:</w:t>
      </w:r>
    </w:p>
    <w:p>
      <w:pPr>
        <w:spacing w:after="0" w:line="75" w:lineRule="exact"/>
        <w:rPr>
          <w:sz w:val="20"/>
          <w:szCs w:val="20"/>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complexity and costs of managing international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and more difficult collection of receivables;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0" w:name="page51"/>
    <w:bookmarkEnd w:id="50"/>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contracts generally;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economic instability;</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instability and military conflicts;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protection of our intellectual property and other assets;</w:t>
      </w:r>
    </w:p>
    <w:p>
      <w:pPr>
        <w:spacing w:after="0" w:line="117" w:lineRule="exact"/>
        <w:rPr>
          <w:rFonts w:ascii="Times New Roman" w:cs="Times New Roman" w:eastAsia="Times New Roman" w:hAnsi="Times New Roman"/>
          <w:sz w:val="18"/>
          <w:szCs w:val="18"/>
          <w:color w:val="auto"/>
        </w:rPr>
      </w:pPr>
    </w:p>
    <w:p>
      <w:pPr>
        <w:ind w:left="1520" w:right="76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local laws and regulations and unanticipated changes in local laws and regulations, including tax laws and regulations;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foreign exchange restrictions and higher tariffs;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restrictions;</w:t>
      </w:r>
    </w:p>
    <w:p>
      <w:pPr>
        <w:spacing w:after="0" w:line="117" w:lineRule="exact"/>
        <w:rPr>
          <w:rFonts w:ascii="Times New Roman" w:cs="Times New Roman" w:eastAsia="Times New Roman" w:hAnsi="Times New Roman"/>
          <w:sz w:val="18"/>
          <w:szCs w:val="18"/>
          <w:color w:val="auto"/>
        </w:rPr>
      </w:pPr>
    </w:p>
    <w:p>
      <w:pPr>
        <w:ind w:left="1520" w:right="54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availability of import and export licenses and other governmental approvals, permits and licenses, including export classification requirements;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fluctuations relating to our international operating activities;</w:t>
      </w:r>
    </w:p>
    <w:p>
      <w:pPr>
        <w:spacing w:after="0" w:line="117" w:lineRule="exact"/>
        <w:rPr>
          <w:rFonts w:ascii="Times New Roman" w:cs="Times New Roman" w:eastAsia="Times New Roman" w:hAnsi="Times New Roman"/>
          <w:sz w:val="18"/>
          <w:szCs w:val="18"/>
          <w:color w:val="auto"/>
        </w:rPr>
      </w:pPr>
    </w:p>
    <w:p>
      <w:pPr>
        <w:ind w:left="1520" w:right="6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the U.S. government on our ability to do business with certain companies or in certain countries as a result of international political conflicts;</w:t>
      </w:r>
    </w:p>
    <w:p>
      <w:pPr>
        <w:spacing w:after="0" w:line="53" w:lineRule="exact"/>
        <w:rPr>
          <w:rFonts w:ascii="Times New Roman" w:cs="Times New Roman" w:eastAsia="Times New Roman" w:hAnsi="Times New Roman"/>
          <w:sz w:val="18"/>
          <w:szCs w:val="18"/>
          <w:color w:val="auto"/>
        </w:rPr>
      </w:pPr>
    </w:p>
    <w:p>
      <w:pPr>
        <w:ind w:left="1520" w:right="800" w:hanging="500"/>
        <w:spacing w:after="0" w:line="282" w:lineRule="auto"/>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delays and other consequences of limited local infrastructure, and disruptions, such as large-scale outages or interruptions of service from utilities or telecommunications providers;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 of terrorist acts;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standards and practices in the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health issues, pandemics, and natural disasters; and</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w:t>
      </w:r>
    </w:p>
    <w:p>
      <w:pPr>
        <w:spacing w:after="0" w:line="221" w:lineRule="exact"/>
        <w:rPr>
          <w:sz w:val="20"/>
          <w:szCs w:val="20"/>
          <w:color w:val="auto"/>
        </w:rPr>
      </w:pPr>
    </w:p>
    <w:p>
      <w:pPr>
        <w:ind w:right="80" w:firstLine="51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third-party contractors and their suppliers are concentrated in South Korea, Taiwan and Japan, a region subject to earthquakes and other natural disasters. Any disruption to the operations of these contractors could cause significant delays in the production or shipment of our products.</w:t>
      </w:r>
    </w:p>
    <w:p>
      <w:pPr>
        <w:spacing w:after="0" w:line="136" w:lineRule="exact"/>
        <w:rPr>
          <w:sz w:val="20"/>
          <w:szCs w:val="20"/>
          <w:color w:val="auto"/>
        </w:rPr>
      </w:pPr>
    </w:p>
    <w:p>
      <w:pPr>
        <w:ind w:firstLine="510"/>
        <w:spacing w:after="0" w:line="271" w:lineRule="auto"/>
        <w:rPr>
          <w:sz w:val="20"/>
          <w:szCs w:val="20"/>
          <w:color w:val="auto"/>
        </w:rPr>
      </w:pPr>
      <w:r>
        <w:rPr>
          <w:rFonts w:ascii="Times New Roman" w:cs="Times New Roman" w:eastAsia="Times New Roman" w:hAnsi="Times New Roman"/>
          <w:sz w:val="17"/>
          <w:szCs w:val="17"/>
          <w:color w:val="auto"/>
        </w:rPr>
        <w:t>The majority of our products are manufactured by or receive components from third-party contractors located in South Korea, Taiwan and Japan. The risk of an earthquake or tsunami in South Korea, Taiwan, Japan and elsewhere in the Pacific Rim region is significant due to the proximity of major earthquake fault lines. For example, in December 2006 a major earthquake occurred in Taiwan and in March 2011 a major earthquake and tsunami occurred in Japan. Although we are not aware of any significant damage suffered by our third-party contractors as a result of those natural disasters, the occurrence of additional earthquakes or other natural disasters could result in the disruption of our foundry vendor or assembly and test capacity. A disruption in the availability of image sensors from Sony Corporation as a result of the 2016 Kumamoto, Japan earthquake impacted our customers’ ability to build or launch cameras and, as a result, negatively impacted the timing and scope of demand for our SoCs in fiscal year 2017. Any disruption resulting from such events could cause significant delays in the production or shipment of our products until we are able to shift our manufacturing, assembling or testing from the affected contractor to another third-party vendor. We may not be able to obtain alternate capacity on favorable terms, or at all.</w:t>
      </w: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51" w:name="page52"/>
    <w:bookmarkEnd w:id="5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our operations are interrupted, our business and reputation could suffer.</w:t>
      </w:r>
    </w:p>
    <w:p>
      <w:pPr>
        <w:spacing w:after="0" w:line="229"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operations and those of our manufacturers are vulnerable to interruption caused by technical breakdowns, computer hardware and software malfunctions, software viruses, infrastructure failures, regional health issues and pandemics, fires, earthquakes, floods, power losses, telecommunications failures, terrorist attacks, wars, Internet failures and other events beyond our control. Any disruption in our services or operations could result in a reduction in revenue or a claim for substantial damages against us, regardless of whether we are responsible for that failure. The outbreak of COVID-19 has resulted in significant governmental measures being implemented to control the spread of the virus, including, among others, restrictions on travel, manufacturing and the movement of employees in many regions of the world, and the imposition of remote or work from home conditions in many of our offices, including the United States and Italy. If the remote or work from home conditions continue for an extended period of time, or similar restrictions and measures are implemented in more of the locations where we have offices, we may experience delays in product development, a decreased ability to support our customers, reduced design win activity, and overall lack of productivity. We rely on our computer equipment, database storage facilities and other office equipment, which are located primarily in the seismically active San Francisco Bay Area and Taiwan. If we suffer a significant database or network facility outage, our business could experience disruption until we fully implement our back-up systems.</w:t>
      </w:r>
    </w:p>
    <w:p>
      <w:pPr>
        <w:spacing w:after="0" w:line="188" w:lineRule="exact"/>
        <w:rPr>
          <w:sz w:val="20"/>
          <w:szCs w:val="20"/>
          <w:color w:val="auto"/>
        </w:rPr>
      </w:pPr>
    </w:p>
    <w:p>
      <w:pPr>
        <w:ind w:right="3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regulatory compliance requirements, including Section 404 of the Sarbanes-Oxley Act of 2002, which are costly to comply with, and our failure to comply with these requirements could harm our business and operating results.</w:t>
      </w:r>
    </w:p>
    <w:p>
      <w:pPr>
        <w:spacing w:after="0" w:line="51" w:lineRule="exact"/>
        <w:rPr>
          <w:sz w:val="20"/>
          <w:szCs w:val="20"/>
          <w:color w:val="auto"/>
        </w:rPr>
      </w:pPr>
    </w:p>
    <w:p>
      <w:pPr>
        <w:ind w:right="60" w:firstLine="510"/>
        <w:spacing w:after="0" w:line="254" w:lineRule="auto"/>
        <w:rPr>
          <w:sz w:val="20"/>
          <w:szCs w:val="20"/>
          <w:color w:val="auto"/>
        </w:rPr>
      </w:pPr>
      <w:r>
        <w:rPr>
          <w:rFonts w:ascii="Times New Roman" w:cs="Times New Roman" w:eastAsia="Times New Roman" w:hAnsi="Times New Roman"/>
          <w:sz w:val="18"/>
          <w:szCs w:val="18"/>
          <w:color w:val="auto"/>
        </w:rPr>
        <w:t>We are subject to disclosure and compliance requirements associated with being a public company, including but not limited to compliance with Section 404 of the Sarbanes-Oxley Act of 2002. For example, Section 404 of the Sarbanes-Oxley Act requires that our management report on, and our independent auditors attest to, the effectiveness of our internal control structure and procedures for financial reporting. Compliance with Section 404 requires a significant amount of time, expenses and diversion of internal resources. If we or our auditors discover a material weakness in our internal controls, the disclosure of that fact, even if quickly remedied, could reduce the market’s confidence in our financial statements and harm our stock price. In addition, if we fail to maintain effective controls over financial reporting, we could be subject to sanctions or investigations by The NASDAQ Stock Market, the SEC, or other regulatory authorities. Irrespective of compliance with Section 404, any failure of our internal controls could have a material adverse effect on our stated results of operations and harm our reputation. Furthermore, investor perceptions of our company may suffer, and this could cause a decline in the market price of our ordinary shares.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to financial accounting standards may affect our results of operations and could cause us to change our business practices.</w:t>
      </w:r>
    </w:p>
    <w:p>
      <w:pPr>
        <w:spacing w:after="0" w:line="121"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generally accepted accounting principles, or GAAP, in the United States. These accounting principles are subject to interpretation by the American Institute of Certified Public Accountants, the SEC and various bodies formed to interpret and create accounting rules and regulations. Changes in those accounting rules could have a significant effect on our financial results, require significant resources, pose challenges in forecasting revenue and may affect our reporting of transactions completed before a change is announced. Changes to those rules or the questioning of current practices may adversely affect our reported financial results or the way we conduct our business.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complexity of calculating our tax provision may result in errors that could result in restatements of our financial statements.</w:t>
      </w:r>
    </w:p>
    <w:p>
      <w:pPr>
        <w:spacing w:after="0" w:line="12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are incorporated in the Cayman Islands and our operations are subject to income and transaction taxes in the United States, China, Hong Kong, Japan, Italy, South Korea, Taiwan and other jurisdictions in which we do business. Due to the complexity associated with the calculation of our tax provision, we have hired independent tax advisors to assist us. If we or our independent tax advisors fail to resolve or fully understand certain issues, there may be errors that could result in us having to restate our financial statements. Restatements are generally costly and could adversely impact our results of operations or have a negative impact on the trading price of our ordinary shares.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tax returns could adversely affect our results.</w:t>
      </w:r>
    </w:p>
    <w:p>
      <w:pPr>
        <w:spacing w:after="0" w:line="121" w:lineRule="exact"/>
        <w:rPr>
          <w:sz w:val="20"/>
          <w:szCs w:val="20"/>
          <w:color w:val="auto"/>
        </w:rPr>
      </w:pPr>
    </w:p>
    <w:p>
      <w:pPr>
        <w:ind w:right="40" w:firstLine="510"/>
        <w:spacing w:after="0" w:line="258"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if our earnings are lower than anticipated in countries where we have lower statutory rates and higher than anticipated in countries where we have higher statutory rates, by changes in the valuation of our deferred tax assets and liabilities, tax effects of share-based compensation, or by changes in tax laws, regulations, accounting principles or interpretations thereof. For example, changes in tax laws, including the U.S. federal tax legislation commonly referred to as the Tax Cuts and Jobs Act of 2017, or Tax Act, as well as other factors, could cause us to experience fluctuations in our tax obligations and effective tax rates and otherwise adversely affect our tax positions and/or our tax liabilities.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2" w:name="page53"/>
    <w:bookmarkEnd w:id="52"/>
    <w:p>
      <w:pPr>
        <w:ind w:right="120" w:firstLine="510"/>
        <w:spacing w:after="0" w:line="256" w:lineRule="auto"/>
        <w:rPr>
          <w:sz w:val="20"/>
          <w:szCs w:val="20"/>
          <w:color w:val="auto"/>
        </w:rPr>
      </w:pPr>
      <w:r>
        <w:rPr>
          <w:rFonts w:ascii="Times New Roman" w:cs="Times New Roman" w:eastAsia="Times New Roman" w:hAnsi="Times New Roman"/>
          <w:sz w:val="18"/>
          <w:szCs w:val="18"/>
          <w:color w:val="auto"/>
        </w:rPr>
        <w:t>The Tax Act requires complex computations not previously provided in U.S. tax law.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Further, compliance with the Tax Act and the accounting for such provisions require accumulation of information not previously required or regularly produced. While we have completed our accounting for the effects of the Tax Act, additional regulatory guidance may still be issued by the applicable taxing authorities which could materially affect our tax obligations and effective tax rate.</w:t>
      </w:r>
    </w:p>
    <w:p>
      <w:pPr>
        <w:spacing w:after="0" w:line="79" w:lineRule="exact"/>
        <w:rPr>
          <w:sz w:val="20"/>
          <w:szCs w:val="20"/>
          <w:color w:val="auto"/>
        </w:rPr>
      </w:pPr>
    </w:p>
    <w:p>
      <w:pPr>
        <w:ind w:right="240" w:firstLine="510"/>
        <w:spacing w:after="0" w:line="289" w:lineRule="auto"/>
        <w:rPr>
          <w:sz w:val="20"/>
          <w:szCs w:val="20"/>
          <w:color w:val="auto"/>
        </w:rPr>
      </w:pPr>
      <w:r>
        <w:rPr>
          <w:rFonts w:ascii="Times New Roman" w:cs="Times New Roman" w:eastAsia="Times New Roman" w:hAnsi="Times New Roman"/>
          <w:sz w:val="17"/>
          <w:szCs w:val="17"/>
          <w:color w:val="auto"/>
        </w:rPr>
        <w:t>In addition, our income tax returns are subject to continuous examination by the Internal Revenue Service, or IRS, and other tax authorities. We regularly assess the likelihood of adverse outcomes resulting from these examinations to determine the adequacy of our provision for income taxes. We cannot assure you that the outcomes from these continuous examinations will not have an adverse effect on our operating results and financial condition.</w:t>
      </w:r>
    </w:p>
    <w:p>
      <w:pPr>
        <w:spacing w:after="0" w:line="154"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tax law changes, an unfavorable governmental review of our tax returns, changes in our geographical earnings mix or imposition of withholding taxes on repatriated earnings could adversely affect our effective tax rate and our operating results.</w:t>
      </w:r>
    </w:p>
    <w:p>
      <w:pPr>
        <w:spacing w:after="0" w:line="51" w:lineRule="exact"/>
        <w:rPr>
          <w:sz w:val="20"/>
          <w:szCs w:val="20"/>
          <w:color w:val="auto"/>
        </w:rPr>
      </w:pPr>
    </w:p>
    <w:p>
      <w:pPr>
        <w:ind w:right="20" w:firstLine="510"/>
        <w:spacing w:after="0" w:line="252" w:lineRule="auto"/>
        <w:rPr>
          <w:sz w:val="20"/>
          <w:szCs w:val="20"/>
          <w:color w:val="auto"/>
        </w:rPr>
      </w:pPr>
      <w:r>
        <w:rPr>
          <w:rFonts w:ascii="Times New Roman" w:cs="Times New Roman" w:eastAsia="Times New Roman" w:hAnsi="Times New Roman"/>
          <w:sz w:val="18"/>
          <w:szCs w:val="18"/>
          <w:color w:val="auto"/>
        </w:rPr>
        <w:t>Our operations are subject to certain taxes, such as income and transaction taxes, in the Cayman Islands, the United States, China, Hong Kong, Japan, Italy, South Korea, Taiwan and other jurisdictions in which we do business. A change in the tax laws in the jurisdictions in which we do business, including an increase in tax rates or an adverse change in the treatment of an item of income or expense, possibly with retroactive effect, could result in a material increase in the amount of taxes we incur. In particular, past proposals have been made to change certain U.S. tax laws relating to foreign entities with U.S. connections, which may include us. For example, previously proposed legislation has considered treating certain foreign corporations as U.S. domestic corporations (and therefore taxable on all of their worldwide income) if the management and control of the foreign corporation occurs, directly or indirectly, primarily within the United States. If such legislation were enacted, we could, depending on the precise form, be subject to U.S. taxation notwithstanding our domicile outside the United States. In addition, on October 5, 2015 the Organization for Economic Co-operation and Development, or OECD, which represents a coalition of member countries, released its final reports from the BEPS Action Plans. The final reports include recommendations covering a number of issues, including country-by-country reporting, permanent establishment rules, transfer pricing rules and tax treaties. These changes, which have been or are in the process of being adopted by numerous countries, could increase uncertainties and may adversely affect our provision for income taxes. In December 2018, the Cayman Islands passed the International Tax Co-Operation (Economic Substance) Law, 2018. Effective as of January 1, 2019, the new legislation requires Cayman Islands companies carrying one or more relevant activity to maintain a substantial economic presence in the Cayman Islands. Effective from December 31, 2019, we have structured our activities to comply with the new law. However, the legislation remains subject to further clarification and interpretation and accordingly, there is no guarantee that we will be deemed to be compliant. Furthermore, this legislation may require us to make additional changes to the activities we carry on in the Cayman Islands, which could increase our cost of operations, and we could be subject to penalties for lack of compliance. As a result, we are not able to determine the impact on our operations and net income as of the current period.</w:t>
      </w:r>
    </w:p>
    <w:p>
      <w:pPr>
        <w:spacing w:after="0" w:line="192" w:lineRule="exact"/>
        <w:rPr>
          <w:sz w:val="20"/>
          <w:szCs w:val="20"/>
          <w:color w:val="auto"/>
        </w:rPr>
      </w:pPr>
    </w:p>
    <w:p>
      <w:pPr>
        <w:ind w:right="360" w:firstLine="510"/>
        <w:spacing w:after="0" w:line="266" w:lineRule="auto"/>
        <w:rPr>
          <w:sz w:val="20"/>
          <w:szCs w:val="20"/>
          <w:color w:val="auto"/>
        </w:rPr>
      </w:pPr>
      <w:r>
        <w:rPr>
          <w:rFonts w:ascii="Times New Roman" w:cs="Times New Roman" w:eastAsia="Times New Roman" w:hAnsi="Times New Roman"/>
          <w:sz w:val="18"/>
          <w:szCs w:val="18"/>
          <w:color w:val="auto"/>
        </w:rPr>
        <w:t>We are subject to periodic audits or other reviews by tax authorities in the jurisdictions in which we conduct our activities. Any such audit, examination or review requires management’s time, diverts internal resources and, in the event of an unfavorable outcome, may result in additional tax liabilities or other adjustments to our historical results.</w:t>
      </w:r>
    </w:p>
    <w:p>
      <w:pPr>
        <w:spacing w:after="0" w:line="176"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Because we conduct operations in multiple jurisdictions, our effective tax rate is influenced by the amounts of income and expense attributed to each such jurisdiction. If such amounts were to change so as to increase the amounts of our net income subject to taxation in higher-tax jurisdictions, or if we were to commence operations in jurisdictions assessing relatively higher tax rates, our effective tax rate could be adversely affected. In addition, we may determine that it is advisable from time to time to repatriate earnings from subsidiaries under circumstances that could give rise to imposition of potentially significant withholding taxes by the jurisdictions in which such amounts were earned, without our receiving the benefit of any offsetting tax credits, which could also adversely impact our effective tax 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which could result in adverse U.S. federal income tax consequences for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w:t>
      </w:r>
    </w:p>
    <w:p>
      <w:pPr>
        <w:spacing w:after="0" w:line="99" w:lineRule="exact"/>
        <w:rPr>
          <w:sz w:val="20"/>
          <w:szCs w:val="20"/>
          <w:color w:val="auto"/>
        </w:rPr>
      </w:pPr>
    </w:p>
    <w:p>
      <w:pPr>
        <w:ind w:right="20" w:firstLine="510"/>
        <w:spacing w:after="0" w:line="253" w:lineRule="auto"/>
        <w:rPr>
          <w:sz w:val="20"/>
          <w:szCs w:val="20"/>
          <w:color w:val="auto"/>
        </w:rPr>
      </w:pPr>
      <w:r>
        <w:rPr>
          <w:rFonts w:ascii="Times New Roman" w:cs="Times New Roman" w:eastAsia="Times New Roman" w:hAnsi="Times New Roman"/>
          <w:sz w:val="18"/>
          <w:szCs w:val="18"/>
          <w:color w:val="auto"/>
        </w:rPr>
        <w:t>Based on the current and anticipated valuation of our assets and the composition of our income and assets, we do not expect to be considered a passive foreign investment company, or PFIC, for U.S. federal income tax purposes for our 2020 fiscal year or the foreseeable future. However, a separate determination must be made at the close of each taxable year as to whether we are a PFIC for that taxable year, and we cannot assure you that we will not be a PFIC for our 2021 fiscal year or any future taxable year. Under current law, a non-U.S. corporation will be considered a PFIC for any taxable year if either (a) at least 75% of its gross income is passive income or (b) at least 50% of the value of its assets, generally based on an average of the quarterly values of the assets during a taxable year, is attributable to assets that produce or are held for the production of passive income. PFIC status depends on the composition of our assets and income and the value of our assets (which may be based in part on the value of our ordinary shares which may fluctuate), including, among others, a pro rata portion of the income and assets of each subsidiary in which we own, directly or indirectly, at least 25% by value of the subsidiary’s equity interests, from time to time. Because we currently hold, and expect to continue to hold, a substantial amount of cash or cash equivalents, and because the calculation of the value of our assets may be based in part on the value of our ordinary shares which may fluctuate and may fluctuate considerably given that market prices of technology companies historically often have been volatile, we may be a PFIC for any taxable year. If we were treated as a PFIC for any taxable year during which a U.S. holder held ordinary shares, certain adverse U.S. federal income tax consequences could apply for such U.S. holder.</w:t>
      </w:r>
    </w:p>
    <w:p>
      <w:pPr>
        <w:spacing w:after="0" w:line="183" w:lineRule="exact"/>
        <w:rPr>
          <w:sz w:val="20"/>
          <w:szCs w:val="20"/>
          <w:color w:val="auto"/>
        </w:rPr>
      </w:pPr>
    </w:p>
    <w:p>
      <w:pPr>
        <w:ind w:right="1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our United States federal income tax classification, or that of our subsidiaries, could result in adverse tax consequences to our 10% or greater U.S. shareholders.</w:t>
      </w:r>
    </w:p>
    <w:p>
      <w:pPr>
        <w:spacing w:after="0" w:line="51" w:lineRule="exact"/>
        <w:rPr>
          <w:sz w:val="20"/>
          <w:szCs w:val="20"/>
          <w:color w:val="auto"/>
        </w:rPr>
      </w:pPr>
    </w:p>
    <w:p>
      <w:pPr>
        <w:ind w:right="340" w:firstLine="510"/>
        <w:spacing w:after="0" w:line="266" w:lineRule="auto"/>
        <w:rPr>
          <w:sz w:val="20"/>
          <w:szCs w:val="20"/>
          <w:color w:val="auto"/>
        </w:rPr>
      </w:pPr>
      <w:r>
        <w:rPr>
          <w:rFonts w:ascii="Times New Roman" w:cs="Times New Roman" w:eastAsia="Times New Roman" w:hAnsi="Times New Roman"/>
          <w:sz w:val="18"/>
          <w:szCs w:val="18"/>
          <w:color w:val="auto"/>
        </w:rPr>
        <w:t>The Tax Act may have changed the consequences to U.S. shareholders that own, or are considered to own, as a result of the attribution rules, ten percent or more of the voting power or value of the stock of a non-U.S. corporation (a 10% U.S. shareholder) under the U.S. Federal income tax law applicable to owners of U.S. controlled foreign corporations, or CFCs.</w:t>
      </w:r>
    </w:p>
    <w:p>
      <w:pPr>
        <w:spacing w:after="0" w:line="176" w:lineRule="exact"/>
        <w:rPr>
          <w:sz w:val="20"/>
          <w:szCs w:val="20"/>
          <w:color w:val="auto"/>
        </w:rPr>
      </w:pPr>
    </w:p>
    <w:p>
      <w:pPr>
        <w:ind w:right="40" w:firstLine="510"/>
        <w:spacing w:after="0" w:line="255" w:lineRule="auto"/>
        <w:rPr>
          <w:sz w:val="20"/>
          <w:szCs w:val="20"/>
          <w:color w:val="auto"/>
        </w:rPr>
      </w:pPr>
      <w:r>
        <w:rPr>
          <w:rFonts w:ascii="Times New Roman" w:cs="Times New Roman" w:eastAsia="Times New Roman" w:hAnsi="Times New Roman"/>
          <w:sz w:val="18"/>
          <w:szCs w:val="18"/>
          <w:color w:val="auto"/>
        </w:rPr>
        <w:t>Prior to the Tax Act, we did not believe that we, or any of our non-U.S. subsidiaries, were considered a CFC, which is a determination made daily based on whether the 10% U.S. shareholders together own, or are considered to own under the attribution rules, more than fifty percent of the voting power or value of a non-U.S. corporation. The Tax Act repealed Internal Revenue Code Section 958(b)(4), which, unless clarified in future regulations or other guidance, may result in classification of certain of the Company’s foreign subsidiaries as CFCs with respect to any single 10% U.S. shareholder. This may be the result without regard to whether 10% U.S. shareholders together own, directly or indirectly, more than fifty percent of the voting power or value of the Company as was the case under prior rules. The repeal is effective as of the last taxable year of CFCs beginning before January 1, 2018 and for the taxable year of 10% U.S. shareholders in which the CFCs' taxable year ends.</w:t>
      </w:r>
    </w:p>
    <w:p>
      <w:pPr>
        <w:spacing w:after="0" w:line="185"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exchange rates between and among the currencies of the countries in which we do business may adversely affect our operating results.</w:t>
      </w:r>
    </w:p>
    <w:p>
      <w:pPr>
        <w:spacing w:after="0" w:line="51" w:lineRule="exact"/>
        <w:rPr>
          <w:sz w:val="20"/>
          <w:szCs w:val="20"/>
          <w:color w:val="auto"/>
        </w:rPr>
      </w:pPr>
    </w:p>
    <w:p>
      <w:pPr>
        <w:ind w:firstLine="510"/>
        <w:spacing w:after="0" w:line="253" w:lineRule="auto"/>
        <w:rPr>
          <w:sz w:val="20"/>
          <w:szCs w:val="20"/>
          <w:color w:val="auto"/>
        </w:rPr>
      </w:pPr>
      <w:r>
        <w:rPr>
          <w:rFonts w:ascii="Times New Roman" w:cs="Times New Roman" w:eastAsia="Times New Roman" w:hAnsi="Times New Roman"/>
          <w:sz w:val="18"/>
          <w:szCs w:val="18"/>
          <w:color w:val="auto"/>
        </w:rPr>
        <w:t>Our sales have been historically denominated in U.S. dollars. An increase in the value of the U.S. dollar relative to the currencies of the countries in which our end customers operate could impair the ability of our end customers to cost-effectively integrate our SoCs into their devices which may materially affect the demand for our solutions and cause these end customers to reduce their orders, which would adversely affect our revenue and business. We may experience foreign exchange gains or losses due to the volatility of other currencies compared to the U.S. dollar. A significant portion of our solutions are sold to camera manufacturers located outside the United States, primarily in Asia. Sales to customers in Asia accounted for approximately 90%, 87% and 79% of our total revenue in fiscal years 2020, 2019 and 2018, respectively. For the six months ended July 31, 2020, sales to customers in Asia accounted for approximately 87% of our total revenue. Because most of our end customers or their ODM manufacturers are located in Asia, we anticipate that a majority of our future revenue will continue to come from sales to that region. Although a large percentage of our sales are made to customers in Asia, we believe that a significant number of the products designed by these customers and incorporating our SoCs are then sold to consumers globally. In addition, if in the future we sell products or purchase inventory in currencies other than the U.S. dollar, our exposure to foreign currency risk could become more significant.</w:t>
      </w:r>
    </w:p>
    <w:p>
      <w:pPr>
        <w:spacing w:after="0" w:line="192" w:lineRule="exact"/>
        <w:rPr>
          <w:sz w:val="20"/>
          <w:szCs w:val="20"/>
          <w:color w:val="auto"/>
        </w:rPr>
      </w:pPr>
    </w:p>
    <w:p>
      <w:pPr>
        <w:ind w:right="20" w:firstLine="510"/>
        <w:spacing w:after="0" w:line="256" w:lineRule="auto"/>
        <w:rPr>
          <w:sz w:val="20"/>
          <w:szCs w:val="20"/>
          <w:color w:val="auto"/>
        </w:rPr>
      </w:pPr>
      <w:r>
        <w:rPr>
          <w:rFonts w:ascii="Times New Roman" w:cs="Times New Roman" w:eastAsia="Times New Roman" w:hAnsi="Times New Roman"/>
          <w:sz w:val="18"/>
          <w:szCs w:val="18"/>
          <w:color w:val="auto"/>
        </w:rPr>
        <w:t>A significant number of our employees are located in Asia, principally Taiwan and China. Therefore, a portion of our payroll as well as certain other operating expenses are paid in currencies other than the U.S. dollar, such as the New Taiwan Dollar and the Chinese Yuan Renminbi. Our operating results are denominated in U.S. dollars and the difference in exchange rates in one period compared to another may directly impact period-to-period comparisons of our operating results. Furthermore, currency exchange rates, particularly the exchange rates between the Chinese Yuan Renminbi and the U.S. dollar and between the New Taiwan Dollar and the U.S. dollar, have been especially volatile in the recent past and these currency fluctuations may make it difficult for us to predict our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4" w:name="page55"/>
    <w:bookmarkEnd w:id="54"/>
    <w:p>
      <w:pPr>
        <w:ind w:right="120" w:firstLine="510"/>
        <w:spacing w:after="0" w:line="261" w:lineRule="auto"/>
        <w:rPr>
          <w:sz w:val="20"/>
          <w:szCs w:val="20"/>
          <w:color w:val="auto"/>
        </w:rPr>
      </w:pPr>
      <w:r>
        <w:rPr>
          <w:rFonts w:ascii="Times New Roman" w:cs="Times New Roman" w:eastAsia="Times New Roman" w:hAnsi="Times New Roman"/>
          <w:sz w:val="18"/>
          <w:szCs w:val="18"/>
          <w:color w:val="auto"/>
        </w:rPr>
        <w:t>We have not implemented any hedging strategies to mitigate risks related to the impact of fluctuations in currency exchange rates. Even if we were to implement hedging strategies, not every exposure can be hedged and, where hedges are put in place based on expected foreign exchange exposure, they are based on forecasts which may vary or which may later prove to have been inaccurate. Failure to hedge successfully or anticipate currency risks accurately could adversely affect our operating results.</w:t>
      </w:r>
    </w:p>
    <w:p>
      <w:pPr>
        <w:spacing w:after="0" w:line="176" w:lineRule="exact"/>
        <w:rPr>
          <w:sz w:val="20"/>
          <w:szCs w:val="20"/>
          <w:color w:val="auto"/>
        </w:rPr>
      </w:pPr>
    </w:p>
    <w:p>
      <w:pPr>
        <w:ind w:right="1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make acquisitions in the future that could disrupt our business, cause dilution to our shareholders, reduce our financial resources and harm our business.</w:t>
      </w:r>
    </w:p>
    <w:p>
      <w:pPr>
        <w:spacing w:after="0" w:line="51"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the future, we may acquire other businesses, products or technologies. Other than our acquisition of VisLab S.r.l., or VisLab, in June 2015, we have not made any acquisitions to date and do not have any agreements or commitments for any specific acquisition at this time. Our ability to make and successfully integrate acquisitions is unproven. Our acquisition of VisLab and any future acquisitions may not strengthen our competitive position and may be viewed negatively by our customers, financial markets or investors, and we may not achieve our goals in a timely manner, or at all. In addition, any acquisitions we make could lead to difficulties in integrating personnel, technologies and operations from the acquired businesses and in retaining and motivating key personnel from these businesses. Acquisitions may disrupt our ongoing operations, divert management from their primary responsibilities, subject us to additional liabilities, increase our expenses and adversely impact our business, operating results, financial condition and cash flows. Acquisitions may also reduce our cash available for operations and other uses, and could also result in an increase in amortization expense related to identifiable assets acquired, potentially dilutive issuances of equity securities or the incurrence of debt, any of which could harm our business.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cannot predict our future capital needs, and we may not be able to obtain additional financing to fund our operations.</w:t>
      </w:r>
    </w:p>
    <w:p>
      <w:pPr>
        <w:spacing w:after="0" w:line="12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We may need to raise additional funds in the future. Any required additional financing may not be available on terms acceptable to us, or at all. If we raise additional funds by issuing equity securities or convertible debt, investors may experience significant dilution of their ownership interest, and the newly-issued securities may have rights senior to those of the holders of our ordinary shares. If we raise additional funds by obtaining loans from third parties, the terms of those financing arrangements may include negative covenants or other restrictions on our business that could impair our operational flexibility and would also require us to incur interest expense. If additional financing is not available when required or is not available on acceptable terms, we may have to scale back our operations or limit our production activities, and we may not be able to expand our business, develop or enhance our products, take advantage of business opportunities or respond to competitive pressures which could result in lower revenue and reduce the competitiveness of our products.</w:t>
      </w:r>
    </w:p>
    <w:p>
      <w:pPr>
        <w:spacing w:after="0" w:line="188" w:lineRule="exact"/>
        <w:rPr>
          <w:sz w:val="20"/>
          <w:szCs w:val="20"/>
          <w:color w:val="auto"/>
        </w:rPr>
      </w:pPr>
    </w:p>
    <w:p>
      <w:pPr>
        <w:ind w:right="58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marketable securities portfolio could experience a decline in market value, which could materially and adversely affect our financial results.</w:t>
      </w:r>
    </w:p>
    <w:p>
      <w:pPr>
        <w:spacing w:after="0" w:line="51" w:lineRule="exact"/>
        <w:rPr>
          <w:sz w:val="20"/>
          <w:szCs w:val="20"/>
          <w:color w:val="auto"/>
        </w:rPr>
      </w:pPr>
    </w:p>
    <w:p>
      <w:pPr>
        <w:ind w:right="240" w:firstLine="510"/>
        <w:spacing w:after="0" w:line="255" w:lineRule="auto"/>
        <w:rPr>
          <w:sz w:val="20"/>
          <w:szCs w:val="20"/>
          <w:color w:val="auto"/>
        </w:rPr>
      </w:pPr>
      <w:r>
        <w:rPr>
          <w:rFonts w:ascii="Times New Roman" w:cs="Times New Roman" w:eastAsia="Times New Roman" w:hAnsi="Times New Roman"/>
          <w:sz w:val="18"/>
          <w:szCs w:val="18"/>
          <w:color w:val="auto"/>
        </w:rPr>
        <w:t>As of July 31, 2020, we had approximately $214.0 million in debt security investments. These investments consisted primarily of money market funds, commercial paper, asset-backed securities, U.S. government securities and debt securities of corporations. We currently do not use derivative financial instruments to adjust our investment portfolio risk or income profile. These investments, as well as any cash deposited in bank accounts, are subject to general credit, liquidity, market and interest rate risks, which may be exacerbated by unusual events, such as the COVID-19 pandemic, the Eurozone crisis and the U.S. debt ceiling crisis, which affected various sectors of the financial markets and led to global credit and liquidity issues. If the global credit market continues to experience volatility or deteriorates, our investment portfolio may be impacted and some or all of our investments may experience other-than-temporary impairment which could adversely impact our financial results and position.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ordinary shares may be volatile, which could cause the value of your investment to decline.</w:t>
      </w:r>
    </w:p>
    <w:p>
      <w:pPr>
        <w:spacing w:after="0" w:line="121" w:lineRule="exact"/>
        <w:rPr>
          <w:sz w:val="20"/>
          <w:szCs w:val="20"/>
          <w:color w:val="auto"/>
        </w:rPr>
      </w:pPr>
    </w:p>
    <w:p>
      <w:pPr>
        <w:ind w:right="140" w:firstLine="510"/>
        <w:spacing w:after="0" w:line="266" w:lineRule="auto"/>
        <w:rPr>
          <w:sz w:val="20"/>
          <w:szCs w:val="20"/>
          <w:color w:val="auto"/>
        </w:rPr>
      </w:pPr>
      <w:r>
        <w:rPr>
          <w:rFonts w:ascii="Times New Roman" w:cs="Times New Roman" w:eastAsia="Times New Roman" w:hAnsi="Times New Roman"/>
          <w:sz w:val="18"/>
          <w:szCs w:val="18"/>
          <w:color w:val="auto"/>
        </w:rPr>
        <w:t>Since our initial public offering in October 2012, the market price of our ordinary shares has been highly volatile. The trading price of our ordinary shares is likely to remain volatile and could be subject to wide fluctuations in price in response to various factors, some of which are beyond our control. These factors include:</w:t>
      </w:r>
    </w:p>
    <w:p>
      <w:pPr>
        <w:spacing w:after="0" w:line="68" w:lineRule="exact"/>
        <w:rPr>
          <w:sz w:val="20"/>
          <w:szCs w:val="20"/>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including our ability to meet our future revenue and operating profit or loss projections;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operating results or those of other semiconductor or comparable companies;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economic performance or market valuations of companies perceived by investors to be comparable to us;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developments in the semiconductor industry as a whole;</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conditions caused by pandemics, and slow or negative growth of related markets;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5" w:name="page56"/>
    <w:bookmarkEnd w:id="55"/>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and other geopolitical activities affecting markets we address;</w:t>
      </w:r>
    </w:p>
    <w:p>
      <w:pPr>
        <w:spacing w:after="0" w:line="117"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new products, significant contracts or orders, commercial relationships or capital commitments;</w:t>
      </w:r>
    </w:p>
    <w:p>
      <w:pPr>
        <w:spacing w:after="0" w:line="53"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market new and enhanced solutions on a timely basis;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demand for our customers’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conditions in the markets where we sell our products;</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regulations; and</w:t>
      </w:r>
    </w:p>
    <w:p>
      <w:pPr>
        <w:spacing w:after="0" w:line="117"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earnings estimates or recommendations by securities analysts.</w:t>
      </w:r>
    </w:p>
    <w:p>
      <w:pPr>
        <w:spacing w:after="0" w:line="225" w:lineRule="exact"/>
        <w:rPr>
          <w:sz w:val="20"/>
          <w:szCs w:val="20"/>
          <w:color w:val="auto"/>
        </w:rPr>
      </w:pPr>
    </w:p>
    <w:p>
      <w:pPr>
        <w:ind w:right="40" w:firstLine="510"/>
        <w:spacing w:after="0" w:line="254"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semiconductor and other technology companies in particular, have experienced extreme price and volume fluctuations that have often been unrelated or disproportionate to the operating performance of those companies. These broad market and industry factors may cause the market price of our ordinary shares to decrease, regardless of our actual operating performance. These trading price fluctuations may also make it more difficult for us to use our ordinary shares as a means to make acquisitions or to use options to purchase our ordinary shares to attract and retain employees. If the market price of our ordinary shares declines, you may not realize any return on your investment in us and may lose some or all of your investment. In addition,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8"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or industry analysts downgrade our ordinary shares, publish negative research or reports or fail to publish reports about our business, our stock price and trading volume could decline.</w:t>
      </w:r>
    </w:p>
    <w:p>
      <w:pPr>
        <w:spacing w:after="0" w:line="51" w:lineRule="exact"/>
        <w:rPr>
          <w:sz w:val="20"/>
          <w:szCs w:val="20"/>
          <w:color w:val="auto"/>
        </w:rPr>
      </w:pPr>
    </w:p>
    <w:p>
      <w:pPr>
        <w:ind w:right="60" w:firstLine="510"/>
        <w:spacing w:after="0" w:line="261" w:lineRule="auto"/>
        <w:rPr>
          <w:sz w:val="20"/>
          <w:szCs w:val="20"/>
          <w:color w:val="auto"/>
        </w:rPr>
      </w:pPr>
      <w:r>
        <w:rPr>
          <w:rFonts w:ascii="Times New Roman" w:cs="Times New Roman" w:eastAsia="Times New Roman" w:hAnsi="Times New Roman"/>
          <w:sz w:val="18"/>
          <w:szCs w:val="18"/>
          <w:color w:val="auto"/>
        </w:rPr>
        <w:t>The trading market for our ordinary shares will be influenced by the research and reports that industry or securities analysts publish about us, our business and our market. If one or more analysts adversely changes their recommendation regarding our stock or our competitors’ stock, our stock price would likely decline. If one or more analysts cease coverage of us or fail to regularly publish reports on us, we could lose visibility in the financial markets which in turn could cause our stock price or trading volume to decline.</w:t>
      </w:r>
    </w:p>
    <w:p>
      <w:pPr>
        <w:spacing w:after="0" w:line="176" w:lineRule="exact"/>
        <w:rPr>
          <w:sz w:val="20"/>
          <w:szCs w:val="20"/>
          <w:color w:val="auto"/>
        </w:rPr>
      </w:pPr>
    </w:p>
    <w:p>
      <w:pPr>
        <w:ind w:right="60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actual operating results may not meet or exceed our guidance and investor expectations, which would likely cause our stock price to decline.</w:t>
      </w:r>
    </w:p>
    <w:p>
      <w:pPr>
        <w:spacing w:after="0" w:line="51" w:lineRule="exact"/>
        <w:rPr>
          <w:sz w:val="20"/>
          <w:szCs w:val="20"/>
          <w:color w:val="auto"/>
        </w:rPr>
      </w:pPr>
    </w:p>
    <w:p>
      <w:pPr>
        <w:ind w:firstLine="510"/>
        <w:spacing w:after="0" w:line="255" w:lineRule="auto"/>
        <w:rPr>
          <w:sz w:val="20"/>
          <w:szCs w:val="20"/>
          <w:color w:val="auto"/>
        </w:rPr>
      </w:pPr>
      <w:r>
        <w:rPr>
          <w:rFonts w:ascii="Times New Roman" w:cs="Times New Roman" w:eastAsia="Times New Roman" w:hAnsi="Times New Roman"/>
          <w:sz w:val="18"/>
          <w:szCs w:val="18"/>
          <w:color w:val="auto"/>
        </w:rPr>
        <w:t>From time to time, we may release guidance in our earnings releases, earnings conference calls or otherwise, regarding our future performance that represent our management’s estimates as of the date of release. If given, this guidance, which will include forward-looking statements, will be based on projections prepared by our management. Projections are based upon a number of assumptions and estimates that, while presented with numerical specificity, are inherently subject to significant business, economic and competitive uncertainties and contingencies, many of which are beyond our control. The principal reason that we expect to release guidance is to provide a basis for our management to discuss our business outlook with analysts and investors. With or without our guidance, analysts and other investors may publish expectations regarding our business, financial performance and results of operations. We do not accept any responsibility for any projections or reports published by any such third persons.</w:t>
      </w:r>
    </w:p>
    <w:p>
      <w:pPr>
        <w:spacing w:after="0" w:line="189" w:lineRule="exact"/>
        <w:rPr>
          <w:sz w:val="20"/>
          <w:szCs w:val="20"/>
          <w:color w:val="auto"/>
        </w:rPr>
      </w:pPr>
    </w:p>
    <w:p>
      <w:pPr>
        <w:ind w:right="320" w:firstLine="510"/>
        <w:spacing w:after="0" w:line="266" w:lineRule="auto"/>
        <w:rPr>
          <w:sz w:val="20"/>
          <w:szCs w:val="20"/>
          <w:color w:val="auto"/>
        </w:rPr>
      </w:pPr>
      <w:r>
        <w:rPr>
          <w:rFonts w:ascii="Times New Roman" w:cs="Times New Roman" w:eastAsia="Times New Roman" w:hAnsi="Times New Roman"/>
          <w:sz w:val="18"/>
          <w:szCs w:val="18"/>
          <w:color w:val="auto"/>
        </w:rPr>
        <w:t>Guidance is necessarily speculative in nature, and it can be expected that some or all of the assumptions of the guidance furnished by us will not materialize or will vary significantly from actual results. If our actual performance does not meet or exceed our guidance or investor expectations, the trading price of our ordinary shares is likely to decline.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could decrease as a result of shares being sold in the market.</w:t>
      </w:r>
    </w:p>
    <w:p>
      <w:pPr>
        <w:spacing w:after="0" w:line="121" w:lineRule="exact"/>
        <w:rPr>
          <w:sz w:val="20"/>
          <w:szCs w:val="20"/>
          <w:color w:val="auto"/>
        </w:rPr>
      </w:pPr>
    </w:p>
    <w:p>
      <w:pPr>
        <w:ind w:firstLine="510"/>
        <w:spacing w:after="0" w:line="256" w:lineRule="auto"/>
        <w:rPr>
          <w:sz w:val="20"/>
          <w:szCs w:val="20"/>
          <w:color w:val="auto"/>
        </w:rPr>
      </w:pPr>
      <w:r>
        <w:rPr>
          <w:rFonts w:ascii="Times New Roman" w:cs="Times New Roman" w:eastAsia="Times New Roman" w:hAnsi="Times New Roman"/>
          <w:sz w:val="18"/>
          <w:szCs w:val="18"/>
          <w:color w:val="auto"/>
        </w:rPr>
        <w:t>Sales of a substantial number of our ordinary shares in the public market, or the perception that these sales might occur, could cause the market price of our ordinary shares to decline. We filed registration statements on Form S-8 under the Securities Act to register shares for issuance under our 2004 Stock Plan, 2012 Equity Incentive Plan and the Amended and Restated 2012 Employee Stock Purchase Plan. Our 2012 Equity Incentive Plan and the Amended and Restated 2012 Employee Stock Purchase Plan provide for automatic increases in the shares reserved for issuance under these plans which could result in additional dilution to our shareholders. These shares can be freely sold in the public market upon issuance and vesting, subject to restrictions provided under the terms of the applicable plan and/or the option agreements entered into with option 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ind w:right="380" w:firstLine="510"/>
        <w:spacing w:after="0" w:line="282" w:lineRule="auto"/>
        <w:rPr>
          <w:sz w:val="20"/>
          <w:szCs w:val="20"/>
          <w:color w:val="auto"/>
        </w:rPr>
      </w:pPr>
      <w:r>
        <w:rPr>
          <w:rFonts w:ascii="Times New Roman" w:cs="Times New Roman" w:eastAsia="Times New Roman" w:hAnsi="Times New Roman"/>
          <w:sz w:val="18"/>
          <w:szCs w:val="18"/>
          <w:color w:val="auto"/>
        </w:rPr>
        <w:t>We may also issue ordinary shares or securities convertible into ordinary shares from time to time in connection with a financing, acquisition or otherwise. Any such issuance could result in substantial dilution to our existing shareholders and cause the trading price of our stock to decline.</w:t>
      </w:r>
    </w:p>
    <w:p>
      <w:pPr>
        <w:spacing w:after="0" w:line="158" w:lineRule="exact"/>
        <w:rPr>
          <w:sz w:val="20"/>
          <w:szCs w:val="20"/>
          <w:color w:val="auto"/>
        </w:rPr>
      </w:pPr>
    </w:p>
    <w:p>
      <w:pPr>
        <w:ind w:right="3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and, consequently, a shareholder’s ability to achieve a return on its investment will depend on appreciation in the price of our ordinary shares.</w:t>
      </w:r>
    </w:p>
    <w:p>
      <w:pPr>
        <w:spacing w:after="0" w:line="51" w:lineRule="exact"/>
        <w:rPr>
          <w:sz w:val="20"/>
          <w:szCs w:val="20"/>
          <w:color w:val="auto"/>
        </w:rPr>
      </w:pPr>
    </w:p>
    <w:p>
      <w:pPr>
        <w:ind w:right="100" w:firstLine="510"/>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ordinary shares and do not currently intend to do so for the foreseeable future. We currently intend to invest our future earnings, if any, to fund our growth. Therefore, shareholders are not likely to receive any dividends on their ordinary shares for the foreseeable future and the success of an investment in our ordinary shares will depend upon any future appreciation in their value. There is no guarantee that our ordinary shares will appreciate in value or even maintain the price at which our shareholders have purchased their shares. Investors seeking cash dividends should not purchase our ordinary shares.</w:t>
      </w:r>
    </w:p>
    <w:p>
      <w:pPr>
        <w:spacing w:after="0" w:line="179" w:lineRule="exact"/>
        <w:rPr>
          <w:sz w:val="20"/>
          <w:szCs w:val="20"/>
          <w:color w:val="auto"/>
        </w:rPr>
      </w:pPr>
    </w:p>
    <w:p>
      <w:pPr>
        <w:ind w:right="22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of our memorandum and articles of association and Cayman Islands corporate law may discourage or prevent an acquisition of us which could adversely affect the value of our ordinary shares.</w:t>
      </w:r>
    </w:p>
    <w:p>
      <w:pPr>
        <w:spacing w:after="0" w:line="51" w:lineRule="exact"/>
        <w:rPr>
          <w:sz w:val="20"/>
          <w:szCs w:val="20"/>
          <w:color w:val="auto"/>
        </w:rPr>
      </w:pPr>
    </w:p>
    <w:p>
      <w:pPr>
        <w:ind w:right="520" w:firstLine="510"/>
        <w:spacing w:after="0" w:line="282" w:lineRule="auto"/>
        <w:rPr>
          <w:sz w:val="20"/>
          <w:szCs w:val="20"/>
          <w:color w:val="auto"/>
        </w:rPr>
      </w:pPr>
      <w:r>
        <w:rPr>
          <w:rFonts w:ascii="Times New Roman" w:cs="Times New Roman" w:eastAsia="Times New Roman" w:hAnsi="Times New Roman"/>
          <w:sz w:val="18"/>
          <w:szCs w:val="18"/>
          <w:color w:val="auto"/>
        </w:rPr>
        <w:t>Provisions of our memorandum and articles of association and Cayman Islands law may have the effect of delaying or preventing a change of control or changes in our management. These provisions include the following:</w:t>
      </w:r>
    </w:p>
    <w:p>
      <w:pPr>
        <w:spacing w:after="0" w:line="54" w:lineRule="exact"/>
        <w:rPr>
          <w:sz w:val="20"/>
          <w:szCs w:val="20"/>
          <w:color w:val="auto"/>
        </w:rPr>
      </w:pPr>
    </w:p>
    <w:p>
      <w:pPr>
        <w:ind w:left="1520" w:hanging="500"/>
        <w:spacing w:after="0"/>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classes;</w:t>
      </w:r>
    </w:p>
    <w:p>
      <w:pPr>
        <w:spacing w:after="0" w:line="117" w:lineRule="exact"/>
        <w:rPr>
          <w:rFonts w:ascii="Times New Roman" w:cs="Times New Roman" w:eastAsia="Times New Roman" w:hAnsi="Times New Roman"/>
          <w:sz w:val="18"/>
          <w:szCs w:val="18"/>
          <w:color w:val="auto"/>
        </w:rPr>
      </w:pPr>
    </w:p>
    <w:p>
      <w:pPr>
        <w:ind w:left="1520" w:right="24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elect a director to fill a vacancy created by the expansion of our board of directors or due to the resignation or departure of an existing board member;</w:t>
      </w:r>
    </w:p>
    <w:p>
      <w:pPr>
        <w:spacing w:after="0" w:line="53" w:lineRule="exact"/>
        <w:rPr>
          <w:rFonts w:ascii="Times New Roman" w:cs="Times New Roman" w:eastAsia="Times New Roman" w:hAnsi="Times New Roman"/>
          <w:sz w:val="18"/>
          <w:szCs w:val="18"/>
          <w:color w:val="auto"/>
        </w:rPr>
      </w:pPr>
    </w:p>
    <w:p>
      <w:pPr>
        <w:ind w:left="1520" w:right="10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of cumulative voting in the election of directors which would otherwise allow less than a majority of shareholders to elect director candidates;</w:t>
      </w:r>
    </w:p>
    <w:p>
      <w:pPr>
        <w:spacing w:after="0" w:line="53" w:lineRule="exact"/>
        <w:rPr>
          <w:rFonts w:ascii="Times New Roman" w:cs="Times New Roman" w:eastAsia="Times New Roman" w:hAnsi="Times New Roman"/>
          <w:sz w:val="18"/>
          <w:szCs w:val="18"/>
          <w:color w:val="auto"/>
        </w:rPr>
      </w:pPr>
    </w:p>
    <w:p>
      <w:pPr>
        <w:ind w:left="1520" w:right="12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advance notice of nominations for election to our board of directors or for proposing matters that can be acted upon at a shareholders’ meeting;</w:t>
      </w:r>
    </w:p>
    <w:p>
      <w:pPr>
        <w:spacing w:after="0" w:line="53" w:lineRule="exact"/>
        <w:rPr>
          <w:rFonts w:ascii="Times New Roman" w:cs="Times New Roman" w:eastAsia="Times New Roman" w:hAnsi="Times New Roman"/>
          <w:sz w:val="18"/>
          <w:szCs w:val="18"/>
          <w:color w:val="auto"/>
        </w:rPr>
      </w:pPr>
    </w:p>
    <w:p>
      <w:pPr>
        <w:jc w:val="both"/>
        <w:ind w:left="1520" w:right="40" w:hanging="500"/>
        <w:spacing w:after="0" w:line="312" w:lineRule="auto"/>
        <w:tabs>
          <w:tab w:leader="none" w:pos="15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board of directors to issue, without shareholder approval, such amounts of preference shares as the board of directors deems necessary and appropriate with terms set by our board of directors, which rights could be senior to those of our ordinary shares;</w:t>
      </w:r>
    </w:p>
    <w:p>
      <w:pPr>
        <w:spacing w:after="0" w:line="31" w:lineRule="exact"/>
        <w:rPr>
          <w:rFonts w:ascii="Times New Roman" w:cs="Times New Roman" w:eastAsia="Times New Roman" w:hAnsi="Times New Roman"/>
          <w:sz w:val="17"/>
          <w:szCs w:val="17"/>
          <w:color w:val="auto"/>
        </w:rPr>
      </w:pPr>
    </w:p>
    <w:p>
      <w:pPr>
        <w:ind w:left="1520" w:right="12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elimination of the rights of shareholders to call a special meeting of shareholders and to take action by written consent in lieu of a meeting; and</w:t>
      </w:r>
    </w:p>
    <w:p>
      <w:pPr>
        <w:spacing w:after="0" w:line="53" w:lineRule="exact"/>
        <w:rPr>
          <w:rFonts w:ascii="Times New Roman" w:cs="Times New Roman" w:eastAsia="Times New Roman" w:hAnsi="Times New Roman"/>
          <w:sz w:val="18"/>
          <w:szCs w:val="18"/>
          <w:color w:val="auto"/>
        </w:rPr>
      </w:pPr>
    </w:p>
    <w:p>
      <w:pPr>
        <w:ind w:left="1520" w:right="300" w:hanging="500"/>
        <w:spacing w:after="0" w:line="282" w:lineRule="auto"/>
        <w:tabs>
          <w:tab w:leader="none" w:pos="1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a special resolution of the shareholders, being a two-thirds vote of shares held by shareholders present and voting at a shareholder meeting, to alter or amend the provisions of our post-offering memorandum and articles of association.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face difficulties in protecting their interests because we are incorporated under Cayman Islands law.</w:t>
      </w:r>
    </w:p>
    <w:p>
      <w:pPr>
        <w:spacing w:after="0" w:line="121" w:lineRule="exact"/>
        <w:rPr>
          <w:sz w:val="20"/>
          <w:szCs w:val="20"/>
          <w:color w:val="auto"/>
        </w:rPr>
      </w:pPr>
    </w:p>
    <w:p>
      <w:pPr>
        <w:ind w:right="100" w:firstLine="510"/>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by the Companies Law (as the same may be supplemented or amended from time to time) of the Cayman Islands and by the common law of the Cayman Islands. The rights of our shareholders and the fiduciary responsibilities of our directors under Cayman Islands law are not as clearly established as under statutes or judicial precedent in existence in jurisdictions in the United States. In particular, the Cayman Islands has a less developed body of securities laws than the United States and provides significantly less protection to investors. There is no legislation specifically dedicated to the rights of investors in securities and thus no statutorily defined private cause of action specific to investors such as those provided under the Securities Act or the Securities Exchange Act of 1934, as amended. In addition, shareholders of Cayman Islands companies may not have standing to initiate shareholder derivative actions in U.S. federal courts. Therefore, you may have more difficulty in protecting your interests in the face of actions by our management, directors or controlling shareholders than would shareholders of a corporation incorporated in a jurisdiction in the United States due to the comparatively less developed nature of Cayman Islands law in this area.</w:t>
      </w:r>
    </w:p>
    <w:p>
      <w:pPr>
        <w:spacing w:after="0" w:line="194" w:lineRule="exact"/>
        <w:rPr>
          <w:sz w:val="20"/>
          <w:szCs w:val="20"/>
          <w:color w:val="auto"/>
        </w:rPr>
      </w:pPr>
    </w:p>
    <w:p>
      <w:pPr>
        <w:ind w:firstLine="510"/>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such as our company, have no general rights under Cayman Islands law to inspect corporate records and accounts or to obtain copies of lists of shareholders of the company.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right="40" w:firstLine="51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ordinary shares may have difficulty obtaining or enforcing a judgment against us because we are incorporated under the laws of the Cayman Islands.</w:t>
      </w:r>
    </w:p>
    <w:p>
      <w:pPr>
        <w:spacing w:after="0" w:line="51" w:lineRule="exact"/>
        <w:rPr>
          <w:sz w:val="20"/>
          <w:szCs w:val="20"/>
          <w:color w:val="auto"/>
        </w:rPr>
      </w:pPr>
    </w:p>
    <w:p>
      <w:pPr>
        <w:ind w:firstLine="510"/>
        <w:spacing w:after="0" w:line="254" w:lineRule="auto"/>
        <w:rPr>
          <w:sz w:val="20"/>
          <w:szCs w:val="20"/>
          <w:color w:val="auto"/>
        </w:rPr>
      </w:pPr>
      <w:r>
        <w:rPr>
          <w:rFonts w:ascii="Times New Roman" w:cs="Times New Roman" w:eastAsia="Times New Roman" w:hAnsi="Times New Roman"/>
          <w:sz w:val="18"/>
          <w:szCs w:val="18"/>
          <w:color w:val="auto"/>
        </w:rPr>
        <w:t>It may be difficult or impossible for you to bring an action against us in the Cayman Islands if you believe your rights have been infringed under U.S. securities laws.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While there is no binding authority on this point, this is likely to include, in certain circumstances, a non-penal judgment of a United States court imposing a monetary award based on the civil liability provisions of the U.S. federal securities laws. The Grand Court of the Cayman Islands may stay proceedings if concurrent proceedings are being brought elsewhere. There is uncertainty as to whether the Grand Court of the Cayman Islands would recognize or enforce judgments of United States courts obtained against us predicated upon the civil liability provisions of the securities laws of the United States or any state thereof and whether the Grand Court of the Cayman Islands would hear original actions brought in the Cayman Islands against us predicated upon the securities laws of the United States or any state thereof.</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exhibits listed in the accompanying Exhibit Index are filed or incorporated by reference as part of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688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7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20" w:type="dxa"/>
            <w:vAlign w:val="bottom"/>
            <w:tcBorders>
              <w:bottom w:val="single" w:sz="8" w:color="auto"/>
            </w:tcBorders>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Number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4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11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3.1(1)</w:t>
            </w:r>
          </w:p>
        </w:tc>
        <w:tc>
          <w:tcPr>
            <w:tcW w:w="10020" w:type="dxa"/>
            <w:vAlign w:val="bottom"/>
            <w:gridSpan w:val="7"/>
          </w:tcPr>
          <w:p>
            <w:pPr>
              <w:spacing w:after="0"/>
              <w:rPr>
                <w:rFonts w:ascii="Times New Roman" w:cs="Times New Roman" w:eastAsia="Times New Roman" w:hAnsi="Times New Roman"/>
                <w:sz w:val="18"/>
                <w:szCs w:val="18"/>
                <w:u w:val="single" w:color="auto"/>
                <w:color w:val="0000EE"/>
              </w:rPr>
            </w:pPr>
            <w:hyperlink r:id="rId79">
              <w:r>
                <w:rPr>
                  <w:rFonts w:ascii="Times New Roman" w:cs="Times New Roman" w:eastAsia="Times New Roman" w:hAnsi="Times New Roman"/>
                  <w:sz w:val="18"/>
                  <w:szCs w:val="18"/>
                  <w:u w:val="single" w:color="auto"/>
                  <w:color w:val="0000EE"/>
                </w:rPr>
                <w:t>Amended and Restated Memorandum of Association and Second Amended and Restated Articles of Association of the Registrant.</w:t>
              </w:r>
            </w:hyperlink>
          </w:p>
        </w:tc>
        <w:tc>
          <w:tcPr>
            <w:tcW w:w="0" w:type="dxa"/>
            <w:vAlign w:val="bottom"/>
          </w:tcPr>
          <w:p>
            <w:pPr>
              <w:spacing w:after="0"/>
              <w:rPr>
                <w:sz w:val="1"/>
                <w:szCs w:val="1"/>
                <w:color w:val="auto"/>
              </w:rPr>
            </w:pPr>
          </w:p>
        </w:tc>
      </w:tr>
      <w:tr>
        <w:trPr>
          <w:trHeight w:val="297"/>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31.1</w:t>
            </w:r>
          </w:p>
        </w:tc>
        <w:tc>
          <w:tcPr>
            <w:tcW w:w="620" w:type="dxa"/>
            <w:vAlign w:val="bottom"/>
          </w:tcPr>
          <w:p>
            <w:pPr>
              <w:spacing w:after="0"/>
              <w:rPr>
                <w:sz w:val="24"/>
                <w:szCs w:val="24"/>
                <w:color w:val="auto"/>
              </w:rPr>
            </w:pPr>
          </w:p>
        </w:tc>
        <w:tc>
          <w:tcPr>
            <w:tcW w:w="10020" w:type="dxa"/>
            <w:vAlign w:val="bottom"/>
            <w:gridSpan w:val="7"/>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Certification of Principal Executive Officer Required Under Rule 13a-14(a) and 15d-14(a) of the Securities Exchange Act of 1934, as</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amended.</w:t>
              </w:r>
            </w:hyperlink>
          </w:p>
        </w:tc>
        <w:tc>
          <w:tcPr>
            <w:tcW w:w="8920" w:type="dxa"/>
            <w:vAlign w:val="bottom"/>
            <w:tcBorders>
              <w:top w:val="single" w:sz="8" w:color="0000EE"/>
            </w:tcBorders>
            <w:gridSpan w:val="5"/>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31.2</w:t>
            </w:r>
          </w:p>
        </w:tc>
        <w:tc>
          <w:tcPr>
            <w:tcW w:w="620" w:type="dxa"/>
            <w:vAlign w:val="bottom"/>
          </w:tcPr>
          <w:p>
            <w:pPr>
              <w:spacing w:after="0"/>
              <w:rPr>
                <w:sz w:val="24"/>
                <w:szCs w:val="24"/>
                <w:color w:val="auto"/>
              </w:rPr>
            </w:pPr>
          </w:p>
        </w:tc>
        <w:tc>
          <w:tcPr>
            <w:tcW w:w="958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Certification of Principal Financial Officer Required Under Rule 13a-14(a) and 15d-14(a) of the Securities Exchange Act of 1934, as</w:t>
              </w:r>
            </w:hyperlink>
          </w:p>
        </w:tc>
        <w:tc>
          <w:tcPr>
            <w:tcW w:w="4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62">
              <w:r>
                <w:rPr>
                  <w:rFonts w:ascii="Times New Roman" w:cs="Times New Roman" w:eastAsia="Times New Roman" w:hAnsi="Times New Roman"/>
                  <w:sz w:val="18"/>
                  <w:szCs w:val="18"/>
                  <w:color w:val="0000EE"/>
                  <w:w w:val="97"/>
                </w:rPr>
                <w:t>amended.</w:t>
              </w:r>
            </w:hyperlink>
          </w:p>
        </w:tc>
        <w:tc>
          <w:tcPr>
            <w:tcW w:w="9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52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6"/>
              </w:rPr>
              <w:t>32.1±</w:t>
            </w:r>
          </w:p>
        </w:tc>
        <w:tc>
          <w:tcPr>
            <w:tcW w:w="620" w:type="dxa"/>
            <w:vAlign w:val="bottom"/>
          </w:tcPr>
          <w:p>
            <w:pPr>
              <w:spacing w:after="0"/>
              <w:rPr>
                <w:sz w:val="24"/>
                <w:szCs w:val="24"/>
                <w:color w:val="auto"/>
              </w:rPr>
            </w:pPr>
          </w:p>
        </w:tc>
        <w:tc>
          <w:tcPr>
            <w:tcW w:w="1002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Certification of Principal Executive Officer and Principal Financial Officer Required Under Rule 13a-14(b) of the Securities Exchange Act</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1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of 1934, as amended, and 18 U.S.C. §1350.</w:t>
              </w:r>
            </w:hyperlink>
          </w:p>
        </w:tc>
        <w:tc>
          <w:tcPr>
            <w:tcW w:w="68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Schema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Labels Linkbase Document</w:t>
            </w:r>
          </w:p>
        </w:tc>
        <w:tc>
          <w:tcPr>
            <w:tcW w:w="0" w:type="dxa"/>
            <w:vAlign w:val="bottom"/>
          </w:tcPr>
          <w:p>
            <w:pPr>
              <w:spacing w:after="0"/>
              <w:rPr>
                <w:sz w:val="1"/>
                <w:szCs w:val="1"/>
                <w:color w:val="auto"/>
              </w:rPr>
            </w:pPr>
          </w:p>
        </w:tc>
      </w:tr>
      <w:tr>
        <w:trPr>
          <w:trHeight w:val="3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00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40" w:right="280" w:hanging="1132"/>
        <w:spacing w:after="0" w:line="282" w:lineRule="auto"/>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April 30, 2020, has been formatted in Inline XBRL and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8312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831215" cy="8255"/>
                    </a:xfrm>
                    <a:prstGeom prst="rect">
                      <a:avLst/>
                    </a:prstGeom>
                    <a:noFill/>
                  </pic:spPr>
                </pic:pic>
              </a:graphicData>
            </a:graphic>
          </wp:anchor>
        </w:drawing>
      </w:r>
    </w:p>
    <w:p>
      <w:pPr>
        <w:spacing w:after="0" w:line="196"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the Registrant’s registration statement on Form S-1 (No. 333-174838) Amendment No. 3 as filed with the Securities</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and Exchange Commission on September 12, 2012.</w:t>
      </w:r>
    </w:p>
    <w:p>
      <w:pPr>
        <w:spacing w:after="0" w:line="9" w:lineRule="exact"/>
        <w:rPr>
          <w:sz w:val="20"/>
          <w:szCs w:val="20"/>
          <w:color w:val="auto"/>
        </w:rPr>
      </w:pPr>
    </w:p>
    <w:p>
      <w:pPr>
        <w:ind w:left="500" w:hanging="492"/>
        <w:spacing w:after="0" w:line="253" w:lineRule="auto"/>
        <w:tabs>
          <w:tab w:leader="none" w:pos="5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33-8238 and 34-47986, Final Rule: Management’s Reports on Internal Control Over Financial Reporting and Certification of Disclosure in Exchange Act Periodic Reports, the certifications furnished in Exhibits 32.1 hereto are deemed to accompany this Form 10-Q and will not be deemed “filed” for purposes of Section 18 of the Exchange Act. Such certifications will not be deemed to be incorporated by reference into any filings under the Securities Act or the Exchange Act, except to the extent that the registrant specifically incorporates it by reference.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59" w:name="page60"/>
    <w:bookmarkEnd w:id="59"/>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1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b w:val="1"/>
          <w:bCs w:val="1"/>
          <w:color w:val="auto"/>
        </w:rPr>
        <w:t>AMBARELLA, INC.</w:t>
      </w:r>
    </w:p>
    <w:p>
      <w:pPr>
        <w:spacing w:after="0" w:line="229" w:lineRule="exact"/>
        <w:rPr>
          <w:sz w:val="20"/>
          <w:szCs w:val="20"/>
          <w:color w:val="auto"/>
        </w:rPr>
      </w:pPr>
    </w:p>
    <w:p>
      <w:pPr>
        <w:spacing w:after="0"/>
        <w:tabs>
          <w:tab w:leader="none" w:pos="5760" w:val="left"/>
          <w:tab w:leader="none" w:pos="800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Feng-Ming Wang</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spacing w:after="0" w:line="192" w:lineRule="exact"/>
        <w:rPr>
          <w:sz w:val="20"/>
          <w:szCs w:val="20"/>
          <w:color w:val="auto"/>
        </w:rPr>
      </w:pPr>
    </w:p>
    <w:p>
      <w:pPr>
        <w:spacing w:after="0"/>
        <w:tabs>
          <w:tab w:leader="none" w:pos="5760" w:val="left"/>
          <w:tab w:leader="none" w:pos="802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17145</wp:posOffset>
            </wp:positionV>
            <wp:extent cx="3154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Kevin C. Eichler</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00"/>
          </w:cols>
          <w:pgMar w:left="320" w:top="117" w:right="77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19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Certification of Principal Executive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Feng-Ming Wang,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3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/s/ Feng-Ming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631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Feng-Ming Wang</w:t>
      </w:r>
    </w:p>
    <w:p>
      <w:pPr>
        <w:spacing w:after="0" w:line="23"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19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Certification of Principal Financial Officer Required Under Rule 13a-14(a) and 15d-14(a) of the Securities Exchange Act of 1934,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Kevin C. Eichler, certify that:</w:t>
      </w:r>
    </w:p>
    <w:p>
      <w:pPr>
        <w:spacing w:after="0" w:line="225" w:lineRule="exact"/>
        <w:rPr>
          <w:sz w:val="20"/>
          <w:szCs w:val="20"/>
          <w:color w:val="auto"/>
        </w:rPr>
      </w:pPr>
    </w:p>
    <w:p>
      <w:pPr>
        <w:ind w:left="180" w:hanging="172"/>
        <w:spacing w:after="0"/>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Ambarella, Inc.;</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right="260" w:firstLine="518"/>
        <w:spacing w:after="0" w:line="266" w:lineRule="auto"/>
        <w:tabs>
          <w:tab w:leader="none" w:pos="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40" w:firstLine="518"/>
        <w:spacing w:after="0" w:line="266" w:lineRule="auto"/>
        <w:tabs>
          <w:tab w:leader="none" w:pos="7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780" w:firstLine="518"/>
        <w:spacing w:after="0" w:line="282" w:lineRule="auto"/>
        <w:tabs>
          <w:tab w:leader="none" w:pos="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right="240" w:firstLine="518"/>
        <w:spacing w:after="0" w:line="266" w:lineRule="auto"/>
        <w:tabs>
          <w:tab w:leader="none" w:pos="7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280" w:firstLine="8"/>
        <w:spacing w:after="0" w:line="282" w:lineRule="auto"/>
        <w:tabs>
          <w:tab w:leader="none" w:pos="1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180" w:firstLine="518"/>
        <w:spacing w:after="0" w:line="282" w:lineRule="auto"/>
        <w:tabs>
          <w:tab w:leader="none" w:pos="75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20" w:firstLine="518"/>
        <w:spacing w:after="0" w:line="282" w:lineRule="auto"/>
        <w:tabs>
          <w:tab w:leader="none" w:pos="76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Kevin C. Eichler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5715</wp:posOffset>
            </wp:positionV>
            <wp:extent cx="2837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2837180" cy="8890"/>
                    </a:xfrm>
                    <a:prstGeom prst="rect">
                      <a:avLst/>
                    </a:prstGeom>
                    <a:noFill/>
                  </pic:spPr>
                </pic:pic>
              </a:graphicData>
            </a:graphic>
          </wp:anchor>
        </w:drawing>
      </w:r>
    </w:p>
    <w:p>
      <w:pPr>
        <w:ind w:left="6780"/>
        <w:spacing w:after="0"/>
        <w:rPr>
          <w:sz w:val="20"/>
          <w:szCs w:val="20"/>
          <w:color w:val="auto"/>
        </w:rPr>
      </w:pPr>
      <w:r>
        <w:rPr>
          <w:rFonts w:ascii="Times New Roman" w:cs="Times New Roman" w:eastAsia="Times New Roman" w:hAnsi="Times New Roman"/>
          <w:sz w:val="18"/>
          <w:szCs w:val="18"/>
          <w:color w:val="auto"/>
        </w:rPr>
        <w:t>Kevin C. Eichler</w:t>
      </w:r>
    </w:p>
    <w:p>
      <w:pPr>
        <w:spacing w:after="0" w:line="23"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Feng-Ming Wang, certify, pursuant to 18 U.S.C. Section 1350, as adopted pursuant to Section 906 of the Sarbanes-Oxley Act of 2002, that the Quarterly Report of Ambarella, Inc. on Form 10-Q for the fiscal quarter ended July 31,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Feng-Ming Wang</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Feng-Ming Wang</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Kevin C. Eichler, certify, pursuant to 18 U.S.C. Section 1350, as adopted pursuant to Section 906 of the Sarbanes-Oxley Act of 2002, that the Quarterly Report of Ambarella, Inc. on Form 10-Q for the fiscal quarter ended July 31, 2020 fully complies with the requirements of Section 13(a) or 15(d) of the Securities Exchange Act of 1934 and that information contained in such Quarterly Report on Form 10-Q fairly presents in all material respects the financial condition and results of operations of Ambarella,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7" w:lineRule="exact"/>
        <w:rPr>
          <w:sz w:val="20"/>
          <w:szCs w:val="20"/>
          <w:color w:val="auto"/>
        </w:rPr>
      </w:pPr>
    </w:p>
    <w:tbl>
      <w:tblPr>
        <w:tblLayout w:type="fixed"/>
        <w:tblInd w:w="710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C. Eichler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4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Kevin C. Eichler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lowerRoman"/>
      <w:start w:val="2"/>
    </w:lvl>
  </w:abstractNum>
  <w:abstractNum w:abstractNumId="4">
    <w:nsid w:val="DED7263"/>
    <w:multiLevelType w:val="hybridMultilevel"/>
    <w:lvl w:ilvl="0">
      <w:lvlJc w:val="left"/>
      <w:lvlText w:val="(%1)"/>
      <w:numFmt w:val="lowerRoman"/>
      <w:start w:val="8"/>
    </w:lvl>
  </w:abstractNum>
  <w:abstractNum w:abstractNumId="5">
    <w:nsid w:val="7FDCC233"/>
    <w:multiLevelType w:val="hybridMultilevel"/>
    <w:lvl w:ilvl="0">
      <w:lvlJc w:val="left"/>
      <w:lvlText w:val="%1."/>
      <w:numFmt w:val="decimal"/>
      <w:start w:val="9"/>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04"/>
    </w:lvl>
  </w:abstractNum>
  <w:abstractNum w:abstractNumId="19">
    <w:nsid w:val="333AB105"/>
    <w:multiLevelType w:val="hybridMultilevel"/>
    <w:lvl w:ilvl="0">
      <w:lvlJc w:val="left"/>
      <w:lvlText w:val="(%1)"/>
      <w:numFmt w:val="decimal"/>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79" Type="http://schemas.openxmlformats.org/officeDocument/2006/relationships/hyperlink" Target="http://www.sec.gov/Archives/edgar/data/0001280263/000119312512389774/d19354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2020-09-09T12:04:35Z</dcterms:created>
  <dcterms:modified xsi:type="dcterms:W3CDTF">2020-09-09T12:04:35Z</dcterms:modified>
</cp:coreProperties>
</file>