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Feng-Ming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TASMAN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AMBARELLA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AMBA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4"/>
        <w:gridCol w:w="773"/>
        <w:gridCol w:w="600"/>
        <w:gridCol w:w="349"/>
        <w:gridCol w:w="889"/>
        <w:gridCol w:w="455"/>
        <w:gridCol w:w="755"/>
        <w:gridCol w:w="1196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64.83</w:t>
            </w:r>
          </w:p>
        </w:tc>
        <w:tc>
          <w:tcPr>
            <w:tcW w:w="11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767,759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to pay tax obligations resulting from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238 shares acquired under the Company's employee stock purchase plan on September 15, 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/s/Michael Morehead, Attorney-in-Fact, For: Feng-Ming Wang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8686" TargetMode="External"/><Relationship Id="rId5" Type="http://schemas.openxmlformats.org/officeDocument/2006/relationships/hyperlink" Target="http://www.sec.gov/cgi-bin/browse-edgar?action=getcompany&amp;CIK=0001280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593</Words>
  <Characters>3243</Characters>
  <CharactersWithSpaces>3768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