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80" w:right="340" w:hanging="572"/>
        <w:spacing w:after="0" w:line="243"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31,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9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r>
      <w:tr>
        <w:trPr>
          <w:trHeight w:val="345"/>
        </w:trPr>
        <w:tc>
          <w:tcPr>
            <w:tcW w:w="3640" w:type="dxa"/>
            <w:vAlign w:val="bottom"/>
            <w:gridSpan w:val="4"/>
          </w:tcPr>
          <w:p>
            <w:pPr>
              <w:ind w:left="420"/>
              <w:spacing w:after="0"/>
              <w:rPr>
                <w:sz w:val="20"/>
                <w:szCs w:val="20"/>
                <w:color w:val="auto"/>
              </w:rPr>
            </w:pPr>
            <w:r>
              <w:rPr>
                <w:rFonts w:ascii="Arial" w:cs="Arial" w:eastAsia="Arial" w:hAnsi="Arial"/>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AMBARELLA,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080" w:type="dxa"/>
            <w:vAlign w:val="bottom"/>
            <w:gridSpan w:val="2"/>
          </w:tcPr>
          <w:p>
            <w:pPr>
              <w:jc w:val="center"/>
              <w:ind w:left="1597"/>
              <w:spacing w:after="0"/>
              <w:rPr>
                <w:sz w:val="20"/>
                <w:szCs w:val="20"/>
                <w:color w:val="auto"/>
              </w:rPr>
            </w:pPr>
            <w:r>
              <w:rPr>
                <w:rFonts w:ascii="Arial" w:cs="Arial" w:eastAsia="Arial" w:hAnsi="Arial"/>
                <w:sz w:val="18"/>
                <w:szCs w:val="18"/>
                <w:b w:val="1"/>
                <w:bCs w:val="1"/>
                <w:color w:val="auto"/>
                <w:w w:val="90"/>
              </w:rPr>
              <w:t>Cayman Islands</w:t>
            </w:r>
          </w:p>
        </w:tc>
        <w:tc>
          <w:tcPr>
            <w:tcW w:w="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40" w:type="dxa"/>
            <w:vAlign w:val="bottom"/>
          </w:tcPr>
          <w:p>
            <w:pPr>
              <w:jc w:val="right"/>
              <w:ind w:right="2238"/>
              <w:spacing w:after="0"/>
              <w:rPr>
                <w:sz w:val="20"/>
                <w:szCs w:val="20"/>
                <w:color w:val="auto"/>
              </w:rPr>
            </w:pPr>
            <w:r>
              <w:rPr>
                <w:rFonts w:ascii="Arial" w:cs="Arial" w:eastAsia="Arial" w:hAnsi="Arial"/>
                <w:sz w:val="18"/>
                <w:szCs w:val="18"/>
                <w:b w:val="1"/>
                <w:bCs w:val="1"/>
                <w:color w:val="auto"/>
              </w:rPr>
              <w:t>98-0459628</w:t>
            </w:r>
          </w:p>
        </w:tc>
      </w:tr>
      <w:tr>
        <w:trPr>
          <w:trHeight w:val="149"/>
        </w:trPr>
        <w:tc>
          <w:tcPr>
            <w:tcW w:w="4080" w:type="dxa"/>
            <w:vAlign w:val="bottom"/>
            <w:gridSpan w:val="2"/>
          </w:tcPr>
          <w:p>
            <w:pPr>
              <w:jc w:val="center"/>
              <w:ind w:left="159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40" w:type="dxa"/>
            <w:vAlign w:val="bottom"/>
          </w:tcPr>
          <w:p>
            <w:pPr>
              <w:jc w:val="center"/>
              <w:ind w:right="169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80" w:type="dxa"/>
            <w:vAlign w:val="bottom"/>
            <w:gridSpan w:val="2"/>
          </w:tcPr>
          <w:p>
            <w:pPr>
              <w:jc w:val="center"/>
              <w:ind w:left="1597"/>
              <w:spacing w:after="0"/>
              <w:rPr>
                <w:sz w:val="20"/>
                <w:szCs w:val="20"/>
                <w:color w:val="auto"/>
              </w:rPr>
            </w:pPr>
            <w:r>
              <w:rPr>
                <w:rFonts w:ascii="Arial" w:cs="Arial" w:eastAsia="Arial" w:hAnsi="Arial"/>
                <w:sz w:val="14"/>
                <w:szCs w:val="14"/>
                <w:b w:val="1"/>
                <w:bCs w:val="1"/>
                <w:color w:val="auto"/>
                <w:w w:val="94"/>
              </w:rPr>
              <w:t>incorporation or organization)</w:t>
            </w:r>
          </w:p>
        </w:tc>
        <w:tc>
          <w:tcPr>
            <w:tcW w:w="5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40" w:type="dxa"/>
            <w:vAlign w:val="bottom"/>
          </w:tcPr>
          <w:p>
            <w:pPr>
              <w:jc w:val="center"/>
              <w:ind w:right="1698"/>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4080" w:type="dxa"/>
            <w:vAlign w:val="bottom"/>
            <w:gridSpan w:val="2"/>
          </w:tcPr>
          <w:p>
            <w:pPr>
              <w:jc w:val="center"/>
              <w:ind w:left="1617"/>
              <w:spacing w:after="0"/>
              <w:rPr>
                <w:sz w:val="20"/>
                <w:szCs w:val="20"/>
                <w:color w:val="auto"/>
              </w:rPr>
            </w:pPr>
            <w:r>
              <w:rPr>
                <w:rFonts w:ascii="Arial" w:cs="Arial" w:eastAsia="Arial" w:hAnsi="Arial"/>
                <w:sz w:val="18"/>
                <w:szCs w:val="18"/>
                <w:b w:val="1"/>
                <w:bCs w:val="1"/>
                <w:color w:val="auto"/>
                <w:w w:val="89"/>
              </w:rPr>
              <w:t>3101 Jay Street</w:t>
            </w:r>
          </w:p>
        </w:tc>
        <w:tc>
          <w:tcPr>
            <w:tcW w:w="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2"/>
        </w:trPr>
        <w:tc>
          <w:tcPr>
            <w:tcW w:w="4080" w:type="dxa"/>
            <w:vAlign w:val="bottom"/>
            <w:gridSpan w:val="2"/>
          </w:tcPr>
          <w:p>
            <w:pPr>
              <w:jc w:val="center"/>
              <w:ind w:left="1597"/>
              <w:spacing w:after="0"/>
              <w:rPr>
                <w:sz w:val="20"/>
                <w:szCs w:val="20"/>
                <w:color w:val="auto"/>
              </w:rPr>
            </w:pPr>
            <w:r>
              <w:rPr>
                <w:rFonts w:ascii="Arial" w:cs="Arial" w:eastAsia="Arial" w:hAnsi="Arial"/>
                <w:sz w:val="18"/>
                <w:szCs w:val="18"/>
                <w:b w:val="1"/>
                <w:bCs w:val="1"/>
                <w:color w:val="auto"/>
                <w:w w:val="93"/>
              </w:rPr>
              <w:t>Santa Clara, California</w:t>
            </w:r>
          </w:p>
        </w:tc>
        <w:tc>
          <w:tcPr>
            <w:tcW w:w="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40" w:type="dxa"/>
            <w:vAlign w:val="bottom"/>
          </w:tcPr>
          <w:p>
            <w:pPr>
              <w:jc w:val="right"/>
              <w:ind w:right="2438"/>
              <w:spacing w:after="0"/>
              <w:rPr>
                <w:sz w:val="20"/>
                <w:szCs w:val="20"/>
                <w:color w:val="auto"/>
              </w:rPr>
            </w:pPr>
            <w:r>
              <w:rPr>
                <w:rFonts w:ascii="Arial" w:cs="Arial" w:eastAsia="Arial" w:hAnsi="Arial"/>
                <w:sz w:val="18"/>
                <w:szCs w:val="18"/>
                <w:b w:val="1"/>
                <w:bCs w:val="1"/>
                <w:color w:val="auto"/>
              </w:rPr>
              <w:t>95054</w:t>
            </w:r>
          </w:p>
        </w:tc>
      </w:tr>
      <w:tr>
        <w:trPr>
          <w:trHeight w:val="186"/>
        </w:trPr>
        <w:tc>
          <w:tcPr>
            <w:tcW w:w="4080" w:type="dxa"/>
            <w:vAlign w:val="bottom"/>
            <w:gridSpan w:val="2"/>
          </w:tcPr>
          <w:p>
            <w:pPr>
              <w:jc w:val="center"/>
              <w:ind w:left="161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40" w:type="dxa"/>
            <w:vAlign w:val="bottom"/>
          </w:tcPr>
          <w:p>
            <w:pPr>
              <w:jc w:val="center"/>
              <w:ind w:right="1678"/>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(408) 734-8888</w:t>
            </w:r>
          </w:p>
        </w:tc>
        <w:tc>
          <w:tcPr>
            <w:tcW w:w="8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6"/>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40" w:type="dxa"/>
            <w:vAlign w:val="bottom"/>
          </w:tcPr>
          <w:p>
            <w:pPr>
              <w:spacing w:after="0"/>
              <w:rPr>
                <w:sz w:val="16"/>
                <w:szCs w:val="16"/>
                <w:color w:val="auto"/>
              </w:rPr>
            </w:pPr>
          </w:p>
        </w:tc>
      </w:tr>
      <w:tr>
        <w:trPr>
          <w:trHeight w:val="120"/>
        </w:trPr>
        <w:tc>
          <w:tcPr>
            <w:tcW w:w="3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3740" w:type="dxa"/>
            <w:vAlign w:val="bottom"/>
          </w:tcPr>
          <w:p>
            <w:pPr>
              <w:spacing w:after="0"/>
              <w:rPr>
                <w:sz w:val="10"/>
                <w:szCs w:val="10"/>
                <w:color w:val="auto"/>
              </w:rPr>
            </w:pPr>
          </w:p>
        </w:tc>
      </w:tr>
      <w:tr>
        <w:trPr>
          <w:trHeight w:val="115"/>
        </w:trPr>
        <w:tc>
          <w:tcPr>
            <w:tcW w:w="3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2"/>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250"/>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100" w:type="dxa"/>
            <w:vAlign w:val="bottom"/>
            <w:tcBorders>
              <w:bottom w:val="single" w:sz="8" w:color="auto"/>
              <w:right w:val="single" w:sz="8" w:color="auto"/>
            </w:tcBorders>
            <w:gridSpan w:val="2"/>
          </w:tcPr>
          <w:p>
            <w:pPr>
              <w:jc w:val="center"/>
              <w:ind w:right="700"/>
              <w:spacing w:after="0"/>
              <w:rPr>
                <w:sz w:val="20"/>
                <w:szCs w:val="20"/>
                <w:color w:val="auto"/>
              </w:rPr>
            </w:pPr>
            <w:r>
              <w:rPr>
                <w:rFonts w:ascii="Arial" w:cs="Arial" w:eastAsia="Arial" w:hAnsi="Arial"/>
                <w:sz w:val="18"/>
                <w:szCs w:val="18"/>
                <w:color w:val="auto"/>
                <w:w w:val="91"/>
              </w:rPr>
              <w:t>Trading Symbol</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Ordinary Shares, $0.00045 Par Value Per Share</w:t>
            </w: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100" w:type="dxa"/>
            <w:vAlign w:val="bottom"/>
            <w:tcBorders>
              <w:bottom w:val="single" w:sz="8" w:color="auto"/>
              <w:right w:val="single" w:sz="8" w:color="auto"/>
            </w:tcBorders>
            <w:gridSpan w:val="2"/>
          </w:tcPr>
          <w:p>
            <w:pPr>
              <w:jc w:val="center"/>
              <w:ind w:right="720"/>
              <w:spacing w:after="0"/>
              <w:rPr>
                <w:sz w:val="20"/>
                <w:szCs w:val="20"/>
                <w:color w:val="auto"/>
              </w:rPr>
            </w:pPr>
            <w:r>
              <w:rPr>
                <w:rFonts w:ascii="Arial" w:cs="Arial" w:eastAsia="Arial" w:hAnsi="Arial"/>
                <w:sz w:val="18"/>
                <w:szCs w:val="18"/>
                <w:color w:val="auto"/>
              </w:rPr>
              <w:t>AMBA</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40"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83"/>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67" w:lineRule="exact"/>
        <w:rPr>
          <w:sz w:val="24"/>
          <w:szCs w:val="24"/>
          <w:color w:val="auto"/>
        </w:rPr>
      </w:pPr>
    </w:p>
    <w:p>
      <w:pPr>
        <w:ind w:right="14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760"/>
        <w:spacing w:after="0" w:line="26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ordinary shares of the Registrant outstanding as of September 3, 2019 was 33,060,050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356235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83"/>
              </w:rPr>
              <w:t>Page</w:t>
            </w:r>
          </w:p>
        </w:tc>
      </w:tr>
      <w:tr>
        <w:trPr>
          <w:trHeight w:val="412"/>
        </w:trPr>
        <w:tc>
          <w:tcPr>
            <w:tcW w:w="30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600" w:type="dxa"/>
            <w:vAlign w:val="bottom"/>
            <w:gridSpan w:val="9"/>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at July 31, 2019 and January 31, 2019</w:t>
              </w:r>
            </w:hyperlink>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2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7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for the three and six months ended July 31, 2019 and 2018</w:t>
              </w:r>
            </w:hyperlink>
          </w:p>
        </w:tc>
        <w:tc>
          <w:tcPr>
            <w:tcW w:w="1060" w:type="dxa"/>
            <w:vAlign w:val="bottom"/>
            <w:gridSpan w:val="3"/>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80" w:type="dxa"/>
            <w:vAlign w:val="bottom"/>
            <w:gridSpan w:val="16"/>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Statements of Comprehensive Loss for the three and six months ended July 31, 2019 and 2018</w:t>
              </w:r>
            </w:hyperlink>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2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Shareholders’ Equity for the three and six months ended July 31, 2019 and 2018</w:t>
              </w:r>
            </w:hyperlink>
          </w:p>
        </w:tc>
        <w:tc>
          <w:tcPr>
            <w:tcW w:w="3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Cash Flows for the six months ended July 31, 2019 and 2018</w:t>
              </w:r>
            </w:hyperlink>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60" w:type="dxa"/>
            <w:vAlign w:val="bottom"/>
            <w:tcBorders>
              <w:top w:val="single" w:sz="8" w:color="0000EE"/>
            </w:tcBorders>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1720" w:type="dxa"/>
            <w:vAlign w:val="bottom"/>
            <w:gridSpan w:val="4"/>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5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Management’s Discussion and Analysis of Financial Condition and Results of Operations</w:t>
              </w:r>
            </w:hyperlink>
          </w:p>
        </w:tc>
        <w:tc>
          <w:tcPr>
            <w:tcW w:w="3280" w:type="dxa"/>
            <w:vAlign w:val="bottom"/>
            <w:gridSpan w:val="5"/>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5420" w:type="dxa"/>
            <w:vAlign w:val="bottom"/>
            <w:gridSpan w:val="7"/>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439"/>
        </w:trPr>
        <w:tc>
          <w:tcPr>
            <w:tcW w:w="27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OTHER INFORMATION</w:t>
              </w:r>
            </w:hyperlink>
          </w:p>
        </w:tc>
        <w:tc>
          <w:tcPr>
            <w:tcW w:w="7900" w:type="dxa"/>
            <w:vAlign w:val="bottom"/>
            <w:gridSpan w:val="10"/>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8440" w:type="dxa"/>
            <w:vAlign w:val="bottom"/>
            <w:gridSpan w:val="13"/>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78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Unregistered Sales of Equity Securities and Use of Proceeds</w:t>
              </w:r>
            </w:hyperlink>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59</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5440" w:type="dxa"/>
            <w:vAlign w:val="bottom"/>
            <w:gridSpan w:val="8"/>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59</w:t>
            </w:r>
          </w:p>
        </w:tc>
      </w:tr>
      <w:tr>
        <w:trPr>
          <w:trHeight w:val="318"/>
        </w:trPr>
        <w:tc>
          <w:tcPr>
            <w:tcW w:w="900" w:type="dxa"/>
            <w:vAlign w:val="bottom"/>
            <w:gridSpan w:val="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31,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31,</w:t>
            </w:r>
          </w:p>
        </w:tc>
      </w:tr>
      <w:tr>
        <w:trPr>
          <w:trHeight w:val="215"/>
        </w:trPr>
        <w:tc>
          <w:tcPr>
            <w:tcW w:w="668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Current assets: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222,693</w:t>
            </w:r>
          </w:p>
        </w:tc>
        <w:tc>
          <w:tcPr>
            <w:tcW w:w="2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194,047</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Marketable debt securities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153,109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164,861</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26,212</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18,252</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w:t>
            </w:r>
          </w:p>
        </w:tc>
        <w:tc>
          <w:tcPr>
            <w:tcW w:w="12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425,618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409,589</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6,728</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 non-current</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10,587</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10,936</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Goodwill</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26,601</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120" w:type="dxa"/>
            <w:vAlign w:val="bottom"/>
            <w:shd w:val="clear" w:color="auto" w:fill="CFF0FC"/>
          </w:tcPr>
          <w:p>
            <w:pPr>
              <w:spacing w:after="0"/>
              <w:rPr>
                <w:sz w:val="19"/>
                <w:szCs w:val="19"/>
                <w:color w:val="auto"/>
              </w:rPr>
            </w:pPr>
          </w:p>
        </w:tc>
      </w:tr>
      <w:tr>
        <w:trPr>
          <w:trHeight w:val="263"/>
        </w:trPr>
        <w:tc>
          <w:tcPr>
            <w:tcW w:w="6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1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490,232</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466,853</w:t>
            </w:r>
          </w:p>
        </w:tc>
        <w:tc>
          <w:tcPr>
            <w:tcW w:w="120" w:type="dxa"/>
            <w:vAlign w:val="bottom"/>
            <w:tcBorders>
              <w:bottom w:val="single" w:sz="8" w:color="CFF0FC"/>
            </w:tcBorders>
          </w:tcPr>
          <w:p>
            <w:pPr>
              <w:spacing w:after="0"/>
              <w:rPr>
                <w:sz w:val="22"/>
                <w:szCs w:val="22"/>
                <w:color w:val="auto"/>
              </w:rPr>
            </w:pPr>
          </w:p>
        </w:tc>
      </w:tr>
      <w:tr>
        <w:trPr>
          <w:trHeight w:val="210"/>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12,801</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Accrued and other current liabilities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24,700</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current</w:t>
            </w:r>
          </w:p>
        </w:tc>
        <w:tc>
          <w:tcPr>
            <w:tcW w:w="1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47,240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39,023</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12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47,364</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680" w:type="dxa"/>
            <w:vAlign w:val="bottom"/>
          </w:tcPr>
          <w:p>
            <w:pPr>
              <w:ind w:left="260"/>
              <w:spacing w:after="0"/>
              <w:rPr>
                <w:sz w:val="20"/>
                <w:szCs w:val="20"/>
                <w:color w:val="auto"/>
              </w:rPr>
            </w:pPr>
            <w:r>
              <w:rPr>
                <w:rFonts w:ascii="Arial" w:cs="Arial" w:eastAsia="Arial" w:hAnsi="Arial"/>
                <w:sz w:val="18"/>
                <w:szCs w:val="18"/>
                <w:color w:val="auto"/>
              </w:rPr>
              <w:t>Preference shares, $0.00045 par value per share, 20,000,000 shares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80" w:type="dxa"/>
            <w:vAlign w:val="bottom"/>
          </w:tcPr>
          <w:p>
            <w:pPr>
              <w:ind w:left="380"/>
              <w:spacing w:after="0"/>
              <w:rPr>
                <w:sz w:val="20"/>
                <w:szCs w:val="20"/>
                <w:color w:val="auto"/>
              </w:rPr>
            </w:pPr>
            <w:r>
              <w:rPr>
                <w:rFonts w:ascii="Arial" w:cs="Arial" w:eastAsia="Arial" w:hAnsi="Arial"/>
                <w:sz w:val="18"/>
                <w:szCs w:val="18"/>
                <w:color w:val="auto"/>
              </w:rPr>
              <w:t>authorized and no shares issued and outstanding at July 31, 2019 and</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January 31, 2019, respectively</w:t>
            </w: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Ordinary shares, $0.00045 par value per share, 200,000,000 shares</w:t>
            </w: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at July 31, 2019 and January 31, 2019, respectively;</w:t>
            </w: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33,033,619 shares issued and outstanding at July 31, 2019; 32,303,540</w:t>
            </w: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issued and outstanding at January 31, 2019</w:t>
            </w:r>
          </w:p>
        </w:tc>
        <w:tc>
          <w:tcPr>
            <w:tcW w:w="1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20"/>
                <w:szCs w:val="20"/>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224,542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188,516</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1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203,359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230,861</w:t>
            </w:r>
          </w:p>
        </w:tc>
        <w:tc>
          <w:tcPr>
            <w:tcW w:w="12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1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428,461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419,489</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1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490,232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466,853</w:t>
            </w:r>
          </w:p>
        </w:tc>
        <w:tc>
          <w:tcPr>
            <w:tcW w:w="12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9"/>
              </w:rPr>
              <w:t>Three Months Ended July 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56"/>
        </w:trPr>
        <w:tc>
          <w:tcPr>
            <w:tcW w:w="61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56,410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103,598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23,973</w:t>
            </w: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43,308</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32,437</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60,290</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63,437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12,425</w:t>
            </w: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12,566</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25,502</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42,845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88,939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(10,408)</w:t>
            </w: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(28,649)</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(16,632)</w:t>
            </w: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(8,213)</w:t>
            </w: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(5,950)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(24,258)</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(15,108)</w:t>
            </w: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61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(10,191)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(6,877)</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(27,502)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(16,883)</w:t>
            </w:r>
          </w:p>
        </w:tc>
        <w:tc>
          <w:tcPr>
            <w:tcW w:w="0" w:type="dxa"/>
            <w:vAlign w:val="bottom"/>
          </w:tcPr>
          <w:p>
            <w:pPr>
              <w:spacing w:after="0"/>
              <w:rPr>
                <w:sz w:val="1"/>
                <w:szCs w:val="1"/>
                <w:color w:val="auto"/>
              </w:rPr>
            </w:pPr>
          </w:p>
        </w:tc>
      </w:tr>
      <w:tr>
        <w:trPr>
          <w:trHeight w:val="210"/>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ordinary shareholders:</w:t>
            </w: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160" w:type="dxa"/>
            <w:vAlign w:val="bottom"/>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(0.21)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(0.84)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0"/>
        </w:trPr>
        <w:tc>
          <w:tcPr>
            <w:tcW w:w="61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Weighted-average shares used to compute net loss per share attributable to</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ordinary</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shareholders: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32,860,974</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33,219,152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32,676,509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33,276,976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60" w:type="dxa"/>
            <w:vAlign w:val="bottom"/>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32,860,974</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33,219,152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32,676,509</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33,276,976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July 31,</w:t>
            </w:r>
          </w:p>
        </w:tc>
        <w:tc>
          <w:tcPr>
            <w:tcW w:w="260" w:type="dxa"/>
            <w:vAlign w:val="bottom"/>
          </w:tcPr>
          <w:p>
            <w:pPr>
              <w:spacing w:after="0"/>
              <w:rPr>
                <w:sz w:val="14"/>
                <w:szCs w:val="14"/>
                <w:color w:val="auto"/>
              </w:rPr>
            </w:pPr>
          </w:p>
        </w:tc>
        <w:tc>
          <w:tcPr>
            <w:tcW w:w="24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July 31,</w:t>
            </w:r>
          </w:p>
        </w:tc>
      </w:tr>
      <w:tr>
        <w:trPr>
          <w:trHeight w:val="156"/>
        </w:trPr>
        <w:tc>
          <w:tcPr>
            <w:tcW w:w="59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(16,883)</w:t>
            </w:r>
          </w:p>
        </w:tc>
        <w:tc>
          <w:tcPr>
            <w:tcW w:w="100" w:type="dxa"/>
            <w:vAlign w:val="bottom"/>
            <w:shd w:val="clear" w:color="auto" w:fill="CFF0FC"/>
          </w:tcPr>
          <w:p>
            <w:pPr>
              <w:spacing w:after="0"/>
              <w:rPr>
                <w:sz w:val="19"/>
                <w:szCs w:val="19"/>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gains on investments</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r>
      <w:tr>
        <w:trPr>
          <w:trHeight w:val="237"/>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FF0FC"/>
            </w:tcBorders>
          </w:tcPr>
          <w:p>
            <w:pPr>
              <w:spacing w:after="0"/>
              <w:rPr>
                <w:sz w:val="20"/>
                <w:szCs w:val="20"/>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(27,054)</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800" w:type="dxa"/>
            <w:vAlign w:val="bottom"/>
            <w:gridSpan w:val="3"/>
          </w:tcPr>
          <w:p>
            <w:pPr>
              <w:jc w:val="center"/>
              <w:ind w:left="117"/>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117"/>
              <w:spacing w:after="0"/>
              <w:rPr>
                <w:sz w:val="20"/>
                <w:szCs w:val="20"/>
                <w:color w:val="auto"/>
              </w:rPr>
            </w:pPr>
            <w:r>
              <w:rPr>
                <w:rFonts w:ascii="Arial" w:cs="Arial" w:eastAsia="Arial" w:hAnsi="Arial"/>
                <w:sz w:val="14"/>
                <w:szCs w:val="14"/>
                <w:b w:val="1"/>
                <w:bCs w:val="1"/>
                <w:color w:val="auto"/>
                <w:w w:val="95"/>
              </w:rPr>
              <w:t>Ordinary Shares</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Retained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6"/>
              </w:rPr>
              <w:t>Earnings</w:t>
            </w:r>
          </w:p>
        </w:tc>
        <w:tc>
          <w:tcPr>
            <w:tcW w:w="180" w:type="dxa"/>
            <w:vAlign w:val="bottom"/>
          </w:tcPr>
          <w:p>
            <w:pPr>
              <w:spacing w:after="0"/>
              <w:rPr>
                <w:sz w:val="13"/>
                <w:szCs w:val="13"/>
                <w:color w:val="auto"/>
              </w:rPr>
            </w:pPr>
          </w:p>
        </w:tc>
        <w:tc>
          <w:tcPr>
            <w:tcW w:w="8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Balance--January 31, 2019</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32,303,540</w:t>
            </w:r>
          </w:p>
        </w:tc>
        <w:tc>
          <w:tcPr>
            <w:tcW w:w="2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ind w:right="519"/>
              <w:spacing w:after="0"/>
              <w:rPr>
                <w:sz w:val="20"/>
                <w:szCs w:val="20"/>
                <w:color w:val="auto"/>
              </w:rPr>
            </w:pPr>
            <w:r>
              <w:rPr>
                <w:rFonts w:ascii="Arial" w:cs="Arial" w:eastAsia="Arial" w:hAnsi="Arial"/>
                <w:sz w:val="17"/>
                <w:szCs w:val="17"/>
                <w:color w:val="auto"/>
                <w:w w:val="84"/>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188,516</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230,861</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419,489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60"/>
              <w:spacing w:after="0"/>
              <w:rPr>
                <w:sz w:val="20"/>
                <w:szCs w:val="20"/>
                <w:color w:val="auto"/>
              </w:rPr>
            </w:pPr>
            <w:r>
              <w:rPr>
                <w:rFonts w:ascii="Arial" w:cs="Arial" w:eastAsia="Arial" w:hAnsi="Arial"/>
                <w:sz w:val="17"/>
                <w:szCs w:val="17"/>
                <w:color w:val="auto"/>
              </w:rPr>
              <w:t>Issuance of shares through employee equity incentive plan</w:t>
            </w:r>
          </w:p>
        </w:tc>
        <w:tc>
          <w:tcPr>
            <w:tcW w:w="900" w:type="dxa"/>
            <w:vAlign w:val="bottom"/>
          </w:tcPr>
          <w:p>
            <w:pPr>
              <w:jc w:val="right"/>
              <w:spacing w:after="0"/>
              <w:rPr>
                <w:sz w:val="20"/>
                <w:szCs w:val="20"/>
                <w:color w:val="auto"/>
              </w:rPr>
            </w:pPr>
            <w:r>
              <w:rPr>
                <w:rFonts w:ascii="Arial" w:cs="Arial" w:eastAsia="Arial" w:hAnsi="Arial"/>
                <w:sz w:val="17"/>
                <w:szCs w:val="17"/>
                <w:color w:val="auto"/>
              </w:rPr>
              <w:t>335,301</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Issuance of shares through employee stock purchase plan</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99,759</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60" w:type="dxa"/>
            <w:vAlign w:val="bottom"/>
          </w:tcPr>
          <w:p>
            <w:pPr>
              <w:ind w:left="260"/>
              <w:spacing w:after="0"/>
              <w:rPr>
                <w:sz w:val="20"/>
                <w:szCs w:val="20"/>
                <w:color w:val="auto"/>
              </w:rPr>
            </w:pPr>
            <w:r>
              <w:rPr>
                <w:rFonts w:ascii="Arial" w:cs="Arial" w:eastAsia="Arial" w:hAnsi="Arial"/>
                <w:sz w:val="17"/>
                <w:szCs w:val="17"/>
                <w:color w:val="auto"/>
                <w:w w:val="98"/>
              </w:rPr>
              <w:t>Stock-based compensation expense related to stock awards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60" w:type="dxa"/>
            <w:vAlign w:val="bottom"/>
          </w:tcPr>
          <w:p>
            <w:pPr>
              <w:ind w:left="260"/>
              <w:spacing w:after="0"/>
              <w:rPr>
                <w:sz w:val="20"/>
                <w:szCs w:val="20"/>
                <w:color w:val="auto"/>
              </w:rPr>
            </w:pPr>
            <w:r>
              <w:rPr>
                <w:rFonts w:ascii="Arial" w:cs="Arial" w:eastAsia="Arial" w:hAnsi="Arial"/>
                <w:sz w:val="17"/>
                <w:szCs w:val="17"/>
                <w:color w:val="auto"/>
              </w:rPr>
              <w:t>granted to employees and consultants</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15,423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15,423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unrealized gains on investments - net of taxes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(17,311)</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(17,311)</w:t>
            </w: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Balance--April 30, 2019</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32,738,600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208,522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213,550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422,438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260"/>
              <w:spacing w:after="0"/>
              <w:rPr>
                <w:sz w:val="20"/>
                <w:szCs w:val="20"/>
                <w:color w:val="auto"/>
              </w:rPr>
            </w:pPr>
            <w:r>
              <w:rPr>
                <w:rFonts w:ascii="Arial" w:cs="Arial" w:eastAsia="Arial" w:hAnsi="Arial"/>
                <w:sz w:val="17"/>
                <w:szCs w:val="17"/>
                <w:color w:val="auto"/>
              </w:rPr>
              <w:t>Issuance of shares through employee equity incentive plan</w:t>
            </w: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295,019</w:t>
            </w:r>
          </w:p>
        </w:tc>
        <w:tc>
          <w:tcPr>
            <w:tcW w:w="2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988</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60" w:type="dxa"/>
            <w:vAlign w:val="bottom"/>
            <w:shd w:val="clear" w:color="auto" w:fill="CFF0FC"/>
          </w:tcPr>
          <w:p>
            <w:pPr>
              <w:ind w:left="260"/>
              <w:spacing w:after="0"/>
              <w:rPr>
                <w:sz w:val="20"/>
                <w:szCs w:val="20"/>
                <w:color w:val="auto"/>
              </w:rPr>
            </w:pPr>
            <w:r>
              <w:rPr>
                <w:rFonts w:ascii="Arial" w:cs="Arial" w:eastAsia="Arial" w:hAnsi="Arial"/>
                <w:sz w:val="17"/>
                <w:szCs w:val="17"/>
                <w:color w:val="auto"/>
                <w:w w:val="98"/>
              </w:rPr>
              <w:t>Stock-based compensation expense related to stock awards</w:t>
            </w: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granted to employees and consultants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15,032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60"/>
              <w:spacing w:after="0"/>
              <w:rPr>
                <w:sz w:val="20"/>
                <w:szCs w:val="20"/>
                <w:color w:val="auto"/>
              </w:rPr>
            </w:pPr>
            <w:r>
              <w:rPr>
                <w:rFonts w:ascii="Arial" w:cs="Arial" w:eastAsia="Arial" w:hAnsi="Arial"/>
                <w:sz w:val="17"/>
                <w:szCs w:val="17"/>
                <w:color w:val="auto"/>
              </w:rPr>
              <w:t>Net unrealized gains on investments - net of taxes</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loss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(10,191)</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(10,191)</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Arial" w:cs="Arial" w:eastAsia="Arial" w:hAnsi="Arial"/>
                <w:sz w:val="17"/>
                <w:szCs w:val="17"/>
                <w:b w:val="1"/>
                <w:bCs w:val="1"/>
                <w:color w:val="auto"/>
              </w:rPr>
              <w:t>Balance--July 31, 2019</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33,033,619</w:t>
            </w: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7"/>
                <w:szCs w:val="17"/>
                <w:color w:val="auto"/>
                <w:w w:val="84"/>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224,542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203,359</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428,461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800" w:type="dxa"/>
            <w:vAlign w:val="bottom"/>
            <w:gridSpan w:val="3"/>
          </w:tcPr>
          <w:p>
            <w:pPr>
              <w:jc w:val="center"/>
              <w:ind w:left="117"/>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117"/>
              <w:spacing w:after="0"/>
              <w:rPr>
                <w:sz w:val="20"/>
                <w:szCs w:val="20"/>
                <w:color w:val="auto"/>
              </w:rPr>
            </w:pPr>
            <w:r>
              <w:rPr>
                <w:rFonts w:ascii="Arial" w:cs="Arial" w:eastAsia="Arial" w:hAnsi="Arial"/>
                <w:sz w:val="14"/>
                <w:szCs w:val="14"/>
                <w:b w:val="1"/>
                <w:bCs w:val="1"/>
                <w:color w:val="auto"/>
                <w:w w:val="95"/>
              </w:rPr>
              <w:t>Ordinary Shares</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Retained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6"/>
              </w:rPr>
              <w:t>Earnings</w:t>
            </w:r>
          </w:p>
        </w:tc>
        <w:tc>
          <w:tcPr>
            <w:tcW w:w="180" w:type="dxa"/>
            <w:vAlign w:val="bottom"/>
          </w:tcPr>
          <w:p>
            <w:pPr>
              <w:spacing w:after="0"/>
              <w:rPr>
                <w:sz w:val="13"/>
                <w:szCs w:val="13"/>
                <w:color w:val="auto"/>
              </w:rPr>
            </w:pPr>
          </w:p>
        </w:tc>
        <w:tc>
          <w:tcPr>
            <w:tcW w:w="8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Balance--January 31, 2018</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33,489,614</w:t>
            </w:r>
          </w:p>
        </w:tc>
        <w:tc>
          <w:tcPr>
            <w:tcW w:w="2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ind w:right="519"/>
              <w:spacing w:after="0"/>
              <w:rPr>
                <w:sz w:val="20"/>
                <w:szCs w:val="20"/>
                <w:color w:val="auto"/>
              </w:rPr>
            </w:pPr>
            <w:r>
              <w:rPr>
                <w:rFonts w:ascii="Arial" w:cs="Arial" w:eastAsia="Arial" w:hAnsi="Arial"/>
                <w:sz w:val="17"/>
                <w:szCs w:val="17"/>
                <w:color w:val="auto"/>
                <w:w w:val="84"/>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221,186</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261,265</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482,187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60"/>
              <w:spacing w:after="0"/>
              <w:rPr>
                <w:sz w:val="20"/>
                <w:szCs w:val="20"/>
                <w:color w:val="auto"/>
              </w:rPr>
            </w:pPr>
            <w:r>
              <w:rPr>
                <w:rFonts w:ascii="Arial" w:cs="Arial" w:eastAsia="Arial" w:hAnsi="Arial"/>
                <w:sz w:val="17"/>
                <w:szCs w:val="17"/>
                <w:color w:val="auto"/>
              </w:rPr>
              <w:t>Cumulative effect of change in accounting principle</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Issuance of shares through employee equity incentive plan</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272,723</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60"/>
              <w:spacing w:after="0"/>
              <w:rPr>
                <w:sz w:val="20"/>
                <w:szCs w:val="20"/>
                <w:color w:val="auto"/>
              </w:rPr>
            </w:pPr>
            <w:r>
              <w:rPr>
                <w:rFonts w:ascii="Arial" w:cs="Arial" w:eastAsia="Arial" w:hAnsi="Arial"/>
                <w:sz w:val="17"/>
                <w:szCs w:val="17"/>
                <w:color w:val="auto"/>
              </w:rPr>
              <w:t>Issuance of shares through employee stock purchase plan</w:t>
            </w:r>
          </w:p>
        </w:tc>
        <w:tc>
          <w:tcPr>
            <w:tcW w:w="900" w:type="dxa"/>
            <w:vAlign w:val="bottom"/>
          </w:tcPr>
          <w:p>
            <w:pPr>
              <w:jc w:val="right"/>
              <w:spacing w:after="0"/>
              <w:rPr>
                <w:sz w:val="20"/>
                <w:szCs w:val="20"/>
                <w:color w:val="auto"/>
              </w:rPr>
            </w:pPr>
            <w:r>
              <w:rPr>
                <w:rFonts w:ascii="Arial" w:cs="Arial" w:eastAsia="Arial" w:hAnsi="Arial"/>
                <w:sz w:val="17"/>
                <w:szCs w:val="17"/>
                <w:color w:val="auto"/>
              </w:rPr>
              <w:t>71,415</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2,818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Stock repurchase</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(437,448)</w:t>
            </w:r>
          </w:p>
        </w:tc>
        <w:tc>
          <w:tcPr>
            <w:tcW w:w="7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(20,624)</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(20,624)</w:t>
            </w:r>
          </w:p>
        </w:tc>
        <w:tc>
          <w:tcPr>
            <w:tcW w:w="0" w:type="dxa"/>
            <w:vAlign w:val="bottom"/>
          </w:tcPr>
          <w:p>
            <w:pPr>
              <w:spacing w:after="0"/>
              <w:rPr>
                <w:sz w:val="1"/>
                <w:szCs w:val="1"/>
                <w:color w:val="auto"/>
              </w:rPr>
            </w:pPr>
          </w:p>
        </w:tc>
      </w:tr>
      <w:tr>
        <w:trPr>
          <w:trHeight w:val="198"/>
        </w:trPr>
        <w:tc>
          <w:tcPr>
            <w:tcW w:w="4760" w:type="dxa"/>
            <w:vAlign w:val="bottom"/>
          </w:tcPr>
          <w:p>
            <w:pPr>
              <w:ind w:left="260"/>
              <w:spacing w:after="0"/>
              <w:rPr>
                <w:sz w:val="20"/>
                <w:szCs w:val="20"/>
                <w:color w:val="auto"/>
              </w:rPr>
            </w:pPr>
            <w:r>
              <w:rPr>
                <w:rFonts w:ascii="Arial" w:cs="Arial" w:eastAsia="Arial" w:hAnsi="Arial"/>
                <w:sz w:val="17"/>
                <w:szCs w:val="17"/>
                <w:color w:val="auto"/>
                <w:w w:val="98"/>
              </w:rPr>
              <w:t>Stock-based compensation expense related to stock awards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60" w:type="dxa"/>
            <w:vAlign w:val="bottom"/>
          </w:tcPr>
          <w:p>
            <w:pPr>
              <w:ind w:left="260"/>
              <w:spacing w:after="0"/>
              <w:rPr>
                <w:sz w:val="20"/>
                <w:szCs w:val="20"/>
                <w:color w:val="auto"/>
              </w:rPr>
            </w:pPr>
            <w:r>
              <w:rPr>
                <w:rFonts w:ascii="Arial" w:cs="Arial" w:eastAsia="Arial" w:hAnsi="Arial"/>
                <w:sz w:val="17"/>
                <w:szCs w:val="17"/>
                <w:color w:val="auto"/>
              </w:rPr>
              <w:t>granted to employees and consultants</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14,195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unrealized losses on investments - net of taxes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(110)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16"/>
        </w:trPr>
        <w:tc>
          <w:tcPr>
            <w:tcW w:w="476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(10,006)</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(10,006)</w:t>
            </w: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Balance--April 30, 2018</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33,396,304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217,880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251,302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468,808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260"/>
              <w:spacing w:after="0"/>
              <w:rPr>
                <w:sz w:val="20"/>
                <w:szCs w:val="20"/>
                <w:color w:val="auto"/>
              </w:rPr>
            </w:pPr>
            <w:r>
              <w:rPr>
                <w:rFonts w:ascii="Arial" w:cs="Arial" w:eastAsia="Arial" w:hAnsi="Arial"/>
                <w:sz w:val="17"/>
                <w:szCs w:val="17"/>
                <w:color w:val="auto"/>
              </w:rPr>
              <w:t>Issuance of shares through employee equity incentive plan</w:t>
            </w: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373,126</w:t>
            </w:r>
          </w:p>
        </w:tc>
        <w:tc>
          <w:tcPr>
            <w:tcW w:w="2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642</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Stock repurchase</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(1,119,193)</w:t>
            </w:r>
          </w:p>
        </w:tc>
        <w:tc>
          <w:tcPr>
            <w:tcW w:w="7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(44,989)</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(44,989)</w:t>
            </w:r>
          </w:p>
        </w:tc>
        <w:tc>
          <w:tcPr>
            <w:tcW w:w="0" w:type="dxa"/>
            <w:vAlign w:val="bottom"/>
          </w:tcPr>
          <w:p>
            <w:pPr>
              <w:spacing w:after="0"/>
              <w:rPr>
                <w:sz w:val="1"/>
                <w:szCs w:val="1"/>
                <w:color w:val="auto"/>
              </w:rPr>
            </w:pPr>
          </w:p>
        </w:tc>
      </w:tr>
      <w:tr>
        <w:trPr>
          <w:trHeight w:val="198"/>
        </w:trPr>
        <w:tc>
          <w:tcPr>
            <w:tcW w:w="4760" w:type="dxa"/>
            <w:vAlign w:val="bottom"/>
          </w:tcPr>
          <w:p>
            <w:pPr>
              <w:ind w:left="260"/>
              <w:spacing w:after="0"/>
              <w:rPr>
                <w:sz w:val="20"/>
                <w:szCs w:val="20"/>
                <w:color w:val="auto"/>
              </w:rPr>
            </w:pPr>
            <w:r>
              <w:rPr>
                <w:rFonts w:ascii="Arial" w:cs="Arial" w:eastAsia="Arial" w:hAnsi="Arial"/>
                <w:sz w:val="17"/>
                <w:szCs w:val="17"/>
                <w:color w:val="auto"/>
                <w:w w:val="98"/>
              </w:rPr>
              <w:t>Stock-based compensation expense related to stock awards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60" w:type="dxa"/>
            <w:vAlign w:val="bottom"/>
          </w:tcPr>
          <w:p>
            <w:pPr>
              <w:ind w:left="260"/>
              <w:spacing w:after="0"/>
              <w:rPr>
                <w:sz w:val="20"/>
                <w:szCs w:val="20"/>
                <w:color w:val="auto"/>
              </w:rPr>
            </w:pPr>
            <w:r>
              <w:rPr>
                <w:rFonts w:ascii="Arial" w:cs="Arial" w:eastAsia="Arial" w:hAnsi="Arial"/>
                <w:sz w:val="17"/>
                <w:szCs w:val="17"/>
                <w:color w:val="auto"/>
              </w:rPr>
              <w:t>granted to employees and consultants</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15,130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unrealized gains on investments - net of taxes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(6,877)</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(6,877)</w:t>
            </w: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Balance--July 31, 2018</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32,650,237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ind w:right="519"/>
              <w:spacing w:after="0"/>
              <w:rPr>
                <w:sz w:val="20"/>
                <w:szCs w:val="20"/>
                <w:color w:val="auto"/>
              </w:rPr>
            </w:pPr>
            <w:r>
              <w:rPr>
                <w:rFonts w:ascii="Arial" w:cs="Arial" w:eastAsia="Arial" w:hAnsi="Arial"/>
                <w:sz w:val="17"/>
                <w:szCs w:val="17"/>
                <w:color w:val="auto"/>
                <w:w w:val="84"/>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188,663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244,425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432,892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4"/>
                <w:szCs w:val="14"/>
                <w:b w:val="1"/>
                <w:bCs w:val="1"/>
                <w:color w:val="auto"/>
              </w:rPr>
              <w:t>Six Months Ended July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0"/>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1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720" w:type="dxa"/>
            <w:vAlign w:val="bottom"/>
          </w:tcPr>
          <w:p>
            <w:pPr>
              <w:ind w:left="260"/>
              <w:spacing w:after="0"/>
              <w:rPr>
                <w:sz w:val="20"/>
                <w:szCs w:val="20"/>
                <w:color w:val="auto"/>
              </w:rPr>
            </w:pPr>
            <w:r>
              <w:rPr>
                <w:rFonts w:ascii="Arial" w:cs="Arial" w:eastAsia="Arial" w:hAnsi="Arial"/>
                <w:sz w:val="17"/>
                <w:szCs w:val="17"/>
                <w:color w:val="auto"/>
              </w:rPr>
              <w:t>Net loss</w:t>
            </w:r>
          </w:p>
        </w:tc>
        <w:tc>
          <w:tcPr>
            <w:tcW w:w="2120" w:type="dxa"/>
            <w:vAlign w:val="bottom"/>
            <w:gridSpan w:val="2"/>
          </w:tcPr>
          <w:p>
            <w:pPr>
              <w:jc w:val="right"/>
              <w:ind w:right="787"/>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(27,502)</w:t>
            </w:r>
          </w:p>
        </w:tc>
        <w:tc>
          <w:tcPr>
            <w:tcW w:w="960" w:type="dxa"/>
            <w:vAlign w:val="bottom"/>
            <w:gridSpan w:val="2"/>
          </w:tcPr>
          <w:p>
            <w:pPr>
              <w:jc w:val="right"/>
              <w:ind w:right="83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(16,883)</w:t>
            </w:r>
          </w:p>
        </w:tc>
      </w:tr>
      <w:tr>
        <w:trPr>
          <w:trHeight w:val="216"/>
        </w:trPr>
        <w:tc>
          <w:tcPr>
            <w:tcW w:w="6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500"/>
              <w:spacing w:after="0"/>
              <w:rPr>
                <w:sz w:val="20"/>
                <w:szCs w:val="20"/>
                <w:color w:val="auto"/>
              </w:rPr>
            </w:pPr>
            <w:r>
              <w:rPr>
                <w:rFonts w:ascii="Arial" w:cs="Arial" w:eastAsia="Arial" w:hAnsi="Arial"/>
                <w:sz w:val="17"/>
                <w:szCs w:val="17"/>
                <w:color w:val="auto"/>
              </w:rPr>
              <w:t>Depreciation and amortization</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5,439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3,565</w:t>
            </w: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Amortization/accretion of marketable debt securities</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(696)</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(106)</w:t>
            </w:r>
          </w:p>
        </w:tc>
      </w:tr>
      <w:tr>
        <w:trPr>
          <w:trHeight w:val="216"/>
        </w:trPr>
        <w:tc>
          <w:tcPr>
            <w:tcW w:w="6720" w:type="dxa"/>
            <w:vAlign w:val="bottom"/>
          </w:tcPr>
          <w:p>
            <w:pPr>
              <w:ind w:left="500"/>
              <w:spacing w:after="0"/>
              <w:rPr>
                <w:sz w:val="20"/>
                <w:szCs w:val="20"/>
                <w:color w:val="auto"/>
              </w:rPr>
            </w:pPr>
            <w:r>
              <w:rPr>
                <w:rFonts w:ascii="Arial" w:cs="Arial" w:eastAsia="Arial" w:hAnsi="Arial"/>
                <w:sz w:val="17"/>
                <w:szCs w:val="17"/>
                <w:color w:val="auto"/>
              </w:rPr>
              <w:t>Stock-based compensation</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32,660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29,325</w:t>
            </w: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non-cash items, net</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w:t>
            </w: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Accounts receivable</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(1,728)</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2,287</w:t>
            </w: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500"/>
              <w:spacing w:after="0"/>
              <w:rPr>
                <w:sz w:val="20"/>
                <w:szCs w:val="20"/>
                <w:color w:val="auto"/>
              </w:rPr>
            </w:pPr>
            <w:r>
              <w:rPr>
                <w:rFonts w:ascii="Arial" w:cs="Arial" w:eastAsia="Arial" w:hAnsi="Arial"/>
                <w:sz w:val="17"/>
                <w:szCs w:val="17"/>
                <w:color w:val="auto"/>
              </w:rPr>
              <w:t>Inventories</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876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(7,404)</w:t>
            </w:r>
          </w:p>
        </w:tc>
      </w:tr>
      <w:tr>
        <w:trPr>
          <w:trHeight w:val="216"/>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Prepaid expenses and other current assets</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1,318</w:t>
            </w: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500"/>
              <w:spacing w:after="0"/>
              <w:rPr>
                <w:sz w:val="20"/>
                <w:szCs w:val="20"/>
                <w:color w:val="auto"/>
              </w:rPr>
            </w:pPr>
            <w:r>
              <w:rPr>
                <w:rFonts w:ascii="Arial" w:cs="Arial" w:eastAsia="Arial" w:hAnsi="Arial"/>
                <w:sz w:val="17"/>
                <w:szCs w:val="17"/>
                <w:color w:val="auto"/>
              </w:rPr>
              <w:t>Deferred tax assets</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(118)</w:t>
            </w:r>
          </w:p>
        </w:tc>
      </w:tr>
      <w:tr>
        <w:trPr>
          <w:trHeight w:val="216"/>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assets</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(2,834)</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(279)</w:t>
            </w:r>
          </w:p>
        </w:tc>
      </w:tr>
      <w:tr>
        <w:trPr>
          <w:trHeight w:val="216"/>
        </w:trPr>
        <w:tc>
          <w:tcPr>
            <w:tcW w:w="672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6,111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3,566</w:t>
            </w: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liabilities</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(288)</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(9,054)</w:t>
            </w:r>
          </w:p>
        </w:tc>
      </w:tr>
      <w:tr>
        <w:trPr>
          <w:trHeight w:val="216"/>
        </w:trPr>
        <w:tc>
          <w:tcPr>
            <w:tcW w:w="6720" w:type="dxa"/>
            <w:vAlign w:val="bottom"/>
          </w:tcPr>
          <w:p>
            <w:pPr>
              <w:ind w:left="500"/>
              <w:spacing w:after="0"/>
              <w:rPr>
                <w:sz w:val="20"/>
                <w:szCs w:val="20"/>
                <w:color w:val="auto"/>
              </w:rPr>
            </w:pPr>
            <w:r>
              <w:rPr>
                <w:rFonts w:ascii="Arial" w:cs="Arial" w:eastAsia="Arial" w:hAnsi="Arial"/>
                <w:sz w:val="17"/>
                <w:szCs w:val="17"/>
                <w:color w:val="auto"/>
              </w:rPr>
              <w:t>Income taxes payable</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(412)</w:t>
            </w:r>
          </w:p>
        </w:tc>
      </w:tr>
      <w:tr>
        <w:trPr>
          <w:trHeight w:val="216"/>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revenue</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318</w:t>
            </w:r>
          </w:p>
        </w:tc>
        <w:tc>
          <w:tcPr>
            <w:tcW w:w="120" w:type="dxa"/>
            <w:vAlign w:val="bottom"/>
            <w:shd w:val="clear" w:color="auto" w:fill="CFF0FC"/>
          </w:tcPr>
          <w:p>
            <w:pPr>
              <w:spacing w:after="0"/>
              <w:rPr>
                <w:sz w:val="18"/>
                <w:szCs w:val="18"/>
                <w:color w:val="auto"/>
              </w:rPr>
            </w:pPr>
          </w:p>
        </w:tc>
      </w:tr>
      <w:tr>
        <w:trPr>
          <w:trHeight w:val="230"/>
        </w:trPr>
        <w:tc>
          <w:tcPr>
            <w:tcW w:w="6720" w:type="dxa"/>
            <w:vAlign w:val="bottom"/>
          </w:tcPr>
          <w:p>
            <w:pPr>
              <w:ind w:left="500"/>
              <w:spacing w:after="0"/>
              <w:rPr>
                <w:sz w:val="20"/>
                <w:szCs w:val="20"/>
                <w:color w:val="auto"/>
              </w:rPr>
            </w:pPr>
            <w:r>
              <w:rPr>
                <w:rFonts w:ascii="Arial" w:cs="Arial" w:eastAsia="Arial" w:hAnsi="Arial"/>
                <w:sz w:val="17"/>
                <w:szCs w:val="17"/>
                <w:color w:val="auto"/>
              </w:rPr>
              <w:t>Lease Liabilities</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(1,454)</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long-term liabilities</w:t>
            </w:r>
          </w:p>
        </w:tc>
        <w:tc>
          <w:tcPr>
            <w:tcW w:w="118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923</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654</w:t>
            </w:r>
          </w:p>
        </w:tc>
        <w:tc>
          <w:tcPr>
            <w:tcW w:w="120" w:type="dxa"/>
            <w:vAlign w:val="bottom"/>
            <w:shd w:val="clear" w:color="auto" w:fill="CFF0FC"/>
          </w:tcPr>
          <w:p>
            <w:pPr>
              <w:spacing w:after="0"/>
              <w:rPr>
                <w:sz w:val="18"/>
                <w:szCs w:val="18"/>
                <w:color w:val="auto"/>
              </w:rPr>
            </w:pPr>
          </w:p>
        </w:tc>
      </w:tr>
      <w:tr>
        <w:trPr>
          <w:trHeight w:val="210"/>
        </w:trPr>
        <w:tc>
          <w:tcPr>
            <w:tcW w:w="6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operating activities</w:t>
            </w:r>
          </w:p>
        </w:tc>
        <w:tc>
          <w:tcPr>
            <w:tcW w:w="11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13,419</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6,977</w:t>
            </w:r>
          </w:p>
        </w:tc>
        <w:tc>
          <w:tcPr>
            <w:tcW w:w="120" w:type="dxa"/>
            <w:vAlign w:val="bottom"/>
            <w:tcBorders>
              <w:bottom w:val="single" w:sz="8" w:color="CFF0FC"/>
            </w:tcBorders>
          </w:tcPr>
          <w:p>
            <w:pPr>
              <w:spacing w:after="0"/>
              <w:rPr>
                <w:sz w:val="18"/>
                <w:szCs w:val="18"/>
                <w:color w:val="auto"/>
              </w:rPr>
            </w:pPr>
          </w:p>
        </w:tc>
      </w:tr>
      <w:tr>
        <w:trPr>
          <w:trHeight w:val="210"/>
        </w:trPr>
        <w:tc>
          <w:tcPr>
            <w:tcW w:w="6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260"/>
              <w:spacing w:after="0"/>
              <w:rPr>
                <w:sz w:val="20"/>
                <w:szCs w:val="20"/>
                <w:color w:val="auto"/>
              </w:rPr>
            </w:pPr>
            <w:r>
              <w:rPr>
                <w:rFonts w:ascii="Arial" w:cs="Arial" w:eastAsia="Arial" w:hAnsi="Arial"/>
                <w:sz w:val="17"/>
                <w:szCs w:val="17"/>
                <w:color w:val="auto"/>
              </w:rPr>
              <w:t>Purchase of investments</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(91,143)</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(39,639)</w:t>
            </w:r>
          </w:p>
        </w:tc>
      </w:tr>
      <w:tr>
        <w:trPr>
          <w:trHeight w:val="216"/>
        </w:trPr>
        <w:tc>
          <w:tcPr>
            <w:tcW w:w="6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Sales of investments</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32,573</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15,120</w:t>
            </w: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260"/>
              <w:spacing w:after="0"/>
              <w:rPr>
                <w:sz w:val="20"/>
                <w:szCs w:val="20"/>
                <w:color w:val="auto"/>
              </w:rPr>
            </w:pPr>
            <w:r>
              <w:rPr>
                <w:rFonts w:ascii="Arial" w:cs="Arial" w:eastAsia="Arial" w:hAnsi="Arial"/>
                <w:sz w:val="17"/>
                <w:szCs w:val="17"/>
                <w:color w:val="auto"/>
              </w:rPr>
              <w:t>Maturities of investments</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71,395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31,750</w:t>
            </w: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property and equipment</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(954)</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(1,977)</w:t>
            </w:r>
          </w:p>
        </w:tc>
      </w:tr>
      <w:tr>
        <w:trPr>
          <w:trHeight w:val="210"/>
        </w:trPr>
        <w:tc>
          <w:tcPr>
            <w:tcW w:w="6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investing activities</w:t>
            </w:r>
          </w:p>
        </w:tc>
        <w:tc>
          <w:tcPr>
            <w:tcW w:w="118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11,871</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5,254</w:t>
            </w:r>
          </w:p>
        </w:tc>
        <w:tc>
          <w:tcPr>
            <w:tcW w:w="120" w:type="dxa"/>
            <w:vAlign w:val="bottom"/>
            <w:tcBorders>
              <w:bottom w:val="single" w:sz="8" w:color="CFF0FC"/>
            </w:tcBorders>
          </w:tcPr>
          <w:p>
            <w:pPr>
              <w:spacing w:after="0"/>
              <w:rPr>
                <w:sz w:val="18"/>
                <w:szCs w:val="18"/>
                <w:color w:val="auto"/>
              </w:rPr>
            </w:pPr>
          </w:p>
        </w:tc>
      </w:tr>
      <w:tr>
        <w:trPr>
          <w:trHeight w:val="210"/>
        </w:trPr>
        <w:tc>
          <w:tcPr>
            <w:tcW w:w="6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7"/>
                <w:szCs w:val="17"/>
                <w:color w:val="auto"/>
              </w:rPr>
              <w:t>Stock repurchase</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(65,614)</w:t>
            </w:r>
          </w:p>
        </w:tc>
      </w:tr>
      <w:tr>
        <w:trPr>
          <w:trHeight w:val="216"/>
        </w:trPr>
        <w:tc>
          <w:tcPr>
            <w:tcW w:w="6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exercise of stock options and employee stock purchase plan</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5,429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3,672</w:t>
            </w: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260"/>
              <w:spacing w:after="0"/>
              <w:rPr>
                <w:sz w:val="20"/>
                <w:szCs w:val="20"/>
                <w:color w:val="auto"/>
              </w:rPr>
            </w:pPr>
            <w:r>
              <w:rPr>
                <w:rFonts w:ascii="Arial" w:cs="Arial" w:eastAsia="Arial" w:hAnsi="Arial"/>
                <w:sz w:val="17"/>
                <w:szCs w:val="17"/>
                <w:color w:val="auto"/>
              </w:rPr>
              <w:t>Payment for intangible asset</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(2,075)</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(1,672)</w:t>
            </w:r>
          </w:p>
        </w:tc>
      </w:tr>
      <w:tr>
        <w:trPr>
          <w:trHeight w:val="210"/>
        </w:trPr>
        <w:tc>
          <w:tcPr>
            <w:tcW w:w="6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provided by (used in) financing activities</w:t>
            </w:r>
          </w:p>
        </w:tc>
        <w:tc>
          <w:tcPr>
            <w:tcW w:w="11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3,354</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(63,614)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28,644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1"/>
              </w:rPr>
              <w:t>(51,383)</w:t>
            </w: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118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4"/>
              </w:rPr>
              <w:t>194,058</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346,681</w:t>
            </w:r>
          </w:p>
        </w:tc>
        <w:tc>
          <w:tcPr>
            <w:tcW w:w="120" w:type="dxa"/>
            <w:vAlign w:val="bottom"/>
            <w:shd w:val="clear" w:color="auto" w:fill="CFF0FC"/>
          </w:tcPr>
          <w:p>
            <w:pPr>
              <w:spacing w:after="0"/>
              <w:rPr>
                <w:sz w:val="18"/>
                <w:szCs w:val="18"/>
                <w:color w:val="auto"/>
              </w:rPr>
            </w:pPr>
          </w:p>
        </w:tc>
      </w:tr>
      <w:tr>
        <w:trPr>
          <w:trHeight w:val="250"/>
        </w:trPr>
        <w:tc>
          <w:tcPr>
            <w:tcW w:w="6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118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222,702</w:t>
            </w:r>
          </w:p>
        </w:tc>
        <w:tc>
          <w:tcPr>
            <w:tcW w:w="3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ind w:right="83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295,298</w:t>
            </w:r>
          </w:p>
        </w:tc>
        <w:tc>
          <w:tcPr>
            <w:tcW w:w="120" w:type="dxa"/>
            <w:vAlign w:val="bottom"/>
            <w:tcBorders>
              <w:bottom w:val="single" w:sz="8" w:color="CFF0FC"/>
            </w:tcBorders>
          </w:tcPr>
          <w:p>
            <w:pPr>
              <w:spacing w:after="0"/>
              <w:rPr>
                <w:sz w:val="21"/>
                <w:szCs w:val="21"/>
                <w:color w:val="auto"/>
              </w:rPr>
            </w:pPr>
          </w:p>
        </w:tc>
      </w:tr>
      <w:tr>
        <w:trPr>
          <w:trHeight w:val="197"/>
        </w:trPr>
        <w:tc>
          <w:tcPr>
            <w:tcW w:w="672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1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56"/>
        </w:trPr>
        <w:tc>
          <w:tcPr>
            <w:tcW w:w="6720" w:type="dxa"/>
            <w:vAlign w:val="bottom"/>
          </w:tcPr>
          <w:p>
            <w:pPr>
              <w:ind w:left="260"/>
              <w:spacing w:after="0"/>
              <w:rPr>
                <w:sz w:val="20"/>
                <w:szCs w:val="20"/>
                <w:color w:val="auto"/>
              </w:rPr>
            </w:pPr>
            <w:r>
              <w:rPr>
                <w:rFonts w:ascii="Arial" w:cs="Arial" w:eastAsia="Arial" w:hAnsi="Arial"/>
                <w:sz w:val="17"/>
                <w:szCs w:val="17"/>
                <w:color w:val="auto"/>
              </w:rPr>
              <w:t>Cash paid for income taxes</w:t>
            </w:r>
          </w:p>
        </w:tc>
        <w:tc>
          <w:tcPr>
            <w:tcW w:w="2120" w:type="dxa"/>
            <w:vAlign w:val="bottom"/>
            <w:gridSpan w:val="2"/>
          </w:tcPr>
          <w:p>
            <w:pPr>
              <w:jc w:val="right"/>
              <w:ind w:right="787"/>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1,283</w:t>
            </w:r>
          </w:p>
        </w:tc>
        <w:tc>
          <w:tcPr>
            <w:tcW w:w="300" w:type="dxa"/>
            <w:vAlign w:val="bottom"/>
          </w:tcPr>
          <w:p>
            <w:pPr>
              <w:spacing w:after="0"/>
              <w:rPr>
                <w:sz w:val="22"/>
                <w:szCs w:val="22"/>
                <w:color w:val="auto"/>
              </w:rPr>
            </w:pPr>
          </w:p>
        </w:tc>
        <w:tc>
          <w:tcPr>
            <w:tcW w:w="960" w:type="dxa"/>
            <w:vAlign w:val="bottom"/>
            <w:gridSpan w:val="2"/>
          </w:tcPr>
          <w:p>
            <w:pPr>
              <w:jc w:val="right"/>
              <w:ind w:right="83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1,009</w:t>
            </w:r>
          </w:p>
        </w:tc>
        <w:tc>
          <w:tcPr>
            <w:tcW w:w="120" w:type="dxa"/>
            <w:vAlign w:val="bottom"/>
          </w:tcPr>
          <w:p>
            <w:pPr>
              <w:spacing w:after="0"/>
              <w:rPr>
                <w:sz w:val="22"/>
                <w:szCs w:val="22"/>
                <w:color w:val="auto"/>
              </w:rPr>
            </w:pPr>
          </w:p>
        </w:tc>
      </w:tr>
      <w:tr>
        <w:trPr>
          <w:trHeight w:val="197"/>
        </w:trPr>
        <w:tc>
          <w:tcPr>
            <w:tcW w:w="672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118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6720" w:type="dxa"/>
            <w:vAlign w:val="bottom"/>
          </w:tcPr>
          <w:p>
            <w:pPr>
              <w:ind w:left="260"/>
              <w:spacing w:after="0"/>
              <w:rPr>
                <w:sz w:val="20"/>
                <w:szCs w:val="20"/>
                <w:color w:val="auto"/>
              </w:rPr>
            </w:pPr>
            <w:r>
              <w:rPr>
                <w:rFonts w:ascii="Arial" w:cs="Arial" w:eastAsia="Arial" w:hAnsi="Arial"/>
                <w:sz w:val="17"/>
                <w:szCs w:val="17"/>
                <w:color w:val="auto"/>
              </w:rPr>
              <w:t>Unpaid liabilities related to intangible and fixed assets additions</w:t>
            </w:r>
          </w:p>
        </w:tc>
        <w:tc>
          <w:tcPr>
            <w:tcW w:w="2120" w:type="dxa"/>
            <w:vAlign w:val="bottom"/>
            <w:gridSpan w:val="2"/>
          </w:tcPr>
          <w:p>
            <w:pPr>
              <w:jc w:val="right"/>
              <w:ind w:right="787"/>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347</w:t>
            </w:r>
          </w:p>
        </w:tc>
        <w:tc>
          <w:tcPr>
            <w:tcW w:w="300" w:type="dxa"/>
            <w:vAlign w:val="bottom"/>
          </w:tcPr>
          <w:p>
            <w:pPr>
              <w:spacing w:after="0"/>
              <w:rPr>
                <w:sz w:val="18"/>
                <w:szCs w:val="18"/>
                <w:color w:val="auto"/>
              </w:rPr>
            </w:pPr>
          </w:p>
        </w:tc>
        <w:tc>
          <w:tcPr>
            <w:tcW w:w="960" w:type="dxa"/>
            <w:vAlign w:val="bottom"/>
            <w:gridSpan w:val="2"/>
          </w:tcPr>
          <w:p>
            <w:pPr>
              <w:jc w:val="right"/>
              <w:ind w:right="83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286</w:t>
            </w:r>
          </w:p>
        </w:tc>
        <w:tc>
          <w:tcPr>
            <w:tcW w:w="12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left="4900"/>
        <w:spacing w:after="0"/>
        <w:rPr>
          <w:sz w:val="20"/>
          <w:szCs w:val="20"/>
          <w:color w:val="auto"/>
        </w:rPr>
      </w:pPr>
      <w:r>
        <w:rPr>
          <w:rFonts w:ascii="Arial" w:cs="Arial" w:eastAsia="Arial" w:hAnsi="Arial"/>
          <w:sz w:val="18"/>
          <w:szCs w:val="18"/>
          <w:b w:val="1"/>
          <w:bCs w:val="1"/>
          <w:color w:val="auto"/>
        </w:rPr>
        <w:t>AMBARELLA,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20" w:right="6420" w:hanging="512"/>
        <w:spacing w:after="0" w:line="378" w:lineRule="auto"/>
        <w:tabs>
          <w:tab w:leader="none" w:pos="18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Summary of Significant Accounting Policies </w:t>
      </w:r>
      <w:r>
        <w:rPr>
          <w:rFonts w:ascii="Arial" w:cs="Arial" w:eastAsia="Arial" w:hAnsi="Arial"/>
          <w:sz w:val="18"/>
          <w:szCs w:val="18"/>
          <w:b w:val="1"/>
          <w:bCs w:val="1"/>
          <w:i w:val="1"/>
          <w:iCs w:val="1"/>
          <w:color w:val="auto"/>
        </w:rPr>
        <w:t>Organization</w:t>
      </w:r>
    </w:p>
    <w:p>
      <w:pPr>
        <w:ind w:right="80" w:firstLine="518"/>
        <w:spacing w:after="0" w:line="291" w:lineRule="auto"/>
        <w:rPr>
          <w:sz w:val="20"/>
          <w:szCs w:val="20"/>
          <w:color w:val="auto"/>
        </w:rPr>
      </w:pPr>
      <w:r>
        <w:rPr>
          <w:rFonts w:ascii="Arial" w:cs="Arial" w:eastAsia="Arial" w:hAnsi="Arial"/>
          <w:sz w:val="16"/>
          <w:szCs w:val="16"/>
          <w:color w:val="auto"/>
        </w:rPr>
        <w:t>Ambarella, Inc. (the “Company”) was incorporated in the Cayman Islands on January 15, 2004. The Company is a leading developer of low-power, high-definition (HD) and Ultra HD video compression and image processing solutions, and computer vision solutions.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integrated high-definition video processing, image processing, analysis, audio processing and system functions onto a single chip, delivering exceptional video and image quality, differentiated functionality and low power consumption. Currently the Company is combining advanced computer vision technology with its state-of-the-art video to enable the next generation of intelligent cameras, advanced driver assistance systems (ADAS) and autonomous vehicles.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 sells its solutions to leading original design manufacturers, or ODMs, and original equipment manufacturers, or OEMs, globally.</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2019 fiscal year filed with the SEC on March 29, 2019 (the “Form 10-K”) and updated, as necessary, in this Form 10-Q. The year-end condensed consolidated balance sheet data presented for comparative purposes was derived from audited financial statements, but does not include all disclosures required by generally accepted accounting principles in the United States (“U.S. GAAP”).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reported periods. Actual results could differ from those estimates.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an ongoing basis, management evaluates its estimates and assumptions, including those related to (i) the collectability of accounts receivable;</w:t>
      </w:r>
    </w:p>
    <w:p>
      <w:pPr>
        <w:spacing w:after="0" w:line="46" w:lineRule="exact"/>
        <w:rPr>
          <w:sz w:val="20"/>
          <w:szCs w:val="20"/>
          <w:color w:val="auto"/>
        </w:rPr>
      </w:pPr>
    </w:p>
    <w:p>
      <w:pPr>
        <w:ind w:right="160" w:firstLine="8"/>
        <w:spacing w:after="0" w:line="281"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write down of excess and obsolete inventories; (iii) intangible assets and goodwill; (iv) the estimated useful lives of long-lived assets; (v) impairment of long-lived assets and financial instruments; (vi) warranty obligations; (vii) the valuation of stock-based compensation awards and financial instruments;</w:t>
      </w:r>
    </w:p>
    <w:p>
      <w:pPr>
        <w:spacing w:after="0" w:line="1" w:lineRule="exact"/>
        <w:rPr>
          <w:rFonts w:ascii="Arial" w:cs="Arial" w:eastAsia="Arial" w:hAnsi="Arial"/>
          <w:sz w:val="16"/>
          <w:szCs w:val="16"/>
          <w:color w:val="auto"/>
        </w:rPr>
      </w:pPr>
    </w:p>
    <w:p>
      <w:pPr>
        <w:ind w:right="120" w:firstLine="8"/>
        <w:spacing w:after="0" w:line="270" w:lineRule="auto"/>
        <w:tabs>
          <w:tab w:leader="none" w:pos="40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probability of performance objectives achievement; (ix) the realization of tax assets and estimates of tax liabilities, including reserves for uncertain tax positions; and (x) the recognition and disclosure of contingent liabilities. These estimates and assumptions are based on historical experience and on various other factors which the Company believes to be reasonable under the circumstances. The Company may engage third-party valuation specialists to assist with estimates related to the valuation of financial instruments,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6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 substantial portion of the Company’s revenue is derived from sales through one of its distributors, Wintech Microelectronics Co., Ltd., or Wintech, which serves as its non-exclusive sales representative in Asia other than Japan, and directly to one ODM customer, Chicony Electronics Co., Ltd., or Chicony. Termination of the relationships with these customers could result in a temporary or permanent loss of revenue. Furthermore, any credit issues from these customers could impair their abilities to make timely payment to the Company. See Note 14 for additional information regarding revenue and credit concentration with these customers.</w:t>
      </w:r>
    </w:p>
    <w:p>
      <w:pPr>
        <w:spacing w:after="0" w:line="18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asset-backed securities, commercial paper, U.S. government securities and debt securities of corporations which management assesses to be highly liquid. The Company does not hold or issue financial instruments for trading purposes.</w:t>
      </w:r>
    </w:p>
    <w:p>
      <w:pPr>
        <w:spacing w:after="0" w:line="178"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Company performs ongoing credit evaluations of its customers and adjusts credit limits based upon payment history and customers’ credit worthiness. The Company regularly monitors collections and payments from its customers.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 and Marketable Debt Securities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Company considers all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w:t>
      </w:r>
    </w:p>
    <w:p>
      <w:pPr>
        <w:spacing w:after="0" w:line="181"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 Company classifies these investments as “available-for-sale” securities carried at fair value, based on quoted market prices of similar assets, with the unrealized gains or losses reported, net of tax, as a separate component of shareholders’ equity and included in accumulated other comprehensive income in the condensed consolidated balance sheets. The amortization of premiums and accretion of discounts and the realized gains and losses are both recorded in other income, net, in the condensed consolidated statements of operations. The Company reviews its investments for possible other-than-temporary impairments on a regular basis. If any loss on investment is believed to be other-than-temporary, a charge will be recorded and a new cost basis in the investment will be established. In evaluating whether a loss on a security is other-than-temporary, the Company considers the following factors: (i) general market conditions, (ii) the duration and extent to which the fair value is less than cost and (iii) the Company’s intent and ability to hold the investment.</w:t>
      </w:r>
    </w:p>
    <w:p>
      <w:pPr>
        <w:spacing w:after="0" w:line="16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For securities in an unrealized loss position which is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loss. Due to the relative short term nature of the investments, there have been no other-than-temporary impairments recorded to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Amounts included in restricted cash represent those required to be set aside to secure certain transactions in a foreign entity. As of July 31, 2019 and January 31, 2019, the restricted cash was immaterial. The following table presents cash, cash equivalents and restricted cash reported on the condensed consolidated balance sheets and the sums are presented on the condensed consolidated statements of cash flows: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w:t>
            </w: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w w:val="94"/>
              </w:rPr>
              <w:t>July 31, 2019</w:t>
            </w: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January 31, 2019</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w w:val="94"/>
              </w:rPr>
              <w:t>July 31, 2018</w:t>
            </w: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January 31, 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80" w:type="dxa"/>
            <w:vAlign w:val="bottom"/>
            <w:gridSpan w:val="4"/>
          </w:tcPr>
          <w:p>
            <w:pPr>
              <w:jc w:val="right"/>
              <w:ind w:right="734"/>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222,693</w:t>
            </w:r>
          </w:p>
        </w:tc>
        <w:tc>
          <w:tcPr>
            <w:tcW w:w="5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194,047</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295,289</w:t>
            </w:r>
          </w:p>
        </w:tc>
        <w:tc>
          <w:tcPr>
            <w:tcW w:w="5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346,672</w:t>
            </w:r>
          </w:p>
        </w:tc>
        <w:tc>
          <w:tcPr>
            <w:tcW w:w="80" w:type="dxa"/>
            <w:vAlign w:val="bottom"/>
            <w:shd w:val="clear" w:color="auto" w:fill="CFF0FC"/>
          </w:tcPr>
          <w:p>
            <w:pPr>
              <w:spacing w:after="0"/>
              <w:rPr>
                <w:sz w:val="21"/>
                <w:szCs w:val="21"/>
                <w:color w:val="auto"/>
              </w:rPr>
            </w:pPr>
          </w:p>
        </w:tc>
      </w:tr>
      <w:tr>
        <w:trPr>
          <w:trHeight w:val="243"/>
        </w:trPr>
        <w:tc>
          <w:tcPr>
            <w:tcW w:w="38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89"/>
              </w:rPr>
              <w:t>Total as presented in the consolidated statements</w:t>
            </w: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 cash flows</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222,702</w:t>
            </w:r>
          </w:p>
        </w:tc>
        <w:tc>
          <w:tcPr>
            <w:tcW w:w="5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194,058</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295,298</w:t>
            </w:r>
          </w:p>
        </w:tc>
        <w:tc>
          <w:tcPr>
            <w:tcW w:w="5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346,681</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right="40" w:firstLine="518"/>
        <w:spacing w:after="0" w:line="297" w:lineRule="auto"/>
        <w:rPr>
          <w:sz w:val="20"/>
          <w:szCs w:val="20"/>
          <w:color w:val="auto"/>
        </w:rPr>
      </w:pPr>
      <w:r>
        <w:rPr>
          <w:rFonts w:ascii="Arial" w:cs="Arial" w:eastAsia="Arial" w:hAnsi="Arial"/>
          <w:sz w:val="16"/>
          <w:szCs w:val="16"/>
          <w:color w:val="auto"/>
        </w:rPr>
        <w:t>The Company records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 There were no material inventory losses recognized for the three and six months ended July 31, 2019 and 2018, respectively.</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Noncancelable Internal-Use Software License</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The Company accounts for a noncancelable on 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Effective February 1, 2019, the Company adopted Accounting Standards Codification (“ASC”) Topic 842, Leases, using the alternative transition method with an adjustment to the opening balance in the period of adoption without adjustment of comparative period financial statements. Under this new guidance, the Company recognizes leases as right-of-use (“ROU”) assets and corresponding lease liabilities at the lease commencement date based on the present value of future lease payments, while recognizing lease expenses under straight-line method through the lease term. The Company also elected the other available practical expedients, and has elected not to recognize ROU assets and lease liabilities that arise from short-term (12 months or less) leases and not to reassess the following for existing leases as of February 1, 2019: (i) whether contracts are or contain leases, (ii) lease classification, and (iii) initial direct costs. The Company does not combine lease components with non-lease components, and as a result, the non-lease components are accounted for separately. In determining the present value of lease payments, the Company uses the implicit interest rate if readily determinable. When the implicit rate is not readily determinable, the Company uses its incremental borrowing rate based on the information available at the lease commencement date. The Company's leases mainly include its worldwide office facilities which are all classified as operating leases. Certain leases include renewal options that are under the Company's discretion. The renewal options are included in the ROU and liability calculation if it is reasonably certain that the Company will exercise the option. As of February 1, 2019, the Company recognized approximately $8.6 million of ROU assets, net of previously recognized prepaid rent and accrued liabilities, and corresponding lease liabilities of $8.7 million. The Company's finance leases are immaterial.</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Effective February 1, 2018, the Company adopted ASC 606, Revenue from Contracts with Customers. As a result, the Company recognizes product revenue upon shipment and transfer of control to distributors (known as “sell-in” revenue recognition) rather than shipment to the end customers (known as “sell-through” revenue recognition) based on its estimate of the consideration it expects to receive.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8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sale of semiconductor products accounts for the substantial majority of the Company’s consolidated revenue. Sales agreements with customers are renewable periodically and contain terms and conditions with respect to payment, delivery, warranty, supply and other rights. The Company considers an accepted customer purchase order, governed by sales agreement, to be the contract with the customer. For each contract, the Company considers the promise to transfer tangible products to be the identified performance obligation. Product sales contracts may include volume-based tiered pricing or rebates that are fulfilled in cash or product. In determining the transaction price, the Company accounts for the right of returns, cash rebates, commissions and other pricing adjustments as variable consideration and estimates these amounts based on the expected amount to be provided to customers and reduces the revenue recognized. The Company estimates sales returns and rebates based on the Company’s historical patterns of return and pricing credits. As the Company’s standard payment terms are 30 days to 60 days, the contracts have no financing component. Under ASC 606, the Company estimates the total consideration to be received by using the expected value method for each contract, computes weighted average selling price for each unit shipped in cases where there is a material right due to the presence of volume-based tiered pricing, allocates the total consideration between the identified performance obligations, and recognizes revenue when control of its goods and services is transferred to its customers. The Company considers product control to be transferred at shipment or delivery because the Company has a present right to payment at that time, the customer has legal title to the asset, the Company has transferred physical possession of the asset, and the customer has significant risk and rewards of ownership of the asset.</w:t>
      </w:r>
    </w:p>
    <w:p>
      <w:pPr>
        <w:spacing w:after="0" w:line="67"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The Company also enters into fixed-price engineering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the Company’s SoC into the customer’s product. Accordingly, the Company determines that they are not separately identifiable and shall be treated as a single performance obligation. Customers usually pay based on milestones achieved. Because payments received do not correspond directly with the value of the Company’s performance to date, for fixed-price engineering services arrangements, revenue is recognized using the time-based straight line method, which best depicts the Company’s performance toward complete satisfaction of the performance obligation based on the nature of such professional services. Revenues from engineering service agreements were not material for the three and six months ended July 31, 2019 and 2018, respectively.</w:t>
      </w:r>
    </w:p>
    <w:p>
      <w:pPr>
        <w:spacing w:after="0" w:line="74" w:lineRule="exact"/>
        <w:rPr>
          <w:sz w:val="20"/>
          <w:szCs w:val="20"/>
          <w:color w:val="auto"/>
        </w:rPr>
      </w:pPr>
    </w:p>
    <w:p>
      <w:pPr>
        <w:ind w:right="220" w:firstLine="518"/>
        <w:spacing w:after="0" w:line="272" w:lineRule="auto"/>
        <w:rPr>
          <w:sz w:val="20"/>
          <w:szCs w:val="20"/>
          <w:color w:val="auto"/>
        </w:rPr>
      </w:pPr>
      <w:r>
        <w:rPr>
          <w:rFonts w:ascii="Arial" w:cs="Arial" w:eastAsia="Arial" w:hAnsi="Arial"/>
          <w:sz w:val="17"/>
          <w:szCs w:val="17"/>
          <w:color w:val="auto"/>
        </w:rPr>
        <w:t>The Company records contract assets when revenue is recognized prior to invoicing. The Company’s contract liabilities are primarily related to the portion of transaction price that exceeds the weighted average selling price for products sold to date under tiered-pricing contracts which contain material rights. These contract liabilities are expected to be recognized over the course of the contract when products are delivered for future pricing below the weighted average selling price of the contract. For the three and six months ended July 31, 2019 and 2018, the Company did not recognize any material revenue adjustment related to performance obligations satisfied in prior periods released from these contract liabilities. As of July 31, 2019 and January 31, 2019, the contract liabilities were not material. Additionally, the transaction price allocated to unsatisfied, or partially unsatisfied, purchase orders for contracts that are greater than a year was not material as of July 31, 2019 and January 31, 2019, respectively.</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760" w:firstLine="518"/>
        <w:spacing w:after="0" w:line="342" w:lineRule="auto"/>
        <w:rPr>
          <w:sz w:val="20"/>
          <w:szCs w:val="20"/>
          <w:color w:val="auto"/>
        </w:rPr>
      </w:pPr>
      <w:r>
        <w:rPr>
          <w:rFonts w:ascii="Arial" w:cs="Arial" w:eastAsia="Arial" w:hAnsi="Arial"/>
          <w:sz w:val="16"/>
          <w:szCs w:val="16"/>
          <w:color w:val="auto"/>
        </w:rPr>
        <w:t>Cost of revenue includes cost of materials, cost associated with packaging and assembly, testing and shipping, cost of personnel, stock-based compensation, logistics and quality assurance, warranty cost, royalty expense, write-downs of inventories and allocation of overhead.</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Research and development costs are expensed as incurred and consist primarily of personnel costs, product development costs, which include engineering services, development software and hardware tools, license fees, costs of fabrication of masks for prototype products, other development materials costs, depreciation of equipment and tools and allocation of facility costs, net of any research and development grants. As of July 31, 2019, there was approximately $1.2 million of grants recorded in prepaid expenses and other current assets and approximately $2.8 million of grants recorded in other non-current assets in the condensed consolidated balance sheets.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 Company records income taxes using the asset and liability method, which requires the recognition of deferred tax assets and liabilities for the expected future tax consequences of events that have been recognized in its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8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Company applies authoritative guidance for the accounting for uncertainty in income taxes. The guidance requires that tax effects of a position be recognized only if it is “more likely than not” to be sustained based solely on its technical merits as of the reporting date. Upon estimating its tax positions and tax benefits, the Company considers and evaluates numerous factors, which may require periodic adjustments and which may not reflect the final tax liabilities. The Company adjusts its financial statements to reflect only those tax positions that are more likely than not to be sustained under examination.</w:t>
      </w:r>
    </w:p>
    <w:p>
      <w:pPr>
        <w:spacing w:after="0" w:line="15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part of the process of preparing condensed consolidated financial statements, the Company is required to estimate its taxes in each of the jurisdictions in which it operates. The Company estimates actual current tax exposure together with assessing temporary differences resulting from differing treatment of items, such as accruals and allowances not currently deductible for tax purposes. These differences result in deferred tax assets, which are included in the condensed consolidated balance sheets. In general, deferred tax assets represent future tax benefits to be received when certain expenses previously recognized in the condensed consolidated statements of operations become deductible expenses under applicable income tax laws, or loss or credit carryforwards are utilized.</w:t>
      </w:r>
    </w:p>
    <w:p>
      <w:pPr>
        <w:spacing w:after="0" w:line="193"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In assessing whether deferred tax assets may be realized, the Company considers whether it is more likely than not that some portion or all of deferred tax assets will be realized. The ultimate realization of deferred tax assets is dependent upon the generation of future taxable income.</w:t>
      </w:r>
    </w:p>
    <w:p>
      <w:pPr>
        <w:spacing w:after="0" w:line="14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Company makes estimates and judgments about its future taxable income based on assumptions that are consistent with its plans and estimates. Should the actual amounts differ from estimates, the amount of valuation allowance could be materially impacted. Any adjustment to the deferred tax asset valuation allowance would be recorded in the condensed consolidated income statement for the periods in which the adjustment is determined to be required.</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employee stock purchase plan, unvested restricted stock and restricted stock units. The dilutive effect of potentially dilutive securities is reflected in diluted earnings (losses) per share by application of the treasury stock method.</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Comprehensive income (loss) includes unrealized gains or losses from available-for-sale securities that are excluded from net income (loss).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June 2016, the FASB issued ASU 2016-13, Financial Instruments – Credit Losses (Topic 326), to introduce a new impairment model for recognizing credit losses on financial instruments based on an estimate of current expected credit losses (“ECL”). Under the new model, an entity is required to estimate ECL on available-for-sale (AFS) debt securities only when the fair value is below the amortized cost of the asset and is no longer based on an impairment being “other-than-temporary”. The new model also requires the impairment calculation on an individual security level and requires an entity use present value of cash flows when estimating the ECL. The credit-related losses are required to be recognized through earnings and non-credit related losses are reported in other comprehensive income. In April 2019, the FASB further clarified the scope of the credit losses standard and addressed issues related to accrued interest receivable balances, recoveries, variable interest rates and prepayment. The ASU will be effective for public entities in fiscal years beginning after December 15, 2019, including interim periods within those fiscal years. The new guidance will require modified retrospective application to all outstanding instruments, with a cumulative effect adjustment recorded to opening retained earnings as of the beginning of the first period in which the guidance becomes effective. The Company does not believe the adoption of this new guidance will have a material impact on its consolidated financial statements.</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2" w:name="page13"/>
    <w:bookmarkEnd w:id="12"/>
    <w:p>
      <w:pPr>
        <w:ind w:right="20" w:firstLine="518"/>
        <w:spacing w:after="0" w:line="257"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of Goodwill Impairment, to eliminate the requirement to calculate the implied fair value of goodwill to measure a goodwill impairment charge. Instead, entities will record an impairment charge based on the excess of a reporting unit’s carrying amount over its fair value. This new guidance will be applied prospectively and is effective for annual and interim periods beginning after December 15, 2019. The Company does not believe the adoption of this new guidance will have a material impact on its financial position, results of operations and disclosures.</w:t>
      </w:r>
    </w:p>
    <w:p>
      <w:pPr>
        <w:spacing w:after="0" w:line="188"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In August 2018, the FASB issued 2018-13, Fair Value Measurement (Topic 820): Disclosure Framework – Changes to the Disclosure Requirements for Fair Value Measurement. Under this new guidance, the entities will no longer be required to disclose the amount of and the reasons for transfers between Level 1 and Level 2 of the fair value hierarchy, but will be required to disclose the range and weighted average used to develop significant unobservable inputs for Level 3 fair value measurements. The guidance is effective for fiscal years beginning after December 15, 2019 and for the interim periods within those fiscal years. Early adoption is permitted. The Company does not believe the adoption of this new guidance will have a material impact on its financial position, results of operations and disclosures.</w:t>
      </w:r>
    </w:p>
    <w:p>
      <w:pPr>
        <w:spacing w:after="0" w:line="19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August 2018, the FASB issued 2018-15, Intangibles – Goodwill and Other – Internal-Use Software (Subtopic 350-40): Customer’s Accounting for Implementation Costs Incurred in a Cloud Computing Arrangement That Is a Service Contract. Under this new guidance, the entities are required to capitalize implementation costs related to a hosting arrangement that is a service contract and amortize the costs over the term of the hosting arrangement, beginning when the module or component of the hosting arrangement is ready for its intended use. The guidance is effective for fiscal years beginning after December 15, 2019 and for the interim periods within those fiscal years. Early adoption is permitted. The Company does not believe the adoption of this new guidance will have a material impact on its financial position, results of operations and disclosures.</w:t>
      </w:r>
    </w:p>
    <w:p>
      <w:pPr>
        <w:spacing w:after="0" w:line="178"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In April 2019, the FASB issued ASU 2019-04, Codification Improvements to Topic 326, Financial Instruments – Credit Losses, Topic 815, Derivatives and Hedging, and Topic 25, Financial Instruments. The new guidance further clarifies that equity instruments without readily determinable fair values for which an entity has elected the measurement alternative should be remeasured to fair value as of the date that an observable transaction occurred. The FASB also amended the guidance to clarify that the nonrecurring fair value disclosure is applicable to equity instruments accounted for under the measurement alternative. The ASU will be effective for public entities in fiscal years beginning after December 15, 2019, including interim periods within those fiscal years, with early adoption permitted and requires a prospective method for those related to equity securities without readily determinable fair values that are measured using the measurement alternative. The Company does not believe the adoption of this new amendment will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12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Company invests a portion of its cash in debt securities that are denominated in United States dollars. The investment portfolio consists of money market funds, asset-backed securities, commercial paper, U.S. government securities, and debt securities of corporations. All of the investments are classified as available-for-sale securities and reported at fair value in the condensed consolidated balance sheets as follows: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center"/>
              <w:ind w:left="115"/>
              <w:spacing w:after="0"/>
              <w:rPr>
                <w:sz w:val="20"/>
                <w:szCs w:val="20"/>
                <w:color w:val="auto"/>
              </w:rPr>
            </w:pPr>
            <w:r>
              <w:rPr>
                <w:rFonts w:ascii="Arial" w:cs="Arial" w:eastAsia="Arial" w:hAnsi="Arial"/>
                <w:sz w:val="14"/>
                <w:szCs w:val="14"/>
                <w:b w:val="1"/>
                <w:bCs w:val="1"/>
                <w:color w:val="auto"/>
                <w:w w:val="92"/>
              </w:rPr>
              <w:t>As of July 31, 2019</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4"/>
              </w:rPr>
              <w:t>Amortized Cost</w:t>
            </w:r>
          </w:p>
        </w:tc>
        <w:tc>
          <w:tcPr>
            <w:tcW w:w="13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Unrealized Gains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Unrealized Losses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11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6"/>
          </w:tcPr>
          <w:p>
            <w:pPr>
              <w:jc w:val="center"/>
              <w:ind w:left="1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17,409</w:t>
            </w:r>
          </w:p>
        </w:tc>
        <w:tc>
          <w:tcPr>
            <w:tcW w:w="4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66"/>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17,409</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59,934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59,934</w:t>
            </w:r>
          </w:p>
        </w:tc>
        <w:tc>
          <w:tcPr>
            <w:tcW w:w="100" w:type="dxa"/>
            <w:vAlign w:val="bottom"/>
          </w:tcPr>
          <w:p>
            <w:pPr>
              <w:spacing w:after="0"/>
              <w:rPr>
                <w:sz w:val="19"/>
                <w:szCs w:val="19"/>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96,237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96,758</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14,460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19,744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19,728</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gridSpan w:val="2"/>
          </w:tcPr>
          <w:p>
            <w:pPr>
              <w:jc w:val="center"/>
              <w:ind w:right="830"/>
              <w:spacing w:after="0"/>
              <w:rPr>
                <w:sz w:val="20"/>
                <w:szCs w:val="20"/>
                <w:color w:val="auto"/>
              </w:rPr>
            </w:pPr>
            <w:r>
              <w:rPr>
                <w:rFonts w:ascii="Arial" w:cs="Arial" w:eastAsia="Arial" w:hAnsi="Arial"/>
                <w:sz w:val="18"/>
                <w:szCs w:val="18"/>
                <w:color w:val="auto"/>
                <w:w w:val="89"/>
              </w:rPr>
              <w:t>Total cash equivalents and marketable debt securities</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207,784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208,329</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center"/>
              <w:ind w:left="115"/>
              <w:spacing w:after="0"/>
              <w:rPr>
                <w:sz w:val="20"/>
                <w:szCs w:val="20"/>
                <w:color w:val="auto"/>
              </w:rPr>
            </w:pPr>
            <w:r>
              <w:rPr>
                <w:rFonts w:ascii="Arial" w:cs="Arial" w:eastAsia="Arial" w:hAnsi="Arial"/>
                <w:sz w:val="14"/>
                <w:szCs w:val="14"/>
                <w:b w:val="1"/>
                <w:bCs w:val="1"/>
                <w:color w:val="auto"/>
                <w:w w:val="92"/>
              </w:rPr>
              <w:t>As of January 31, 2019</w:t>
            </w: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4"/>
              </w:rPr>
              <w:t>Amortized Cost</w:t>
            </w:r>
          </w:p>
        </w:tc>
        <w:tc>
          <w:tcPr>
            <w:tcW w:w="13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Unrealized Gains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Unrealized Losses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155"/>
        </w:trPr>
        <w:tc>
          <w:tcPr>
            <w:tcW w:w="11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6"/>
          </w:tcPr>
          <w:p>
            <w:pPr>
              <w:jc w:val="center"/>
              <w:ind w:left="1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8,914</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66"/>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8,914</w:t>
            </w:r>
          </w:p>
        </w:tc>
        <w:tc>
          <w:tcPr>
            <w:tcW w:w="100" w:type="dxa"/>
            <w:vAlign w:val="bottom"/>
          </w:tcPr>
          <w:p>
            <w:pPr>
              <w:spacing w:after="0"/>
              <w:rPr>
                <w:sz w:val="20"/>
                <w:szCs w:val="20"/>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7,012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68,233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68,233</w:t>
            </w:r>
          </w:p>
        </w:tc>
        <w:tc>
          <w:tcPr>
            <w:tcW w:w="100" w:type="dxa"/>
            <w:vAlign w:val="bottom"/>
          </w:tcPr>
          <w:p>
            <w:pPr>
              <w:spacing w:after="0"/>
              <w:rPr>
                <w:sz w:val="19"/>
                <w:szCs w:val="19"/>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87,250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87,360</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11,607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11,604</w:t>
            </w:r>
          </w:p>
        </w:tc>
        <w:tc>
          <w:tcPr>
            <w:tcW w:w="100" w:type="dxa"/>
            <w:vAlign w:val="bottom"/>
          </w:tcPr>
          <w:p>
            <w:pPr>
              <w:spacing w:after="0"/>
              <w:rPr>
                <w:sz w:val="19"/>
                <w:szCs w:val="19"/>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21,993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21,983</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gridSpan w:val="2"/>
          </w:tcPr>
          <w:p>
            <w:pPr>
              <w:jc w:val="center"/>
              <w:ind w:right="830"/>
              <w:spacing w:after="0"/>
              <w:rPr>
                <w:sz w:val="20"/>
                <w:szCs w:val="20"/>
                <w:color w:val="auto"/>
              </w:rPr>
            </w:pPr>
            <w:r>
              <w:rPr>
                <w:rFonts w:ascii="Arial" w:cs="Arial" w:eastAsia="Arial" w:hAnsi="Arial"/>
                <w:sz w:val="18"/>
                <w:szCs w:val="18"/>
                <w:color w:val="auto"/>
                <w:w w:val="89"/>
              </w:rPr>
              <w:t>Total cash equivalents and marketable debt securities</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205,009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205,106</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w w:val="97"/>
              </w:rPr>
              <w:t>As of</w:t>
            </w: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July 31, 2019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January 31, 2019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56"/>
        </w:trPr>
        <w:tc>
          <w:tcPr>
            <w:tcW w:w="11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6"/>
          </w:tcPr>
          <w:p>
            <w:pPr>
              <w:jc w:val="right"/>
              <w:ind w:right="346"/>
              <w:spacing w:after="0" w:line="155" w:lineRule="exact"/>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3"/>
        </w:trPr>
        <w:tc>
          <w:tcPr>
            <w:tcW w:w="1140" w:type="dxa"/>
            <w:vAlign w:val="bottom"/>
          </w:tcPr>
          <w:p>
            <w:pPr>
              <w:spacing w:after="0"/>
              <w:rPr>
                <w:sz w:val="21"/>
                <w:szCs w:val="21"/>
                <w:color w:val="auto"/>
              </w:rPr>
            </w:pPr>
          </w:p>
        </w:tc>
        <w:tc>
          <w:tcPr>
            <w:tcW w:w="4100" w:type="dxa"/>
            <w:vAlign w:val="bottom"/>
            <w:shd w:val="clear" w:color="auto" w:fill="CFF0FC"/>
          </w:tcPr>
          <w:p>
            <w:pPr>
              <w:jc w:val="center"/>
              <w:ind w:right="1970"/>
              <w:spacing w:after="0"/>
              <w:rPr>
                <w:sz w:val="20"/>
                <w:szCs w:val="20"/>
                <w:color w:val="auto"/>
              </w:rPr>
            </w:pPr>
            <w:r>
              <w:rPr>
                <w:rFonts w:ascii="Arial" w:cs="Arial" w:eastAsia="Arial" w:hAnsi="Arial"/>
                <w:sz w:val="18"/>
                <w:szCs w:val="18"/>
                <w:color w:val="auto"/>
                <w:w w:val="90"/>
              </w:rPr>
              <w:t>Included in cash equivalents</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55,220</w:t>
            </w:r>
          </w:p>
        </w:tc>
        <w:tc>
          <w:tcPr>
            <w:tcW w:w="10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68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40,245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Included in marketable debt securities</w:t>
            </w:r>
          </w:p>
        </w:tc>
        <w:tc>
          <w:tcPr>
            <w:tcW w:w="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6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153,109</w:t>
            </w: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9"/>
              </w:rPr>
              <w:t>164,861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89"/>
              </w:rPr>
              <w:t>Total cash equivalents and marketable debt securities</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208,329</w:t>
            </w:r>
          </w:p>
        </w:tc>
        <w:tc>
          <w:tcPr>
            <w:tcW w:w="1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68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89"/>
              </w:rPr>
              <w:t>205,106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the investments at July 31, 2019 and January 31, 2019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959"/>
              <w:spacing w:after="0"/>
              <w:rPr>
                <w:sz w:val="20"/>
                <w:szCs w:val="20"/>
                <w:color w:val="auto"/>
              </w:rPr>
            </w:pPr>
            <w:r>
              <w:rPr>
                <w:rFonts w:ascii="Arial" w:cs="Arial" w:eastAsia="Arial" w:hAnsi="Arial"/>
                <w:sz w:val="14"/>
                <w:szCs w:val="14"/>
                <w:b w:val="1"/>
                <w:bCs w:val="1"/>
                <w:color w:val="auto"/>
                <w:w w:val="91"/>
              </w:rPr>
              <w:t>As of</w:t>
            </w:r>
          </w:p>
        </w:tc>
        <w:tc>
          <w:tcPr>
            <w:tcW w:w="1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4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31, 2019</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January 31, 2019</w:t>
            </w:r>
          </w:p>
        </w:tc>
        <w:tc>
          <w:tcPr>
            <w:tcW w:w="60" w:type="dxa"/>
            <w:vAlign w:val="bottom"/>
          </w:tcPr>
          <w:p>
            <w:pPr>
              <w:spacing w:after="0"/>
              <w:rPr>
                <w:sz w:val="19"/>
                <w:szCs w:val="19"/>
                <w:color w:val="auto"/>
              </w:rPr>
            </w:pPr>
          </w:p>
        </w:tc>
      </w:tr>
      <w:tr>
        <w:trPr>
          <w:trHeight w:val="223"/>
        </w:trPr>
        <w:tc>
          <w:tcPr>
            <w:tcW w:w="4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r>
      <w:tr>
        <w:trPr>
          <w:trHeight w:val="24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155,351</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151,991</w:t>
            </w:r>
          </w:p>
        </w:tc>
        <w:tc>
          <w:tcPr>
            <w:tcW w:w="60" w:type="dxa"/>
            <w:vAlign w:val="bottom"/>
            <w:shd w:val="clear" w:color="auto" w:fill="CFF0FC"/>
          </w:tcPr>
          <w:p>
            <w:pPr>
              <w:spacing w:after="0"/>
              <w:rPr>
                <w:sz w:val="21"/>
                <w:szCs w:val="21"/>
                <w:color w:val="auto"/>
              </w:rPr>
            </w:pPr>
          </w:p>
        </w:tc>
      </w:tr>
      <w:tr>
        <w:trPr>
          <w:trHeight w:val="243"/>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within one to three years</w:t>
            </w:r>
          </w:p>
        </w:tc>
        <w:tc>
          <w:tcPr>
            <w:tcW w:w="4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52,978</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53,115</w:t>
            </w:r>
          </w:p>
        </w:tc>
        <w:tc>
          <w:tcPr>
            <w:tcW w:w="60" w:type="dxa"/>
            <w:vAlign w:val="bottom"/>
            <w:tcBorders>
              <w:bottom w:val="single" w:sz="8" w:color="CFF0FC"/>
            </w:tcBorders>
          </w:tcPr>
          <w:p>
            <w:pPr>
              <w:spacing w:after="0"/>
              <w:rPr>
                <w:sz w:val="21"/>
                <w:szCs w:val="21"/>
                <w:color w:val="auto"/>
              </w:rPr>
            </w:pPr>
          </w:p>
        </w:tc>
      </w:tr>
      <w:tr>
        <w:trPr>
          <w:trHeight w:val="237"/>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Total cash equivalents and marketable debt securities</w:t>
            </w: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208,329</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205,106</w:t>
            </w:r>
          </w:p>
        </w:tc>
        <w:tc>
          <w:tcPr>
            <w:tcW w:w="60" w:type="dxa"/>
            <w:vAlign w:val="bottom"/>
            <w:shd w:val="clear" w:color="auto" w:fill="CFF0FC"/>
          </w:tcPr>
          <w:p>
            <w:pPr>
              <w:spacing w:after="0"/>
              <w:rPr>
                <w:sz w:val="20"/>
                <w:szCs w:val="20"/>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unrealized losses on the available-for-sale securities were primarily caused by fluctuations in market value and interest rates as a result of the economic environment. As the decline in market value was attributable to changes in market conditions and not credit quality, and because the Company neither intended to sell nor was it more likely than not that it will be required to sell these investments prior to a recovery of par value, the Company did not consider these investments to be other-than temporarily impaired as of July 31, 2019 and January 31, 2019, respectively.</w:t>
      </w:r>
    </w:p>
    <w:p>
      <w:pPr>
        <w:spacing w:after="0" w:line="17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following fair value hierarchy is applied for disclosure of the inputs used to measure fair value. This hierarchy prioritizes the inputs into three broad levels as follows: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11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4" w:name="page15"/>
    <w:bookmarkEnd w:id="14"/>
    <w:p>
      <w:pPr>
        <w:ind w:right="440" w:firstLine="518"/>
        <w:spacing w:after="0" w:line="277" w:lineRule="auto"/>
        <w:rPr>
          <w:sz w:val="20"/>
          <w:szCs w:val="20"/>
          <w:color w:val="auto"/>
        </w:rPr>
      </w:pPr>
      <w:r>
        <w:rPr>
          <w:rFonts w:ascii="Arial" w:cs="Arial" w:eastAsia="Arial" w:hAnsi="Arial"/>
          <w:sz w:val="18"/>
          <w:szCs w:val="18"/>
          <w:color w:val="auto"/>
        </w:rPr>
        <w:t>Level 3—Unobservable inputs based on the Company’s own assumptions used to measure assets and liabilities at fair value. The inputs require significant management judgment or estimation.</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measures the fair value of money market funds and certificates of deposit using quoted prices in active markets for identical assets and classifies them within Level 1. The respective fair values of the Company’s investments in other debt securities are obtained based on quoted prices for similar assets in active markets and are classified within Level 2.</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fair value of the financial instruments measured on a recurring basis as of July 31, 2019 and January 31, 2019:</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2"/>
              </w:rPr>
              <w:t>As of July 31, 2019</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07"/>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8"/>
          </w:tcPr>
          <w:p>
            <w:pPr>
              <w:jc w:val="center"/>
              <w:ind w:right="4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9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17,409</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17,409</w:t>
            </w:r>
          </w:p>
        </w:tc>
        <w:tc>
          <w:tcPr>
            <w:tcW w:w="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59,934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59,934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96,758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96,758</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14,500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19,728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19,728</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00" w:type="dxa"/>
            <w:vAlign w:val="bottom"/>
            <w:gridSpan w:val="2"/>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6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208,329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17,409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190,920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2"/>
              </w:rPr>
              <w:t>As of January 31, 2019</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07"/>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8"/>
          </w:tcPr>
          <w:p>
            <w:pPr>
              <w:jc w:val="center"/>
              <w:ind w:right="4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3"/>
          </w:tcPr>
          <w:p>
            <w:pPr>
              <w:ind w:left="580"/>
              <w:spacing w:after="0"/>
              <w:rPr>
                <w:sz w:val="20"/>
                <w:szCs w:val="20"/>
                <w:color w:val="auto"/>
              </w:rPr>
            </w:pPr>
            <w:r>
              <w:rPr>
                <w:rFonts w:ascii="Arial" w:cs="Arial" w:eastAsia="Arial" w:hAnsi="Arial"/>
                <w:sz w:val="18"/>
                <w:szCs w:val="18"/>
                <w:color w:val="auto"/>
              </w:rPr>
              <w:t>Money market funds</w:t>
            </w:r>
          </w:p>
        </w:tc>
        <w:tc>
          <w:tcPr>
            <w:tcW w:w="9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8,914</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8,914</w:t>
            </w:r>
          </w:p>
        </w:tc>
        <w:tc>
          <w:tcPr>
            <w:tcW w:w="80" w:type="dxa"/>
            <w:vAlign w:val="bottom"/>
          </w:tcPr>
          <w:p>
            <w:pPr>
              <w:spacing w:after="0"/>
              <w:rPr>
                <w:sz w:val="20"/>
                <w:szCs w:val="20"/>
                <w:color w:val="auto"/>
              </w:rPr>
            </w:pP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7,012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7,012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68,233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68,233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87,360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87,360</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11,604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21,983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21,983</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00" w:type="dxa"/>
            <w:vAlign w:val="bottom"/>
            <w:gridSpan w:val="2"/>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6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205,106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15,926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189,180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28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80" w:type="dxa"/>
            <w:vAlign w:val="bottom"/>
            <w:gridSpan w:val="5"/>
          </w:tcPr>
          <w:p>
            <w:pPr>
              <w:jc w:val="right"/>
              <w:ind w:right="25"/>
              <w:spacing w:after="0"/>
              <w:rPr>
                <w:sz w:val="20"/>
                <w:szCs w:val="20"/>
                <w:color w:val="auto"/>
              </w:rPr>
            </w:pPr>
            <w:r>
              <w:rPr>
                <w:rFonts w:ascii="Arial" w:cs="Arial" w:eastAsia="Arial" w:hAnsi="Arial"/>
                <w:sz w:val="18"/>
                <w:szCs w:val="18"/>
                <w:color w:val="auto"/>
                <w:w w:val="99"/>
              </w:rPr>
              <w:t>Inventories at July 31, 2019 and January 31, 2019 consisted of the following:</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July 31, 2019</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8"/>
              </w:rPr>
              <w:t>January 31, 2019</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6"/>
          </w:tcPr>
          <w:p>
            <w:pPr>
              <w:jc w:val="right"/>
              <w:ind w:right="65"/>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Work-in-progress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9,854</w:t>
            </w:r>
          </w:p>
        </w:tc>
        <w:tc>
          <w:tcPr>
            <w:tcW w:w="3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9,430</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6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8,822</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17,376</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18,252</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233"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Depreciation expense was approximately $0.7 million and $0.6 million for the three months ended July 31, 2019 and 2018, respectively. Depreciation expense was approximately $1.4 million and $1.3 million for the six months ended July 31, 2019 and 2018, respectively. Property and equipment at July 31, 2019 and January 31, 2019 consisted of the following:</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4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July 31, 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January 31, 2019</w:t>
            </w:r>
          </w:p>
        </w:tc>
      </w:tr>
      <w:tr>
        <w:trPr>
          <w:trHeight w:val="156"/>
        </w:trPr>
        <w:tc>
          <w:tcPr>
            <w:tcW w:w="4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5"/>
          </w:tcPr>
          <w:p>
            <w:pPr>
              <w:jc w:val="right"/>
              <w:ind w:right="952"/>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9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9,641</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9,098</w:t>
            </w:r>
          </w:p>
        </w:tc>
        <w:tc>
          <w:tcPr>
            <w:tcW w:w="8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5,659</w:t>
            </w:r>
          </w:p>
        </w:tc>
        <w:tc>
          <w:tcPr>
            <w:tcW w:w="8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2,331</w:t>
            </w:r>
          </w:p>
        </w:tc>
        <w:tc>
          <w:tcPr>
            <w:tcW w:w="8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7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FF0FC"/>
          </w:tcPr>
          <w:p>
            <w:pPr>
              <w:spacing w:after="0"/>
              <w:rPr>
                <w:sz w:val="19"/>
                <w:szCs w:val="19"/>
                <w:color w:val="auto"/>
              </w:rPr>
            </w:pPr>
          </w:p>
        </w:tc>
      </w:tr>
      <w:tr>
        <w:trPr>
          <w:trHeight w:val="223"/>
        </w:trPr>
        <w:tc>
          <w:tcPr>
            <w:tcW w:w="4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18,387</w:t>
            </w:r>
          </w:p>
        </w:tc>
        <w:tc>
          <w:tcPr>
            <w:tcW w:w="8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(12,996)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(11,659)</w:t>
            </w:r>
          </w:p>
        </w:tc>
      </w:tr>
      <w:tr>
        <w:trPr>
          <w:trHeight w:val="223"/>
        </w:trPr>
        <w:tc>
          <w:tcPr>
            <w:tcW w:w="424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w:t>
            </w:r>
          </w:p>
        </w:tc>
        <w:tc>
          <w:tcPr>
            <w:tcW w:w="8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Intangible assets primarily consist of $4.1 million of in-process research and development (“IPR&amp;D”) from the acquisition of VisLab S.r.l., or VisLab, in June 2015 and $4.9 million of noncancelable software licenses, net of amortization expense. Acquired IPR&amp;D is capitalized at fair value and the amortization commences upon completion of the underlying projects. When a project underlying reported IPR&amp;D is completed, the corresponding amount of IPR&amp;D is reclassified as an amortizable purchased intangible asset and is amortized over its estimated useful life. As of July 31, 2019 and January 31, 2019, there was no IPR&amp;D amortized, respectively. The Company will determine the project incorporating the VisLab IPR&amp;D to be completed when a related chip begins mass production to address the level 3 and above advanced driving assistance systems markets.</w:t>
      </w:r>
    </w:p>
    <w:p>
      <w:pPr>
        <w:spacing w:after="0" w:line="178" w:lineRule="exact"/>
        <w:rPr>
          <w:sz w:val="20"/>
          <w:szCs w:val="20"/>
          <w:color w:val="auto"/>
        </w:rPr>
      </w:pPr>
    </w:p>
    <w:p>
      <w:pPr>
        <w:jc w:val="both"/>
        <w:ind w:right="100" w:firstLine="518"/>
        <w:spacing w:after="0" w:line="279" w:lineRule="auto"/>
        <w:rPr>
          <w:sz w:val="20"/>
          <w:szCs w:val="20"/>
          <w:color w:val="auto"/>
        </w:rPr>
      </w:pPr>
      <w:r>
        <w:rPr>
          <w:rFonts w:ascii="Arial" w:cs="Arial" w:eastAsia="Arial" w:hAnsi="Arial"/>
          <w:sz w:val="17"/>
          <w:szCs w:val="17"/>
          <w:color w:val="auto"/>
        </w:rPr>
        <w:t>The Company enters into certain internal-use noncancelable software license agreements with third parties from time-to-time. The licenses have been capitalized as intangible assets, and the corresponding future payments have been recorded as liabilities at net present value. As of July 31, 2019 and January 31, 2019, $3.3 million and $4.9 million was recorded in accrued and other current liabilities, respectively, and $0.5 million and $0.3 million was recorded in other long-term liabilities, respectively, in the condensed consolidated balance sheets.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amounts of intangible assets as of July 31, 2019 and January 31, 2019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As of July 31, 2019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January 31, 2019</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11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88"/>
              </w:rPr>
              <w:t>Gross</w:t>
            </w:r>
          </w:p>
        </w:tc>
        <w:tc>
          <w:tcPr>
            <w:tcW w:w="11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4"/>
          </w:tcPr>
          <w:p>
            <w:pPr>
              <w:jc w:val="right"/>
              <w:ind w:right="319"/>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34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Internal-use software licenses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15,104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(10,196)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14,448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acquired intangible assets</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19,204</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(10,196</w:t>
            </w:r>
          </w:p>
        </w:tc>
        <w:tc>
          <w:tcPr>
            <w:tcW w:w="14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The amortization expense related to these software licenses was approximately $1.3 million and $1.2 million for the three months ended July 31, 2019 and 2018, respectively. The amortization expense related to these software licenses was approximately $2.6 million and $2.3 million for the six months ended July 31, 2019 and 2018, respectively. The estimated future amortization expense of these software licenses as of July 31, 2019 is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vMerge w:val="restart"/>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Fiscal Year</w:t>
            </w:r>
          </w:p>
        </w:tc>
        <w:tc>
          <w:tcPr>
            <w:tcW w:w="3060" w:type="dxa"/>
            <w:vAlign w:val="bottom"/>
            <w:vMerge w:val="restart"/>
          </w:tcPr>
          <w:p>
            <w:pPr>
              <w:spacing w:after="0"/>
              <w:rPr>
                <w:sz w:val="14"/>
                <w:szCs w:val="14"/>
                <w:color w:val="auto"/>
              </w:rPr>
            </w:pPr>
          </w:p>
        </w:tc>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July 31, 2019</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40" w:type="dxa"/>
            <w:vAlign w:val="bottom"/>
            <w:vMerge w:val="continue"/>
          </w:tcPr>
          <w:p>
            <w:pPr>
              <w:spacing w:after="0"/>
              <w:rPr>
                <w:sz w:val="12"/>
                <w:szCs w:val="12"/>
                <w:color w:val="auto"/>
              </w:rPr>
            </w:pPr>
          </w:p>
        </w:tc>
        <w:tc>
          <w:tcPr>
            <w:tcW w:w="700" w:type="dxa"/>
            <w:vAlign w:val="bottom"/>
            <w:tcBorders>
              <w:bottom w:val="single" w:sz="8" w:color="auto"/>
            </w:tcBorders>
            <w:gridSpan w:val="2"/>
            <w:vMerge w:val="continue"/>
          </w:tcPr>
          <w:p>
            <w:pPr>
              <w:spacing w:after="0"/>
              <w:rPr>
                <w:sz w:val="12"/>
                <w:szCs w:val="12"/>
                <w:color w:val="auto"/>
              </w:rPr>
            </w:pPr>
          </w:p>
        </w:tc>
        <w:tc>
          <w:tcPr>
            <w:tcW w:w="3060" w:type="dxa"/>
            <w:vAlign w:val="bottom"/>
            <w:vMerge w:val="continue"/>
          </w:tcPr>
          <w:p>
            <w:pPr>
              <w:spacing w:after="0"/>
              <w:rPr>
                <w:sz w:val="12"/>
                <w:szCs w:val="12"/>
                <w:color w:val="auto"/>
              </w:rPr>
            </w:pPr>
          </w:p>
        </w:tc>
        <w:tc>
          <w:tcPr>
            <w:tcW w:w="3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13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2020 (6 months remaining)</w:t>
            </w:r>
          </w:p>
        </w:tc>
        <w:tc>
          <w:tcPr>
            <w:tcW w:w="39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2021</w:t>
            </w:r>
          </w:p>
        </w:tc>
        <w:tc>
          <w:tcPr>
            <w:tcW w:w="30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3060" w:type="dxa"/>
            <w:vAlign w:val="bottom"/>
            <w:shd w:val="clear" w:color="auto" w:fill="CFF0FC"/>
          </w:tcPr>
          <w:p>
            <w:pPr>
              <w:spacing w:after="0"/>
              <w:rPr>
                <w:sz w:val="19"/>
                <w:szCs w:val="19"/>
                <w:color w:val="auto"/>
              </w:rPr>
            </w:pPr>
          </w:p>
        </w:tc>
        <w:tc>
          <w:tcPr>
            <w:tcW w:w="3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2023</w:t>
            </w:r>
          </w:p>
        </w:tc>
        <w:tc>
          <w:tcPr>
            <w:tcW w:w="30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3060" w:type="dxa"/>
            <w:vAlign w:val="bottom"/>
            <w:shd w:val="clear" w:color="auto" w:fill="CFF0FC"/>
          </w:tcPr>
          <w:p>
            <w:pPr>
              <w:spacing w:after="0"/>
              <w:rPr>
                <w:sz w:val="19"/>
                <w:szCs w:val="19"/>
                <w:color w:val="auto"/>
              </w:rPr>
            </w:pPr>
          </w:p>
        </w:tc>
        <w:tc>
          <w:tcPr>
            <w:tcW w:w="3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Thereafter</w:t>
            </w:r>
          </w:p>
        </w:tc>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4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future amortization expenses:</w:t>
            </w:r>
          </w:p>
        </w:tc>
        <w:tc>
          <w:tcPr>
            <w:tcW w:w="37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760" w:type="dxa"/>
            <w:vAlign w:val="bottom"/>
            <w:vMerge w:val="restart"/>
          </w:tcPr>
          <w:p>
            <w:pPr>
              <w:jc w:val="right"/>
              <w:ind w:right="277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right="60" w:firstLine="518"/>
        <w:spacing w:after="0" w:line="342" w:lineRule="auto"/>
        <w:rPr>
          <w:sz w:val="20"/>
          <w:szCs w:val="20"/>
          <w:color w:val="auto"/>
        </w:rPr>
      </w:pPr>
      <w:r>
        <w:rPr>
          <w:rFonts w:ascii="Arial" w:cs="Arial" w:eastAsia="Arial" w:hAnsi="Arial"/>
          <w:sz w:val="16"/>
          <w:szCs w:val="16"/>
          <w:color w:val="auto"/>
        </w:rPr>
        <w:t>IPR&amp;D is required to be tested for impairment at least annually in the fourth fiscal quarter or sooner whenever events or changes in circumstances indicate that the assets may be impaired. There were no intangible asset impairments for the three and six months ended July 31, 2019 and 2018, respectively.</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at July 31, 2019 and January 31, 2019 consisted of the following:</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4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31, 2019</w:t>
            </w:r>
          </w:p>
        </w:tc>
        <w:tc>
          <w:tcPr>
            <w:tcW w:w="12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2019</w:t>
            </w:r>
          </w:p>
        </w:tc>
      </w:tr>
      <w:tr>
        <w:trPr>
          <w:trHeight w:val="156"/>
        </w:trPr>
        <w:tc>
          <w:tcPr>
            <w:tcW w:w="4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4"/>
          </w:tcPr>
          <w:p>
            <w:pPr>
              <w:jc w:val="right"/>
              <w:ind w:right="953"/>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compensation</w:t>
            </w:r>
          </w:p>
        </w:tc>
        <w:tc>
          <w:tcPr>
            <w:tcW w:w="10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10,645</w:t>
            </w:r>
          </w:p>
        </w:tc>
        <w:tc>
          <w:tcPr>
            <w:tcW w:w="6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Accrued rebates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Accrued product development costs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6,393</w:t>
            </w:r>
          </w:p>
        </w:tc>
        <w:tc>
          <w:tcPr>
            <w:tcW w:w="6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Software license liabilities, current</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4,879</w:t>
            </w:r>
          </w:p>
        </w:tc>
        <w:tc>
          <w:tcPr>
            <w:tcW w:w="6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8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60" w:type="dxa"/>
            <w:vAlign w:val="bottom"/>
            <w:shd w:val="clear" w:color="auto" w:fill="CFF0FC"/>
          </w:tcPr>
          <w:p>
            <w:pPr>
              <w:spacing w:after="0"/>
              <w:rPr>
                <w:sz w:val="19"/>
                <w:szCs w:val="19"/>
                <w:color w:val="auto"/>
              </w:rPr>
            </w:pPr>
          </w:p>
        </w:tc>
      </w:tr>
      <w:tr>
        <w:trPr>
          <w:trHeight w:val="223"/>
        </w:trPr>
        <w:tc>
          <w:tcPr>
            <w:tcW w:w="4100" w:type="dxa"/>
            <w:vAlign w:val="bottom"/>
          </w:tcPr>
          <w:p>
            <w:pPr>
              <w:ind w:left="240"/>
              <w:spacing w:after="0"/>
              <w:rPr>
                <w:sz w:val="20"/>
                <w:szCs w:val="20"/>
                <w:color w:val="auto"/>
              </w:rPr>
            </w:pPr>
            <w:r>
              <w:rPr>
                <w:rFonts w:ascii="Arial" w:cs="Arial" w:eastAsia="Arial" w:hAnsi="Arial"/>
                <w:sz w:val="18"/>
                <w:szCs w:val="18"/>
                <w:color w:val="auto"/>
              </w:rPr>
              <w:t>Total accrued and other current liabilities</w:t>
            </w:r>
          </w:p>
        </w:tc>
        <w:tc>
          <w:tcPr>
            <w:tcW w:w="8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24,432</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24,700</w:t>
            </w:r>
          </w:p>
        </w:tc>
        <w:tc>
          <w:tcPr>
            <w:tcW w:w="6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Company has entered into operating leases for its worldwide office buildings and research and development facilities. The leases expire at various dates through fiscal year 2028, some of which include options to extend the lease for up to 3 years. For the three and six months ended July 31, 2019, the Company recorded approximately $0.7 million and $1.5 million of operating lease expense, respectively. The Company's short-term leases and finance leases are immaterial.</w:t>
      </w:r>
    </w:p>
    <w:p>
      <w:pPr>
        <w:spacing w:after="0" w:line="187" w:lineRule="exact"/>
        <w:rPr>
          <w:sz w:val="20"/>
          <w:szCs w:val="20"/>
          <w:color w:val="auto"/>
        </w:rPr>
      </w:pPr>
    </w:p>
    <w:p>
      <w:pPr>
        <w:ind w:right="300" w:firstLine="518"/>
        <w:spacing w:after="0" w:line="258" w:lineRule="auto"/>
        <w:rPr>
          <w:sz w:val="20"/>
          <w:szCs w:val="20"/>
          <w:color w:val="auto"/>
        </w:rPr>
      </w:pPr>
      <w:r>
        <w:rPr>
          <w:rFonts w:ascii="Arial" w:cs="Arial" w:eastAsia="Arial" w:hAnsi="Arial"/>
          <w:sz w:val="18"/>
          <w:szCs w:val="18"/>
          <w:color w:val="auto"/>
        </w:rPr>
        <w:t>The cumulative effect of the changes made to the condensed consolidated balance sheet as of February 1, 2019 for the adoption of ASC 842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center"/>
              <w:ind w:right="194"/>
              <w:spacing w:after="0"/>
              <w:rPr>
                <w:sz w:val="20"/>
                <w:szCs w:val="20"/>
                <w:color w:val="auto"/>
              </w:rPr>
            </w:pPr>
            <w:r>
              <w:rPr>
                <w:rFonts w:ascii="Arial" w:cs="Arial" w:eastAsia="Arial" w:hAnsi="Arial"/>
                <w:sz w:val="14"/>
                <w:szCs w:val="14"/>
                <w:b w:val="1"/>
                <w:bCs w:val="1"/>
                <w:color w:val="auto"/>
                <w:w w:val="88"/>
              </w:rPr>
              <w:t>Balance as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Opening Balance as of</w:t>
            </w:r>
          </w:p>
        </w:tc>
        <w:tc>
          <w:tcPr>
            <w:tcW w:w="1140" w:type="dxa"/>
            <w:vAlign w:val="bottom"/>
          </w:tcPr>
          <w:p>
            <w:pPr>
              <w:spacing w:after="0"/>
              <w:rPr>
                <w:sz w:val="16"/>
                <w:szCs w:val="16"/>
                <w:color w:val="auto"/>
              </w:rPr>
            </w:pPr>
          </w:p>
        </w:tc>
      </w:tr>
      <w:tr>
        <w:trPr>
          <w:trHeight w:val="219"/>
        </w:trPr>
        <w:tc>
          <w:tcPr>
            <w:tcW w:w="11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center"/>
              <w:ind w:right="214"/>
              <w:spacing w:after="0"/>
              <w:rPr>
                <w:sz w:val="20"/>
                <w:szCs w:val="20"/>
                <w:color w:val="auto"/>
              </w:rPr>
            </w:pPr>
            <w:r>
              <w:rPr>
                <w:rFonts w:ascii="Arial" w:cs="Arial" w:eastAsia="Arial" w:hAnsi="Arial"/>
                <w:sz w:val="14"/>
                <w:szCs w:val="14"/>
                <w:b w:val="1"/>
                <w:bCs w:val="1"/>
                <w:color w:val="auto"/>
                <w:w w:val="94"/>
              </w:rPr>
              <w:t>January 31, 2019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497"/>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9"/>
                <w:szCs w:val="19"/>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February 1, 2019</w:t>
            </w:r>
          </w:p>
        </w:tc>
        <w:tc>
          <w:tcPr>
            <w:tcW w:w="1140" w:type="dxa"/>
            <w:vAlign w:val="bottom"/>
          </w:tcPr>
          <w:p>
            <w:pPr>
              <w:spacing w:after="0"/>
              <w:rPr>
                <w:sz w:val="19"/>
                <w:szCs w:val="19"/>
                <w:color w:val="auto"/>
              </w:rPr>
            </w:pPr>
          </w:p>
        </w:tc>
      </w:tr>
      <w:tr>
        <w:trPr>
          <w:trHeight w:val="156"/>
        </w:trPr>
        <w:tc>
          <w:tcPr>
            <w:tcW w:w="11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center"/>
              <w:ind w:right="197"/>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4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8,581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8,581</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6"/>
              </w:rPr>
              <w:t>Prepaid expenses and other current assets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6,206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6,032</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Accrued and other current liabilities</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24,700</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24,421</w:t>
            </w:r>
          </w:p>
        </w:tc>
        <w:tc>
          <w:tcPr>
            <w:tcW w:w="1140" w:type="dxa"/>
            <w:vAlign w:val="bottom"/>
          </w:tcPr>
          <w:p>
            <w:pPr>
              <w:spacing w:after="0"/>
              <w:rPr>
                <w:sz w:val="19"/>
                <w:szCs w:val="19"/>
                <w:color w:val="auto"/>
              </w:rPr>
            </w:pPr>
          </w:p>
        </w:tc>
      </w:tr>
      <w:tr>
        <w:trPr>
          <w:trHeight w:val="243"/>
        </w:trPr>
        <w:tc>
          <w:tcPr>
            <w:tcW w:w="4500" w:type="dxa"/>
            <w:vAlign w:val="bottom"/>
            <w:gridSpan w:val="2"/>
          </w:tcPr>
          <w:p>
            <w:pPr>
              <w:ind w:left="1140"/>
              <w:spacing w:after="0"/>
              <w:rPr>
                <w:sz w:val="20"/>
                <w:szCs w:val="20"/>
                <w:color w:val="auto"/>
              </w:rPr>
            </w:pPr>
            <w:r>
              <w:rPr>
                <w:rFonts w:ascii="Arial" w:cs="Arial" w:eastAsia="Arial" w:hAnsi="Arial"/>
                <w:sz w:val="18"/>
                <w:szCs w:val="18"/>
                <w:color w:val="auto"/>
              </w:rPr>
              <w:t>Operating lease liabilities, current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2,534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2,534</w:t>
            </w:r>
          </w:p>
        </w:tc>
        <w:tc>
          <w:tcPr>
            <w:tcW w:w="1140" w:type="dxa"/>
            <w:vAlign w:val="bottom"/>
          </w:tcPr>
          <w:p>
            <w:pPr>
              <w:spacing w:after="0"/>
              <w:rPr>
                <w:sz w:val="21"/>
                <w:szCs w:val="21"/>
                <w:color w:val="auto"/>
              </w:rPr>
            </w:pPr>
          </w:p>
        </w:tc>
      </w:tr>
      <w:tr>
        <w:trPr>
          <w:trHeight w:val="230"/>
        </w:trPr>
        <w:tc>
          <w:tcPr>
            <w:tcW w:w="116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6,152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6,152</w:t>
            </w:r>
          </w:p>
        </w:tc>
        <w:tc>
          <w:tcPr>
            <w:tcW w:w="1140" w:type="dxa"/>
            <w:vAlign w:val="bottom"/>
          </w:tcPr>
          <w:p>
            <w:pPr>
              <w:spacing w:after="0"/>
              <w:rPr>
                <w:sz w:val="19"/>
                <w:szCs w:val="19"/>
                <w:color w:val="auto"/>
              </w:rPr>
            </w:pPr>
          </w:p>
        </w:tc>
      </w:tr>
      <w:tr>
        <w:trPr>
          <w:trHeight w:val="648"/>
        </w:trPr>
        <w:tc>
          <w:tcPr>
            <w:tcW w:w="6620" w:type="dxa"/>
            <w:vAlign w:val="bottom"/>
            <w:gridSpan w:val="5"/>
          </w:tcPr>
          <w:p>
            <w:pPr>
              <w:jc w:val="right"/>
              <w:ind w:right="1234"/>
              <w:spacing w:after="0"/>
              <w:rPr>
                <w:sz w:val="20"/>
                <w:szCs w:val="20"/>
                <w:color w:val="auto"/>
              </w:rPr>
            </w:pPr>
            <w:r>
              <w:rPr>
                <w:rFonts w:ascii="Arial" w:cs="Arial" w:eastAsia="Arial" w:hAnsi="Arial"/>
                <w:sz w:val="18"/>
                <w:szCs w:val="18"/>
                <w:color w:val="auto"/>
                <w:w w:val="99"/>
              </w:rPr>
              <w:t>Supplemental cash flow information related to leases is as follows: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3"/>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center"/>
              <w:ind w:right="217"/>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24"/>
                <w:szCs w:val="2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1140" w:type="dxa"/>
            <w:vAlign w:val="bottom"/>
          </w:tcPr>
          <w:p>
            <w:pPr>
              <w:spacing w:after="0"/>
              <w:rPr>
                <w:sz w:val="24"/>
                <w:szCs w:val="24"/>
                <w:color w:val="auto"/>
              </w:rPr>
            </w:pPr>
          </w:p>
        </w:tc>
      </w:tr>
      <w:tr>
        <w:trPr>
          <w:trHeight w:val="171"/>
        </w:trPr>
        <w:tc>
          <w:tcPr>
            <w:tcW w:w="11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center"/>
              <w:ind w:right="217"/>
              <w:spacing w:after="0"/>
              <w:rPr>
                <w:sz w:val="20"/>
                <w:szCs w:val="20"/>
                <w:color w:val="auto"/>
              </w:rPr>
            </w:pPr>
            <w:r>
              <w:rPr>
                <w:rFonts w:ascii="Arial" w:cs="Arial" w:eastAsia="Arial" w:hAnsi="Arial"/>
                <w:sz w:val="14"/>
                <w:szCs w:val="14"/>
                <w:b w:val="1"/>
                <w:bCs w:val="1"/>
                <w:color w:val="auto"/>
                <w:w w:val="92"/>
              </w:rPr>
              <w:t>July 31, 2019</w:t>
            </w:r>
          </w:p>
        </w:tc>
        <w:tc>
          <w:tcPr>
            <w:tcW w:w="18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31, 2019</w:t>
            </w:r>
          </w:p>
        </w:tc>
        <w:tc>
          <w:tcPr>
            <w:tcW w:w="114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360" w:type="dxa"/>
            <w:vAlign w:val="bottom"/>
            <w:tcBorders>
              <w:top w:val="single" w:sz="8" w:color="auto"/>
            </w:tcBorders>
            <w:gridSpan w:val="3"/>
          </w:tcPr>
          <w:p>
            <w:pPr>
              <w:jc w:val="right"/>
              <w:ind w:right="1237"/>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54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Cash paid for operating leases included in operating cash flows</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727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80" w:type="dxa"/>
            <w:vAlign w:val="bottom"/>
            <w:tcBorders>
              <w:right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15"/>
        </w:trPr>
        <w:tc>
          <w:tcPr>
            <w:tcW w:w="1160" w:type="dxa"/>
            <w:vAlign w:val="bottom"/>
          </w:tcPr>
          <w:p>
            <w:pPr>
              <w:spacing w:after="0"/>
              <w:rPr>
                <w:sz w:val="18"/>
                <w:szCs w:val="18"/>
                <w:color w:val="auto"/>
              </w:rPr>
            </w:pPr>
          </w:p>
        </w:tc>
        <w:tc>
          <w:tcPr>
            <w:tcW w:w="5460" w:type="dxa"/>
            <w:vAlign w:val="bottom"/>
            <w:gridSpan w:val="4"/>
          </w:tcPr>
          <w:p>
            <w:pPr>
              <w:spacing w:after="0"/>
              <w:rPr>
                <w:sz w:val="20"/>
                <w:szCs w:val="20"/>
                <w:color w:val="auto"/>
              </w:rPr>
            </w:pPr>
            <w:r>
              <w:rPr>
                <w:rFonts w:ascii="Arial" w:cs="Arial" w:eastAsia="Arial" w:hAnsi="Arial"/>
                <w:sz w:val="18"/>
                <w:szCs w:val="18"/>
                <w:color w:val="auto"/>
                <w:w w:val="93"/>
              </w:rPr>
              <w:t>Supplemental non-cash information related to lease liabilities arising from</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500" w:type="dxa"/>
            <w:vAlign w:val="bottom"/>
            <w:gridSpan w:val="2"/>
          </w:tcPr>
          <w:p>
            <w:pPr>
              <w:ind w:left="1140"/>
              <w:spacing w:after="0"/>
              <w:rPr>
                <w:sz w:val="20"/>
                <w:szCs w:val="20"/>
                <w:color w:val="auto"/>
              </w:rPr>
            </w:pPr>
            <w:r>
              <w:rPr>
                <w:rFonts w:ascii="Arial" w:cs="Arial" w:eastAsia="Arial" w:hAnsi="Arial"/>
                <w:sz w:val="18"/>
                <w:szCs w:val="18"/>
                <w:color w:val="auto"/>
              </w:rPr>
              <w:t>obtaining right-of-use assets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7"/>
              <w:spacing w:after="0"/>
              <w:rPr>
                <w:sz w:val="20"/>
                <w:szCs w:val="20"/>
                <w:color w:val="auto"/>
              </w:rPr>
            </w:pPr>
            <w:r>
              <w:rPr>
                <w:rFonts w:ascii="Arial" w:cs="Arial" w:eastAsia="Arial" w:hAnsi="Arial"/>
                <w:sz w:val="18"/>
                <w:szCs w:val="18"/>
                <w:color w:val="auto"/>
              </w:rPr>
              <w:t>63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48"/>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center"/>
              <w:ind w:right="174"/>
              <w:spacing w:after="0"/>
              <w:rPr>
                <w:sz w:val="20"/>
                <w:szCs w:val="20"/>
                <w:color w:val="auto"/>
              </w:rPr>
            </w:pPr>
            <w:r>
              <w:rPr>
                <w:rFonts w:ascii="Arial" w:cs="Arial" w:eastAsia="Arial" w:hAnsi="Arial"/>
                <w:sz w:val="18"/>
                <w:szCs w:val="18"/>
                <w:color w:val="auto"/>
                <w:w w:val="89"/>
              </w:rPr>
              <w:t>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firstLine="518"/>
        <w:spacing w:after="0" w:line="277" w:lineRule="auto"/>
        <w:rPr>
          <w:sz w:val="20"/>
          <w:szCs w:val="20"/>
          <w:color w:val="auto"/>
        </w:rPr>
      </w:pPr>
      <w:r>
        <w:rPr>
          <w:rFonts w:ascii="Arial" w:cs="Arial" w:eastAsia="Arial" w:hAnsi="Arial"/>
          <w:sz w:val="18"/>
          <w:szCs w:val="18"/>
          <w:color w:val="auto"/>
        </w:rPr>
        <w:t>As of July 31, 2019, the weighted average remaining lease term is 4.15 years, and the weighted average discount rate is 5.00 percent. Future minimum lease payments for the operating lease liabilities are as follows: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Fiscal Year</w:t>
            </w:r>
          </w:p>
        </w:tc>
        <w:tc>
          <w:tcPr>
            <w:tcW w:w="432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July 31, 2019</w:t>
            </w:r>
          </w:p>
        </w:tc>
        <w:tc>
          <w:tcPr>
            <w:tcW w:w="0" w:type="dxa"/>
            <w:vAlign w:val="bottom"/>
          </w:tcPr>
          <w:p>
            <w:pPr>
              <w:spacing w:after="0"/>
              <w:rPr>
                <w:sz w:val="1"/>
                <w:szCs w:val="1"/>
                <w:color w:val="auto"/>
              </w:rPr>
            </w:pPr>
          </w:p>
        </w:tc>
      </w:tr>
      <w:tr>
        <w:trPr>
          <w:trHeight w:val="147"/>
        </w:trPr>
        <w:tc>
          <w:tcPr>
            <w:tcW w:w="700" w:type="dxa"/>
            <w:vAlign w:val="bottom"/>
            <w:tcBorders>
              <w:bottom w:val="single" w:sz="8" w:color="auto"/>
            </w:tcBorders>
            <w:gridSpan w:val="2"/>
            <w:vMerge w:val="continue"/>
          </w:tcPr>
          <w:p>
            <w:pPr>
              <w:spacing w:after="0"/>
              <w:rPr>
                <w:sz w:val="12"/>
                <w:szCs w:val="12"/>
                <w:color w:val="auto"/>
              </w:rPr>
            </w:pPr>
          </w:p>
        </w:tc>
        <w:tc>
          <w:tcPr>
            <w:tcW w:w="432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tcPr>
          <w:p>
            <w:pPr>
              <w:jc w:val="center"/>
              <w:ind w:right="45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2020 (6 months remaining)</w:t>
            </w:r>
          </w:p>
        </w:tc>
        <w:tc>
          <w:tcPr>
            <w:tcW w:w="178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2021</w:t>
            </w:r>
          </w:p>
        </w:tc>
        <w:tc>
          <w:tcPr>
            <w:tcW w:w="4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2,143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4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2023</w:t>
            </w:r>
          </w:p>
        </w:tc>
        <w:tc>
          <w:tcPr>
            <w:tcW w:w="4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4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Thereafter</w:t>
            </w:r>
          </w:p>
        </w:tc>
        <w:tc>
          <w:tcPr>
            <w:tcW w:w="1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future annual minimum lease payments</w:t>
            </w:r>
          </w:p>
        </w:tc>
        <w:tc>
          <w:tcPr>
            <w:tcW w:w="1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gridSpan w:val="2"/>
          </w:tcPr>
          <w:p>
            <w:pPr>
              <w:ind w:left="240"/>
              <w:spacing w:after="0"/>
              <w:rPr>
                <w:sz w:val="20"/>
                <w:szCs w:val="20"/>
                <w:color w:val="auto"/>
              </w:rPr>
            </w:pPr>
            <w:r>
              <w:rPr>
                <w:rFonts w:ascii="Arial" w:cs="Arial" w:eastAsia="Arial" w:hAnsi="Arial"/>
                <w:sz w:val="18"/>
                <w:szCs w:val="18"/>
                <w:color w:val="auto"/>
              </w:rPr>
              <w:t>Less: interest</w:t>
            </w: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lease liabilities</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Prior to the adoption of the new leases guidance, future minimum undiscounted lease payments as of January 31, 2019 were as follows:</w:t>
      </w:r>
    </w:p>
    <w:p>
      <w:pPr>
        <w:spacing w:after="0" w:line="1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January 31, 2019</w:t>
            </w:r>
          </w:p>
        </w:tc>
        <w:tc>
          <w:tcPr>
            <w:tcW w:w="0" w:type="dxa"/>
            <w:vAlign w:val="bottom"/>
          </w:tcPr>
          <w:p>
            <w:pPr>
              <w:spacing w:after="0"/>
              <w:rPr>
                <w:sz w:val="1"/>
                <w:szCs w:val="1"/>
                <w:color w:val="auto"/>
              </w:rPr>
            </w:pPr>
          </w:p>
        </w:tc>
      </w:tr>
      <w:tr>
        <w:trPr>
          <w:trHeight w:val="142"/>
        </w:trPr>
        <w:tc>
          <w:tcPr>
            <w:tcW w:w="502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tcPr>
          <w:p>
            <w:pPr>
              <w:jc w:val="center"/>
              <w:ind w:right="39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2020</w:t>
            </w:r>
          </w:p>
        </w:tc>
        <w:tc>
          <w:tcPr>
            <w:tcW w:w="43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2021</w:t>
            </w:r>
          </w:p>
        </w:tc>
        <w:tc>
          <w:tcPr>
            <w:tcW w:w="4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1,040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4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2023</w:t>
            </w:r>
          </w:p>
        </w:tc>
        <w:tc>
          <w:tcPr>
            <w:tcW w:w="4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4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Thereafter</w:t>
            </w:r>
          </w:p>
        </w:tc>
        <w:tc>
          <w:tcPr>
            <w:tcW w:w="12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future annual minimum lease payments</w:t>
            </w:r>
          </w:p>
        </w:tc>
        <w:tc>
          <w:tcPr>
            <w:tcW w:w="1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2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increased liabilities as a result of the adoption of ASC 842 were attributable to a renewal option reasonably certain to be exercised.</w:t>
      </w:r>
    </w:p>
    <w:p>
      <w:pPr>
        <w:spacing w:after="0" w:line="225"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In August 2019, the Company entered into several lease agreements for its office facilities. See Note 15, "Subsequent Events" in the Notes to Condensed Consolidated Financial Statements for more details about the lease liabilities.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at July 31, 2019 and January 31, 2019 consisted of the following:</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4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31, 2019</w:t>
            </w:r>
          </w:p>
        </w:tc>
        <w:tc>
          <w:tcPr>
            <w:tcW w:w="12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2019</w:t>
            </w:r>
          </w:p>
        </w:tc>
      </w:tr>
      <w:tr>
        <w:trPr>
          <w:trHeight w:val="156"/>
        </w:trPr>
        <w:tc>
          <w:tcPr>
            <w:tcW w:w="4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4"/>
          </w:tcPr>
          <w:p>
            <w:pPr>
              <w:jc w:val="right"/>
              <w:ind w:right="953"/>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including interest</w:t>
            </w:r>
          </w:p>
        </w:tc>
        <w:tc>
          <w:tcPr>
            <w:tcW w:w="10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6,732</w:t>
            </w:r>
          </w:p>
        </w:tc>
        <w:tc>
          <w:tcPr>
            <w:tcW w:w="60" w:type="dxa"/>
            <w:vAlign w:val="bottom"/>
            <w:shd w:val="clear" w:color="auto" w:fill="CFF0FC"/>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Deferred tax liabilities, non-current</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1,293</w:t>
            </w:r>
          </w:p>
        </w:tc>
        <w:tc>
          <w:tcPr>
            <w:tcW w:w="6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Software license liabilities, non-current</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60" w:type="dxa"/>
            <w:vAlign w:val="bottom"/>
            <w:shd w:val="clear" w:color="auto" w:fill="CFF0FC"/>
          </w:tcPr>
          <w:p>
            <w:pPr>
              <w:spacing w:after="0"/>
              <w:rPr>
                <w:sz w:val="19"/>
                <w:szCs w:val="19"/>
                <w:color w:val="auto"/>
              </w:rPr>
            </w:pPr>
          </w:p>
        </w:tc>
      </w:tr>
      <w:tr>
        <w:trPr>
          <w:trHeight w:val="230"/>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8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FF0FC"/>
            </w:tcBorders>
          </w:tcPr>
          <w:p>
            <w:pPr>
              <w:spacing w:after="0"/>
              <w:rPr>
                <w:sz w:val="19"/>
                <w:szCs w:val="19"/>
                <w:color w:val="auto"/>
              </w:rPr>
            </w:pPr>
          </w:p>
        </w:tc>
      </w:tr>
      <w:tr>
        <w:trPr>
          <w:trHeight w:val="223"/>
        </w:trPr>
        <w:tc>
          <w:tcPr>
            <w:tcW w:w="4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long-term liabilities</w:t>
            </w:r>
          </w:p>
        </w:tc>
        <w:tc>
          <w:tcPr>
            <w:tcW w:w="8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ind w:left="520" w:right="9500" w:hanging="512"/>
        <w:spacing w:after="0" w:line="453" w:lineRule="auto"/>
        <w:tabs>
          <w:tab w:leader="none" w:pos="182"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Capital Stock </w:t>
      </w:r>
      <w:r>
        <w:rPr>
          <w:rFonts w:ascii="Arial" w:cs="Arial" w:eastAsia="Arial" w:hAnsi="Arial"/>
          <w:sz w:val="15"/>
          <w:szCs w:val="15"/>
          <w:b w:val="1"/>
          <w:bCs w:val="1"/>
          <w:i w:val="1"/>
          <w:iCs w:val="1"/>
          <w:color w:val="auto"/>
        </w:rPr>
        <w:t>Preference shares</w:t>
      </w:r>
    </w:p>
    <w:p>
      <w:pPr>
        <w:spacing w:after="0" w:line="1"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After completion of the Company’s initial public offering in 2012, a total of 20,000,000 preference shares, with a $0.00045 par value per share, were authorized. There were no preference shares issued and outstanding as of July 31, 2019 and January 31, 2019, respectively.</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July 31, 2019 and January 31, 2019, a total of 200,000,000 ordinary shares were authorized.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8" w:name="page19"/>
    <w:bookmarkEnd w:id="18"/>
    <w:p>
      <w:pPr>
        <w:ind w:right="20" w:firstLine="518"/>
        <w:spacing w:after="0" w:line="257" w:lineRule="auto"/>
        <w:rPr>
          <w:sz w:val="20"/>
          <w:szCs w:val="20"/>
          <w:color w:val="auto"/>
        </w:rPr>
      </w:pPr>
      <w:r>
        <w:rPr>
          <w:rFonts w:ascii="Arial" w:cs="Arial" w:eastAsia="Arial" w:hAnsi="Arial"/>
          <w:sz w:val="18"/>
          <w:szCs w:val="18"/>
          <w:color w:val="auto"/>
        </w:rPr>
        <w:t>On February 1, 2019, the Company added 1,453,659 ordinary shares to the ordinary shares reserved for issuance, pursuant to an “evergreen” provision contained in the 2012 Equity Incentive Plan, or EIP. Pursuant to such provision, for each fiscal year, the number of ordinary shares reserved for issuance under the EIP is automatically increased by a number equal to the lesser of (i) 3,500,000 ordinary shares, (ii) four and one half percent (4.5%) of the aggregate number of ordinary shares outstanding on January 31st of the preceding fiscal year, or (iii) a lesser number of shares that may be determined by the Company’s Board of Directors.</w:t>
      </w:r>
    </w:p>
    <w:p>
      <w:pPr>
        <w:spacing w:after="0" w:line="18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On February 1, 2019, the Company added 403,794 ordinary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 (ii) one and one quarter percent (1.25%) of the aggregate number of ordinary shares outstanding on such date, or (iii) an amount determined by the Company’s Board of Directors or a duly authorized committee of the Board of Directors.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July 31, 2019 and January 31, 2019, the following ordinary shares were reserved for future issuance under the EIP and ESPP:</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62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w w:val="91"/>
              </w:rPr>
              <w:t>As of</w:t>
            </w:r>
          </w:p>
        </w:tc>
        <w:tc>
          <w:tcPr>
            <w:tcW w:w="1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040" w:type="dxa"/>
            <w:vAlign w:val="bottom"/>
          </w:tcPr>
          <w:p>
            <w:pPr>
              <w:spacing w:after="0"/>
              <w:rPr>
                <w:sz w:val="13"/>
                <w:szCs w:val="13"/>
                <w:color w:val="auto"/>
              </w:rPr>
            </w:pPr>
          </w:p>
        </w:tc>
        <w:tc>
          <w:tcPr>
            <w:tcW w:w="1620" w:type="dxa"/>
            <w:vAlign w:val="bottom"/>
            <w:gridSpan w:val="3"/>
          </w:tcPr>
          <w:p>
            <w:pPr>
              <w:ind w:left="260"/>
              <w:spacing w:after="0" w:line="155" w:lineRule="exact"/>
              <w:rPr>
                <w:sz w:val="20"/>
                <w:szCs w:val="20"/>
                <w:color w:val="auto"/>
              </w:rPr>
            </w:pPr>
            <w:r>
              <w:rPr>
                <w:rFonts w:ascii="Arial" w:cs="Arial" w:eastAsia="Arial" w:hAnsi="Arial"/>
                <w:sz w:val="14"/>
                <w:szCs w:val="14"/>
                <w:b w:val="1"/>
                <w:bCs w:val="1"/>
                <w:color w:val="auto"/>
              </w:rPr>
              <w:t>July 31, 2019</w:t>
            </w:r>
          </w:p>
        </w:tc>
        <w:tc>
          <w:tcPr>
            <w:tcW w:w="1260" w:type="dxa"/>
            <w:vAlign w:val="bottom"/>
          </w:tcPr>
          <w:p>
            <w:pPr>
              <w:jc w:val="right"/>
              <w:ind w:right="76"/>
              <w:spacing w:after="0" w:line="155" w:lineRule="exact"/>
              <w:rPr>
                <w:sz w:val="20"/>
                <w:szCs w:val="20"/>
                <w:color w:val="auto"/>
              </w:rPr>
            </w:pPr>
            <w:r>
              <w:rPr>
                <w:rFonts w:ascii="Arial" w:cs="Arial" w:eastAsia="Arial" w:hAnsi="Arial"/>
                <w:sz w:val="14"/>
                <w:szCs w:val="14"/>
                <w:b w:val="1"/>
                <w:bCs w:val="1"/>
                <w:color w:val="auto"/>
                <w:w w:val="96"/>
              </w:rPr>
              <w:t>January 31, 2019</w:t>
            </w:r>
          </w:p>
        </w:tc>
        <w:tc>
          <w:tcPr>
            <w:tcW w:w="60" w:type="dxa"/>
            <w:vAlign w:val="bottom"/>
          </w:tcPr>
          <w:p>
            <w:pPr>
              <w:spacing w:after="0"/>
              <w:rPr>
                <w:sz w:val="13"/>
                <w:szCs w:val="13"/>
                <w:color w:val="auto"/>
              </w:rPr>
            </w:pPr>
          </w:p>
        </w:tc>
      </w:tr>
      <w:tr>
        <w:trPr>
          <w:trHeight w:val="209"/>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reserved for options, restricted stock and</w:t>
            </w: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30"/>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units under EIP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6,738,993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5,915,654</w:t>
            </w:r>
          </w:p>
        </w:tc>
        <w:tc>
          <w:tcPr>
            <w:tcW w:w="60" w:type="dxa"/>
            <w:vAlign w:val="bottom"/>
            <w:shd w:val="clear" w:color="auto" w:fill="CFF0FC"/>
          </w:tcPr>
          <w:p>
            <w:pPr>
              <w:spacing w:after="0"/>
              <w:rPr>
                <w:sz w:val="20"/>
                <w:szCs w:val="20"/>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Shares reserved for ESPP</w:t>
            </w:r>
          </w:p>
        </w:tc>
        <w:tc>
          <w:tcPr>
            <w:tcW w:w="1360" w:type="dxa"/>
            <w:vAlign w:val="bottom"/>
          </w:tcPr>
          <w:p>
            <w:pPr>
              <w:jc w:val="right"/>
              <w:spacing w:after="0"/>
              <w:rPr>
                <w:sz w:val="20"/>
                <w:szCs w:val="20"/>
                <w:color w:val="auto"/>
              </w:rPr>
            </w:pPr>
            <w:r>
              <w:rPr>
                <w:rFonts w:ascii="Arial" w:cs="Arial" w:eastAsia="Arial" w:hAnsi="Arial"/>
                <w:sz w:val="18"/>
                <w:szCs w:val="18"/>
                <w:color w:val="auto"/>
              </w:rPr>
              <w:t>2,137,609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1,833,574</w:t>
            </w:r>
          </w:p>
        </w:tc>
        <w:tc>
          <w:tcPr>
            <w:tcW w:w="60" w:type="dxa"/>
            <w:vAlign w:val="bottom"/>
          </w:tcPr>
          <w:p>
            <w:pPr>
              <w:spacing w:after="0"/>
              <w:rPr>
                <w:sz w:val="20"/>
                <w:szCs w:val="20"/>
                <w:color w:val="auto"/>
              </w:rPr>
            </w:pP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Shares repurchased</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On June 4, 2018, the Company’s Board of Directors authorized the repurchase of up to $100.0 million of the Company’s ordinary shares over a twelve-month period through June 4, 2019. On May 29, 2019, the Company’s Board of Directors authorized an additional repurchase of up to $50.0 million of the Company’s ordinary shares commencing immediately through June 30, 2020.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 There were no shares repurchased during the three and six months ended July 31, 2019, respectively. As of July 31, 2019, there was $50.0 million available for repurchases through June 30, 2020.</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classification of stock-based compensation for the periods indicated:</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July</w:t>
            </w:r>
          </w:p>
        </w:tc>
        <w:tc>
          <w:tcPr>
            <w:tcW w:w="190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31,</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5"/>
          </w:tcPr>
          <w:p>
            <w:pPr>
              <w:ind w:left="300"/>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5,379</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11,368</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10,566</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32,660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29,325</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During the three and six months ended July 31, 2019, approximately $1.2 million and $2.2 million of stock-based compensation expense was accrued in the accrued and other current liabilities in the condensed consolidated balance sheets, respectively. As of July 31, 2019, total unrecognized compensation cost related to unvested stock options was $3.8 million and is expected to be recognized over a weighted-average period of 2.55 years. Total unrecognized compensation cost related to unvested restricted stock units was $96.2 million and is expected to be recognized over a weighted-average period of 2.42 years. Total unrecognized compensation cost related to unvested restricted stock awards was $0.1 million and is expected to be recognized over a weighted-average period of 0.13 years.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ind w:right="340" w:firstLine="518"/>
        <w:spacing w:after="0" w:line="277" w:lineRule="auto"/>
        <w:rPr>
          <w:sz w:val="20"/>
          <w:szCs w:val="20"/>
          <w:color w:val="auto"/>
        </w:rPr>
      </w:pPr>
      <w:r>
        <w:rPr>
          <w:rFonts w:ascii="Arial" w:cs="Arial" w:eastAsia="Arial" w:hAnsi="Arial"/>
          <w:sz w:val="18"/>
          <w:szCs w:val="18"/>
          <w:color w:val="auto"/>
        </w:rPr>
        <w:t>The following table sets forth the weighted-average assumptions used to estimate the fair value of stock options and employee stock purchase plan awards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 July 31,</w:t>
            </w:r>
          </w:p>
        </w:tc>
        <w:tc>
          <w:tcPr>
            <w:tcW w:w="120" w:type="dxa"/>
            <w:vAlign w:val="bottom"/>
          </w:tcPr>
          <w:p>
            <w:pPr>
              <w:spacing w:after="0"/>
              <w:rPr>
                <w:sz w:val="14"/>
                <w:szCs w:val="14"/>
                <w:color w:val="auto"/>
              </w:rPr>
            </w:pPr>
          </w:p>
        </w:tc>
        <w:tc>
          <w:tcPr>
            <w:tcW w:w="214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w w:val="97"/>
              </w:rPr>
              <w:t>Six Months Ended July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362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3"/>
          </w:tcPr>
          <w:p>
            <w:pPr>
              <w:jc w:val="right"/>
              <w:ind w:right="23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248"/>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Volatility</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52%</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116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2.31%</w:t>
            </w: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Expected term (years)</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6.09</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116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w:t>
            </w: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780" w:type="dxa"/>
            <w:vAlign w:val="bottom"/>
            <w:gridSpan w:val="2"/>
          </w:tcPr>
          <w:p>
            <w:pPr>
              <w:ind w:left="1140"/>
              <w:spacing w:after="0"/>
              <w:rPr>
                <w:sz w:val="20"/>
                <w:szCs w:val="20"/>
                <w:color w:val="auto"/>
              </w:rPr>
            </w:pPr>
            <w:r>
              <w:rPr>
                <w:rFonts w:ascii="Arial" w:cs="Arial" w:eastAsia="Arial" w:hAnsi="Arial"/>
                <w:sz w:val="18"/>
                <w:szCs w:val="18"/>
                <w:color w:val="auto"/>
              </w:rPr>
              <w:t>Employee stock purchase plan awards:</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116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Volatility</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48%</w:t>
            </w: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2.52%</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116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term (years)</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Dividend yield</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32"/>
        </w:trPr>
        <w:tc>
          <w:tcPr>
            <w:tcW w:w="6820" w:type="dxa"/>
            <w:vAlign w:val="bottom"/>
            <w:gridSpan w:val="10"/>
          </w:tcPr>
          <w:p>
            <w:pPr>
              <w:ind w:left="520"/>
              <w:spacing w:after="0"/>
              <w:rPr>
                <w:sz w:val="20"/>
                <w:szCs w:val="20"/>
                <w:color w:val="auto"/>
              </w:rPr>
            </w:pPr>
            <w:r>
              <w:rPr>
                <w:rFonts w:ascii="Arial" w:cs="Arial" w:eastAsia="Arial" w:hAnsi="Arial"/>
                <w:sz w:val="18"/>
                <w:szCs w:val="18"/>
                <w:color w:val="auto"/>
              </w:rPr>
              <w:t>The following table summarizes stock option activities for the period indicated: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b w:val="1"/>
                <w:bCs w:val="1"/>
                <w:color w:val="auto"/>
              </w:rPr>
              <w:t>Option Outstanding</w:t>
            </w: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11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Total Intrinsic</w:t>
            </w:r>
          </w:p>
        </w:tc>
        <w:tc>
          <w:tcPr>
            <w:tcW w:w="6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Value Of</w:t>
            </w:r>
          </w:p>
        </w:tc>
        <w:tc>
          <w:tcPr>
            <w:tcW w:w="6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Options</w:t>
            </w:r>
          </w:p>
        </w:tc>
        <w:tc>
          <w:tcPr>
            <w:tcW w:w="6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Intrinsic</w:t>
            </w:r>
          </w:p>
        </w:tc>
      </w:tr>
      <w:tr>
        <w:trPr>
          <w:trHeight w:val="162"/>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Grant-date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Exercised</w:t>
            </w:r>
          </w:p>
        </w:tc>
        <w:tc>
          <w:tcPr>
            <w:tcW w:w="6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r>
      <w:tr>
        <w:trPr>
          <w:trHeight w:val="171"/>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3"/>
              </w:rPr>
              <w:t>Exercise Price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4"/>
                <w:szCs w:val="14"/>
                <w:color w:val="auto"/>
              </w:rPr>
            </w:pPr>
          </w:p>
        </w:tc>
        <w:tc>
          <w:tcPr>
            <w:tcW w:w="1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r>
      <w:tr>
        <w:trPr>
          <w:trHeight w:val="223"/>
        </w:trPr>
        <w:tc>
          <w:tcPr>
            <w:tcW w:w="4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January 31, 2019</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1,459,064</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28.31</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8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28,300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41.07</w:t>
            </w:r>
          </w:p>
        </w:tc>
        <w:tc>
          <w:tcPr>
            <w:tcW w:w="2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(163,886)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4,493</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8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(11,508)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45.29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(9,045)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56.55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Outstanding at July 31, 2019</w:t>
            </w: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1,302,925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29.87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30,053</w:t>
            </w:r>
          </w:p>
        </w:tc>
        <w:tc>
          <w:tcPr>
            <w:tcW w:w="100" w:type="dxa"/>
            <w:vAlign w:val="bottom"/>
          </w:tcPr>
          <w:p>
            <w:pPr>
              <w:spacing w:after="0"/>
              <w:rPr>
                <w:sz w:val="19"/>
                <w:szCs w:val="19"/>
                <w:color w:val="auto"/>
              </w:rPr>
            </w:pP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Exercisable at July 31, 2019</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1,130,044</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27.35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29,049</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July 31, 2019 was $49.95, as reported by The NASDAQ Global Market. The intrinsic value of exercised options is calculated by the difference between the fair market value of the Company’s ordinary shares on the exercise date and the exercise price.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restricted stock and restricted stock units activities for the period indicated: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Grant-Date</w:t>
            </w:r>
          </w:p>
        </w:tc>
      </w:tr>
      <w:tr>
        <w:trPr>
          <w:trHeight w:val="171"/>
        </w:trPr>
        <w:tc>
          <w:tcPr>
            <w:tcW w:w="548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January 31,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2,395,516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455,822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47.47</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(506,269)</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52.59</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(47,522)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51.49</w:t>
            </w:r>
          </w:p>
        </w:tc>
        <w:tc>
          <w:tcPr>
            <w:tcW w:w="80" w:type="dxa"/>
            <w:vAlign w:val="bottom"/>
          </w:tcPr>
          <w:p>
            <w:pPr>
              <w:spacing w:after="0"/>
              <w:rPr>
                <w:sz w:val="19"/>
                <w:szCs w:val="19"/>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July 31,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2,297,547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47.32</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July 31, 2019, the aggregate intrinsic value of unvested restricted stock and restricted stock units was $114.8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Net Loss Per Ordinary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loss per ordinary share for the periods indicated:</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2"/>
              </w:rPr>
              <w:t>Three Months Ended July 31,</w:t>
            </w:r>
          </w:p>
        </w:tc>
        <w:tc>
          <w:tcPr>
            <w:tcW w:w="100" w:type="dxa"/>
            <w:vAlign w:val="bottom"/>
          </w:tcPr>
          <w:p>
            <w:pPr>
              <w:spacing w:after="0"/>
              <w:rPr>
                <w:sz w:val="14"/>
                <w:szCs w:val="14"/>
                <w:color w:val="auto"/>
              </w:rPr>
            </w:pPr>
          </w:p>
        </w:tc>
        <w:tc>
          <w:tcPr>
            <w:tcW w:w="20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Six Months Ended July 31,</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20" w:type="dxa"/>
            <w:vAlign w:val="bottom"/>
            <w:gridSpan w:val="11"/>
          </w:tcPr>
          <w:p>
            <w:pPr>
              <w:jc w:val="right"/>
              <w:ind w:right="573"/>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70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(10,191)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(27,502)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(16,883)</w:t>
            </w:r>
          </w:p>
        </w:tc>
        <w:tc>
          <w:tcPr>
            <w:tcW w:w="0" w:type="dxa"/>
            <w:vAlign w:val="bottom"/>
          </w:tcPr>
          <w:p>
            <w:pPr>
              <w:spacing w:after="0"/>
              <w:rPr>
                <w:sz w:val="1"/>
                <w:szCs w:val="1"/>
                <w:color w:val="auto"/>
              </w:rPr>
            </w:pPr>
          </w:p>
        </w:tc>
      </w:tr>
      <w:tr>
        <w:trPr>
          <w:trHeight w:val="210"/>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ordinary shares - basic</w:t>
            </w: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32,860,974</w:t>
            </w:r>
          </w:p>
        </w:tc>
        <w:tc>
          <w:tcPr>
            <w:tcW w:w="12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33,219,152</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32,676,509</w:t>
            </w:r>
          </w:p>
        </w:tc>
        <w:tc>
          <w:tcPr>
            <w:tcW w:w="18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33,276,976</w:t>
            </w:r>
          </w:p>
        </w:tc>
        <w:tc>
          <w:tcPr>
            <w:tcW w:w="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ordinary shares - diluted</w:t>
            </w:r>
          </w:p>
        </w:tc>
        <w:tc>
          <w:tcPr>
            <w:tcW w:w="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32,860,974</w:t>
            </w: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33,219,152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32,676,509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33,276,976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Net loss per ordinary share:</w:t>
            </w: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(0.31)</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00" w:type="dxa"/>
            <w:vAlign w:val="bottom"/>
          </w:tcPr>
          <w:p>
            <w:pPr>
              <w:ind w:left="24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(0.31)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weighted-average potentially dilutive securities were excluded from the computation of diluted loss per ordinary share as their effect would have been antidilutive:</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08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202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 July 31,</w:t>
            </w:r>
          </w:p>
        </w:tc>
      </w:tr>
      <w:tr>
        <w:trPr>
          <w:trHeight w:val="156"/>
        </w:trPr>
        <w:tc>
          <w:tcPr>
            <w:tcW w:w="388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ordinary shares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968,274</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1,077,045</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985,667</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1,134,670</w:t>
            </w:r>
          </w:p>
        </w:tc>
        <w:tc>
          <w:tcPr>
            <w:tcW w:w="60" w:type="dxa"/>
            <w:vAlign w:val="bottom"/>
            <w:shd w:val="clear" w:color="auto" w:fill="CFF0FC"/>
          </w:tcPr>
          <w:p>
            <w:pPr>
              <w:spacing w:after="0"/>
              <w:rPr>
                <w:sz w:val="19"/>
                <w:szCs w:val="19"/>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900" w:type="dxa"/>
            <w:vAlign w:val="bottom"/>
          </w:tcPr>
          <w:p>
            <w:pPr>
              <w:jc w:val="right"/>
              <w:spacing w:after="0"/>
              <w:rPr>
                <w:sz w:val="20"/>
                <w:szCs w:val="20"/>
                <w:color w:val="auto"/>
              </w:rPr>
            </w:pPr>
            <w:r>
              <w:rPr>
                <w:rFonts w:ascii="Arial" w:cs="Arial" w:eastAsia="Arial" w:hAnsi="Arial"/>
                <w:sz w:val="18"/>
                <w:szCs w:val="18"/>
                <w:color w:val="auto"/>
              </w:rPr>
              <w:t>984,234</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1,245,210</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955,195</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1,120,654</w:t>
            </w:r>
          </w:p>
        </w:tc>
        <w:tc>
          <w:tcPr>
            <w:tcW w:w="60" w:type="dxa"/>
            <w:vAlign w:val="bottom"/>
          </w:tcPr>
          <w:p>
            <w:pPr>
              <w:spacing w:after="0"/>
              <w:rPr>
                <w:sz w:val="21"/>
                <w:szCs w:val="2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1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7,202</w:t>
            </w:r>
          </w:p>
        </w:tc>
        <w:tc>
          <w:tcPr>
            <w:tcW w:w="1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9,971</w:t>
            </w:r>
          </w:p>
        </w:tc>
        <w:tc>
          <w:tcPr>
            <w:tcW w:w="1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23,542</w:t>
            </w:r>
          </w:p>
        </w:tc>
        <w:tc>
          <w:tcPr>
            <w:tcW w:w="60" w:type="dxa"/>
            <w:vAlign w:val="bottom"/>
            <w:shd w:val="clear" w:color="auto" w:fill="CFF0FC"/>
          </w:tcPr>
          <w:p>
            <w:pPr>
              <w:spacing w:after="0"/>
              <w:rPr>
                <w:sz w:val="19"/>
                <w:szCs w:val="19"/>
                <w:color w:val="auto"/>
              </w:rPr>
            </w:pPr>
          </w:p>
        </w:tc>
      </w:tr>
      <w:tr>
        <w:trPr>
          <w:trHeight w:val="237"/>
        </w:trPr>
        <w:tc>
          <w:tcPr>
            <w:tcW w:w="38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1,954,980</w:t>
            </w:r>
          </w:p>
        </w:tc>
        <w:tc>
          <w:tcPr>
            <w:tcW w:w="1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2,329,457</w:t>
            </w:r>
          </w:p>
        </w:tc>
        <w:tc>
          <w:tcPr>
            <w:tcW w:w="1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1,950,833</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2,278,866</w:t>
            </w:r>
          </w:p>
        </w:tc>
        <w:tc>
          <w:tcPr>
            <w:tcW w:w="60" w:type="dxa"/>
            <w:vAlign w:val="bottom"/>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income taxes for the periods indicated:</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0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July 31,</w:t>
            </w:r>
          </w:p>
        </w:tc>
        <w:tc>
          <w:tcPr>
            <w:tcW w:w="80" w:type="dxa"/>
            <w:vAlign w:val="bottom"/>
          </w:tcPr>
          <w:p>
            <w:pPr>
              <w:spacing w:after="0"/>
              <w:rPr>
                <w:sz w:val="14"/>
                <w:szCs w:val="14"/>
                <w:color w:val="auto"/>
              </w:rPr>
            </w:pPr>
          </w:p>
        </w:tc>
        <w:tc>
          <w:tcPr>
            <w:tcW w:w="18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2"/>
              </w:rPr>
              <w:t>Six Months Ended July 31,</w:t>
            </w:r>
          </w:p>
        </w:tc>
      </w:tr>
      <w:tr>
        <w:trPr>
          <w:trHeight w:val="156"/>
        </w:trPr>
        <w:tc>
          <w:tcPr>
            <w:tcW w:w="40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4"/>
          </w:tcPr>
          <w:p>
            <w:pPr>
              <w:jc w:val="right"/>
              <w:ind w:right="517"/>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(5,950)</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(24,258)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(15,108)</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1,978</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927</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3,244</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1,775</w:t>
            </w:r>
          </w:p>
        </w:tc>
        <w:tc>
          <w:tcPr>
            <w:tcW w:w="80" w:type="dxa"/>
            <w:vAlign w:val="bottom"/>
          </w:tcPr>
          <w:p>
            <w:pPr>
              <w:spacing w:after="0"/>
              <w:rPr>
                <w:sz w:val="21"/>
                <w:szCs w:val="21"/>
                <w:color w:val="auto"/>
              </w:rPr>
            </w:pPr>
          </w:p>
        </w:tc>
      </w:tr>
      <w:tr>
        <w:trPr>
          <w:trHeight w:val="24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The income tax expense increased for the three and six months ended July 31, 2019, respectively, as compared to the same periods in the prior fiscal year, primarily due to an increase in non-deductible stock-based compensation, as well as a decrease in the proportion of profits generated in lower tax jurisdictions and losses incurred in jurisdictions for which the Company was not able to recognize the related tax benefit.</w:t>
      </w:r>
    </w:p>
    <w:p>
      <w:pPr>
        <w:spacing w:after="0" w:line="166"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The Company files federal and state income tax returns in the United States and in various foreign jurisdictions. The tax years 2013 to 2018 remain open to examination by U.S. federal tax authorities. The tax years 2009 to 2018 remain open to examination by U.S. state tax authorities. The tax years 2013 to 2018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54"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Company regularly assesses the likelihood of adverse outcomes resulting from potential tax examinations to determine the adequacy of its provision for income taxes. These assessments can require considerable estimates and judgments. As of July 31, 2019, the gross amount of unrecognized tax benefits was approximately $38.7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1" w:name="page22"/>
    <w:bookmarkEnd w:id="21"/>
    <w:p>
      <w:pPr>
        <w:ind w:firstLine="518"/>
        <w:spacing w:after="0" w:line="255" w:lineRule="auto"/>
        <w:rPr>
          <w:sz w:val="20"/>
          <w:szCs w:val="20"/>
          <w:color w:val="auto"/>
        </w:rPr>
      </w:pPr>
      <w:r>
        <w:rPr>
          <w:rFonts w:ascii="Arial" w:cs="Arial" w:eastAsia="Arial" w:hAnsi="Arial"/>
          <w:sz w:val="18"/>
          <w:szCs w:val="18"/>
          <w:color w:val="auto"/>
        </w:rPr>
        <w:t xml:space="preserve">On July 27, 2015, the United States Tax Court issued a decision (“Tax Court Decision”) in </w:t>
      </w:r>
      <w:r>
        <w:rPr>
          <w:rFonts w:ascii="Arial" w:cs="Arial" w:eastAsia="Arial" w:hAnsi="Arial"/>
          <w:sz w:val="18"/>
          <w:szCs w:val="18"/>
          <w:i w:val="1"/>
          <w:iCs w:val="1"/>
          <w:color w:val="auto"/>
        </w:rPr>
        <w:t>Altera Corp. v. Commissioner</w:t>
      </w:r>
      <w:r>
        <w:rPr>
          <w:rFonts w:ascii="Arial" w:cs="Arial" w:eastAsia="Arial" w:hAnsi="Arial"/>
          <w:sz w:val="18"/>
          <w:szCs w:val="18"/>
          <w:color w:val="auto"/>
        </w:rPr>
        <w:t>, which concluded that related parties in a cost sharing arrangement are not required to share expenses related to share-based compensation. The Tax Court Decision was appealed by the Commissioner to the Ninth Circuit Court of Appeals (“Ninth Circuit”). On June 7, 2019, a three-judge panel from the Ninth Circuit issued an opinion (“</w:t>
      </w:r>
      <w:r>
        <w:rPr>
          <w:rFonts w:ascii="Arial" w:cs="Arial" w:eastAsia="Arial" w:hAnsi="Arial"/>
          <w:sz w:val="18"/>
          <w:szCs w:val="18"/>
          <w:i w:val="1"/>
          <w:iCs w:val="1"/>
          <w:color w:val="auto"/>
        </w:rPr>
        <w:t>Altera</w:t>
      </w:r>
      <w:r>
        <w:rPr>
          <w:rFonts w:ascii="Arial" w:cs="Arial" w:eastAsia="Arial" w:hAnsi="Arial"/>
          <w:sz w:val="18"/>
          <w:szCs w:val="18"/>
          <w:color w:val="auto"/>
        </w:rPr>
        <w:t xml:space="preserve"> Ninth Circuit Panel Opinion”) that reversed the Tax Court Decision. On July 22, 2019, the taxpayer requested a rehearing before the full Ninth Circuit and may subsequently appeal from the Ninth Circuit to the Supreme Court. The Company will continue to monitor the future developments and potential impacts on its consolidated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 Manufacturer Commitments</w:t>
      </w:r>
    </w:p>
    <w:p>
      <w:pPr>
        <w:spacing w:after="0" w:line="117" w:lineRule="exact"/>
        <w:rPr>
          <w:sz w:val="20"/>
          <w:szCs w:val="20"/>
          <w:color w:val="auto"/>
        </w:rPr>
      </w:pPr>
    </w:p>
    <w:p>
      <w:pPr>
        <w:ind w:right="220" w:firstLine="518"/>
        <w:spacing w:after="0" w:line="297" w:lineRule="auto"/>
        <w:rPr>
          <w:sz w:val="20"/>
          <w:szCs w:val="20"/>
          <w:color w:val="auto"/>
        </w:rPr>
      </w:pPr>
      <w:r>
        <w:rPr>
          <w:rFonts w:ascii="Arial" w:cs="Arial" w:eastAsia="Arial" w:hAnsi="Arial"/>
          <w:sz w:val="16"/>
          <w:szCs w:val="16"/>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the third-party manufacturers. As of July 31, 2019 and January 31, 2019, total manufacturing purchase commitments were approximately $41.3 million and $28.2 million, respectively. The increased purchase commitments are associated with inventory requirements during the rest of the current fiscal year.</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and no liabilities have been recorded for these obligations in the condensed consolidated balance sheets as of July 31, 2019 and January 31, 2019, respectively.</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21" w:lineRule="exact"/>
        <w:rPr>
          <w:sz w:val="20"/>
          <w:szCs w:val="20"/>
          <w:color w:val="auto"/>
        </w:rPr>
      </w:pPr>
    </w:p>
    <w:p>
      <w:pPr>
        <w:ind w:right="480" w:firstLine="518"/>
        <w:spacing w:after="0" w:line="302" w:lineRule="auto"/>
        <w:rPr>
          <w:sz w:val="20"/>
          <w:szCs w:val="20"/>
          <w:color w:val="auto"/>
        </w:rPr>
      </w:pPr>
      <w:r>
        <w:rPr>
          <w:rFonts w:ascii="Arial" w:cs="Arial" w:eastAsia="Arial" w:hAnsi="Arial"/>
          <w:sz w:val="16"/>
          <w:szCs w:val="16"/>
          <w:color w:val="auto"/>
        </w:rPr>
        <w:t>The Company operates in one reportable segment related to the development and sales of low-power, high-definition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Geographic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Company’s revenue by geographic region based on bill-to location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 July 31,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July 31,</w:t>
            </w:r>
          </w:p>
        </w:tc>
        <w:tc>
          <w:tcPr>
            <w:tcW w:w="114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4"/>
          </w:tcPr>
          <w:p>
            <w:pPr>
              <w:jc w:val="right"/>
              <w:ind w:right="634"/>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30,981</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39,144</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58,581</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72,350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43"/>
        </w:trPr>
        <w:tc>
          <w:tcPr>
            <w:tcW w:w="4700" w:type="dxa"/>
            <w:vAlign w:val="bottom"/>
            <w:gridSpan w:val="2"/>
          </w:tcPr>
          <w:p>
            <w:pPr>
              <w:ind w:left="1140"/>
              <w:spacing w:after="0"/>
              <w:rPr>
                <w:sz w:val="20"/>
                <w:szCs w:val="20"/>
                <w:color w:val="auto"/>
              </w:rPr>
            </w:pPr>
            <w:r>
              <w:rPr>
                <w:rFonts w:ascii="Arial" w:cs="Arial" w:eastAsia="Arial" w:hAnsi="Arial"/>
                <w:sz w:val="18"/>
                <w:szCs w:val="18"/>
                <w:color w:val="auto"/>
              </w:rPr>
              <w:t>Asia Pacific</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17,246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18,045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31,734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34,401</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116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43"/>
        </w:trPr>
        <w:tc>
          <w:tcPr>
            <w:tcW w:w="4700" w:type="dxa"/>
            <w:vAlign w:val="bottom"/>
            <w:gridSpan w:val="2"/>
          </w:tcPr>
          <w:p>
            <w:pPr>
              <w:ind w:left="1140"/>
              <w:spacing w:after="0"/>
              <w:rPr>
                <w:sz w:val="20"/>
                <w:szCs w:val="20"/>
                <w:color w:val="auto"/>
              </w:rPr>
            </w:pPr>
            <w:r>
              <w:rPr>
                <w:rFonts w:ascii="Arial" w:cs="Arial" w:eastAsia="Arial" w:hAnsi="Arial"/>
                <w:sz w:val="18"/>
                <w:szCs w:val="18"/>
                <w:color w:val="auto"/>
              </w:rPr>
              <w:t>North America other than United States</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3,509</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116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1,815</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7"/>
        </w:trPr>
        <w:tc>
          <w:tcPr>
            <w:tcW w:w="1160" w:type="dxa"/>
            <w:vAlign w:val="bottom"/>
          </w:tcPr>
          <w:p>
            <w:pPr>
              <w:spacing w:after="0"/>
              <w:rPr>
                <w:sz w:val="20"/>
                <w:szCs w:val="20"/>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56,410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62,474</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103,598</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119,412</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100" w:firstLine="518"/>
        <w:spacing w:after="0" w:line="264" w:lineRule="auto"/>
        <w:rPr>
          <w:sz w:val="20"/>
          <w:szCs w:val="20"/>
          <w:color w:val="auto"/>
        </w:rPr>
      </w:pPr>
      <w:r>
        <w:rPr>
          <w:rFonts w:ascii="Arial" w:cs="Arial" w:eastAsia="Arial" w:hAnsi="Arial"/>
          <w:sz w:val="18"/>
          <w:szCs w:val="18"/>
          <w:color w:val="auto"/>
        </w:rPr>
        <w:t>As of July 31, 2019, substantially all of the Company’s property and equipment, net, was located in the United States, Asia Pacific region and Europe with approximate net amounts of $1.9 million, $2.9 million and $1.3 million, respectively. As of January 31, 2019, the net amount of these fixed assets located in these regions was approximately $2.1 million, $3.2 million and $1.4 million, respectively.</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Major Customers</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customers representing 10% or more of revenue and accounts receivable were Wintech and Chicony, which accounted for approximately 54.9% and 20.5% of total revenue for the three months ended July 31, 2019, respectively, and accounted for approximately 56.5% and 19.1% of total revenue for the six months ended July 31, 2019, respectively. The customers representing 10% or more of revenue and accounts receivable were Wintech and Chicony, which accounted for approximately 62.7% and 15.0% of total revenue for the three months ended July 31, 2018, respectively, and accounted for approximately</w:t>
      </w:r>
    </w:p>
    <w:p>
      <w:pPr>
        <w:spacing w:after="0" w:line="2"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60.6% and 13.2% of total revenue for the six months ended July 31, 2018, respectively. Accounts receivable with Wintech and Chicony were approximately $9.3 million and $11.7 million as of July 31, 2019, respectively. Accounts receivable with Wintech and Chicony were approximately $14.3 million and $6.9 million as of January 31, 2019, respectively.</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August 2019, the Company entered into an agreement to extend the lease of its current headquarters facility comprised of 47,015 square feet located in Santa Clara, California for a term of 63 months from June 1, 2020 through August 31, 2025. The Company will also lease an additional 11,722 square feet of office space at the same location from January 1, 2021 through August 31, 2025.</w:t>
      </w:r>
    </w:p>
    <w:p>
      <w:pPr>
        <w:spacing w:after="0" w:line="73"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In addition, the Company entered into a new lease agreement for its Shanghai office facility comprised of approximately 20,602 square feet for a period of two years from December 1, 2019 to November 30, 2021.</w:t>
      </w:r>
    </w:p>
    <w:p>
      <w:pPr>
        <w:spacing w:after="0" w:line="6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Lastly, the Company’s subsidiary VisLab S.r.l. entered into an obligation to build an office facility in Parma, Italy which the company will lease for 35 years after construction.</w:t>
      </w:r>
    </w:p>
    <w:p>
      <w:pPr>
        <w:spacing w:after="0" w:line="6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total estimated future undiscounted cash payments were approximately $9.4 million for the Santa Clara leases, $1.5 million for Shanghai office lease and $2.4 million for Parma obligation.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2019 and management’s discussion and analysis of our financial condition and results of operations included in our Annual Report on Form 10-K for the 2019 fiscal year filed with the Securities and Exchange Commission, or SEC, on March 29, 2019.</w:t>
      </w:r>
    </w:p>
    <w:p>
      <w:pPr>
        <w:spacing w:after="0" w:line="154"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expectations about taxes and operating expenses, the availability of third-party components and economic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under Item 1A of Part II — “Risk Factors,”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are a leading developer of semiconductor processing solutions for video that enable high-definition, or HD, video capture, analysis, sharing and display. A device that captures video includes four primary components: a lens, an image sensor, a video processor and storage memory. The video processor converts raw video input into a format that can be stored and distributed efficiently and, in some cases, analyzes the video data to automate processes. We combine our processor design capabilities with our expertise in video and image processing, computer vision algorithms and software development to provide a technology platform that is designed to be easily scalable across multiple applications in a variety of markets and enable rapid and efficient product development for our customers. Our system-on-a-chip, or SoC, designs fully integrate HD video processing, image processing, artificial intelligence, or AI, computer vision, or CV, functionality, audio processing, and system functions onto a single chip, delivering exceptional video and image quality at high compression rates, differentiated functionality and low power consumption.</w:t>
      </w:r>
    </w:p>
    <w:p>
      <w:pPr>
        <w:spacing w:after="0" w:line="7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Over the last several years, we have been expanding our development efforts on computer vision technology that we believe complements our image processing and video compression technology, and builds a foundation to address significant opportunities in AI and CV applications for a variety of markets. We believe that enhanced computer vision functionality is critical both to our current video markets, such as IP security camera, as well as future markets such as automotive original equipment manufacturer, or OEM, cameras for advanced driving assistance systems, or ADAS, and autonomous vehicles, and robotics. Our recent development efforts have focused on creating advanced computer vision algorithms and high-performance, low-power hardware platforms to enhance processing acceleration, which we refer to as our CVflow architecture. We believe that the integration of our proprietary highly-optimized AI computer vision technology with our video processor provides an optimized CV platform. In 2017, we introduced our first computer vision semiconductor chip, the CV1 SoC. In 2018, we introduced three new computer vision-based SoCs to enable our customers to develop intelligent camera systems for a variety of markets at different feature levels.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p>
      <w:pPr>
        <w:ind w:right="20" w:firstLine="518"/>
        <w:spacing w:after="0" w:line="271" w:lineRule="auto"/>
        <w:rPr>
          <w:sz w:val="20"/>
          <w:szCs w:val="20"/>
          <w:color w:val="auto"/>
        </w:rPr>
      </w:pPr>
      <w:r>
        <w:rPr>
          <w:rFonts w:ascii="Arial" w:cs="Arial" w:eastAsia="Arial" w:hAnsi="Arial"/>
          <w:sz w:val="17"/>
          <w:szCs w:val="17"/>
          <w:color w:val="auto"/>
        </w:rPr>
        <w:t>Our revenue over the last three years has been generated primarily from sales of our SoC solutions for incorporation into specialized video and image capture devices such as wearable sports cameras, automotive aftermarket cameras, IP security cameras and cameras incorporated into unmanned aerial vehicles, or UAVs or drones. Our revenue from several of these markets, however, has recently experienced significant declines. As a result, we believe that our future revenue growth, if any, will significantly depend upon our ability to expand within the camera markets with our video and image processing SoC solutions, particularly in the professional IP security and home security and monitoring camera markets, as well as emerging markets such as the OEM automotive and robotics markets. We expect our research and development expenditures to increase in comparison to prior periods as we devote additional resources to the development of innovative video and image processing solutions with increased functionality, such as computer vision capabilities, and as we target new markets, such as the OEM automotive and robotics markets.</w:t>
      </w:r>
    </w:p>
    <w:p>
      <w:pPr>
        <w:spacing w:after="0" w:line="179"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sell our SoC solutions to leading original design manufacturers, or ODMs, and OEMs globally, and in the automotive market, we also sell to Tier-1 suppliers to OEMs. We refer to ODMs and Tier-1 automotive suppliers as our customers and OEMs as our end customers, except as otherwise indicated or as the context otherwise requires. In the camera market, our solutions enable the creation of high-quality video content in wearable cameras, automotive cameras, Internet Protocol, or IP, security cameras, for both professional use and home security and monitoring, unmanned aerial vehicle cameras, also referred to as UAVs or drones, and virtual reality cameras, also referred to as 360° cameras. We also recently introduced, and continue to develop solutions to address emerging markets, such as the incorporation of computer vision functionalities for AI-enabled security cameras, AI-based driving applications, including auto-parking, driver monitoring systems, advanced blind spot detection, object detection, and deep learning algorithms for HD mapping solutions, OEM automotive ADAS applications and robotics markets.</w:t>
      </w:r>
    </w:p>
    <w:p>
      <w:pPr>
        <w:spacing w:after="0" w:line="17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along with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on behalf of the OEM. In some of the new markets we are addressing, such as AI-based automotive applications, it may take longer and require more resources to secure design wins than in our traditional markets.</w:t>
      </w:r>
    </w:p>
    <w:p>
      <w:pPr>
        <w:spacing w:after="0" w:line="18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Volume production may begin within six to 18 months or even longer after a design win, depending on the targeted market, the complexity of our customer’s product and other factors upon which we may have little or no influence. Once one of our solutions has been incorporated into a customer’s design, we believe that our solution is likely to remain a component of the customer’s product for its life cycle because of the time and expense associated with redesigning a product or substituting an alternative solution. Conversely, a design loss to a competitor will likely preclude any opportunity for us to generate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 portable consumer device typically has a product life cycle of six to 18 months, while an IP security camera typically has a product life cycle of 12 to 24 months. We anticipate that product lifecycles will typically be longer than 24 months in the OEM automotive and robotics markets, as new product introductions occur less frequently in these markets.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b w:val="1"/>
          <w:bCs w:val="1"/>
          <w:i w:val="1"/>
          <w:iCs w:val="1"/>
          <w:color w:val="auto"/>
        </w:rPr>
        <w:t>Financial Highlights and Trends</w:t>
      </w:r>
    </w:p>
    <w:p>
      <w:pPr>
        <w:spacing w:after="0" w:line="117" w:lineRule="exact"/>
        <w:rPr>
          <w:sz w:val="20"/>
          <w:szCs w:val="20"/>
          <w:color w:val="auto"/>
        </w:rPr>
      </w:pPr>
    </w:p>
    <w:p>
      <w:pPr>
        <w:ind w:left="1540" w:hanging="506"/>
        <w:spacing w:after="0" w:line="269"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recorded revenue of $56.4 million and $103.6 million for the three and six months ended July 31, 2019, respectively. This represented decreases of 9.7% and 13.2% for the three and six months ended July 31, 2019, respectively, as compared to the same periods in the prior fiscal year. The decreases in revenue were primarily attributable to lower revenue from consumer camera markets, including sports camera, non-sports wearable camera, virtual reality, and drone markets. The decreases were also attributable to lower revenue from automotive markets, principally the video recorder market, caused by a significant slowdown in the automotive industry and promotional activity in fiscal year 2019 from a large automotive customer that did not recur in the current fiscal year. The decreased revenue was partially offset by increased revenue in the consumer IP security camera market, led by home security and monitoring market in the North America region. In the professional IP security camera market, a significant growth in the China and Europe regions, and initial ramps of our computer vision-based solutions in the North America region, resulted in significant revenue increase in the second fiscal quarter of fiscal year 2020. In the sports camera market, incorporation of our solutions into newly launched sports camera products from Dajiang Innovation Technology Inc., or DJI, partially offset revenue loss from sales of our solutions to GoPro, Inc. or GoPro.</w:t>
      </w:r>
    </w:p>
    <w:p>
      <w:pPr>
        <w:spacing w:after="0" w:line="71" w:lineRule="exact"/>
        <w:rPr>
          <w:rFonts w:ascii="Arial" w:cs="Arial" w:eastAsia="Arial" w:hAnsi="Arial"/>
          <w:sz w:val="17"/>
          <w:szCs w:val="17"/>
          <w:color w:val="auto"/>
        </w:rPr>
      </w:pPr>
    </w:p>
    <w:p>
      <w:pPr>
        <w:ind w:left="1540" w:right="160" w:hanging="506"/>
        <w:spacing w:after="0" w:line="272"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recorded operating losses of $10.4 million and $28.6 million for the three and six months ended July 31, 2019, respectively, as compared to operating losses of $6.7 million and $16.6 million for the three and six months ended July 31, 2018, respectively. The increased operating losses were primarily due to decreased revenue and gross margin. Operating expenses increased, primarily in support of new applications for the automotive markets as well as the development of computer vision-based solutions, but were more than offset by the recognition of approximately $3.2 million of research and development grants from a foreign government during the three months ended July 31, 2019. The increase in expenses related primarily to increased engineering headcount and increased stock-based compensation expense.</w:t>
      </w:r>
    </w:p>
    <w:p>
      <w:pPr>
        <w:spacing w:after="0" w:line="69" w:lineRule="exact"/>
        <w:rPr>
          <w:rFonts w:ascii="Arial" w:cs="Arial" w:eastAsia="Arial" w:hAnsi="Arial"/>
          <w:sz w:val="17"/>
          <w:szCs w:val="17"/>
          <w:color w:val="auto"/>
        </w:rPr>
      </w:pPr>
    </w:p>
    <w:p>
      <w:pPr>
        <w:ind w:left="1540" w:right="80" w:hanging="506"/>
        <w:spacing w:after="0" w:line="25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$13.4 million for the six months ended July 31, 2019, as compared to $7.0 million for the six months ended July 31, 2018. The increased cash flows from operating activities were primarily due to decreased inventory purchases as a result of decreased revenue and increased liabilities associated with the timing of payments to suppliers. The increased cash flows were partially offset by a larger net loss, increased non-cash expenses, decreased cash receipts associated with the timing of payments from customers, and increased purchases of other assets.</w:t>
      </w:r>
    </w:p>
    <w:p>
      <w:pPr>
        <w:spacing w:after="0" w:line="80" w:lineRule="exact"/>
        <w:rPr>
          <w:rFonts w:ascii="Arial" w:cs="Arial" w:eastAsia="Arial" w:hAnsi="Arial"/>
          <w:sz w:val="18"/>
          <w:szCs w:val="18"/>
          <w:color w:val="auto"/>
        </w:rPr>
      </w:pPr>
    </w:p>
    <w:p>
      <w:pPr>
        <w:ind w:left="1540" w:right="20" w:hanging="506"/>
        <w:spacing w:after="0" w:line="293" w:lineRule="auto"/>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Effective February 1, 2019, we adopted Accounting Standards Codification (“ASC”) Topic 842, Leases. Under this new guidance, we recognize leases as right-of-use (“ROU”) assets and corresponding lease liabilities at the lease commencement date based on the present value of future lease payments, while recognizing lease expenses under straight-line method through the lease term. As of July 31, 2019, there were approximately $7.2 million of ROU assets, net of amortization expense, and $7.4 million of lease liabilities recorded in the condensed consolidated balance sheets. For the three and six months ended July 31, 2019, there was approximately $0.7 million and $1.5 million of lease expense, respectively, recorded in the condensed consolidated statements of operations.</w:t>
      </w:r>
    </w:p>
    <w:p>
      <w:pPr>
        <w:spacing w:after="0" w:line="56" w:lineRule="exact"/>
        <w:rPr>
          <w:rFonts w:ascii="Arial" w:cs="Arial" w:eastAsia="Arial" w:hAnsi="Arial"/>
          <w:sz w:val="16"/>
          <w:szCs w:val="16"/>
          <w:color w:val="auto"/>
        </w:rPr>
      </w:pPr>
    </w:p>
    <w:p>
      <w:pPr>
        <w:ind w:left="1540" w:right="20" w:hanging="506"/>
        <w:spacing w:after="0" w:line="291" w:lineRule="auto"/>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May 29, 2019, the Company’s Board of Directors authorized an additional repurchase of up to $50.0 million of the Company’s ordinary shares commencing immediately through June 30, 2020.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 There were no shares repurchased for the three and six months ended July 31, 2019, respectively. As of July 31, 2019, $50.0 million was available for repurchases through June 30, 2020.</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i w:val="1"/>
          <w:iCs w:val="1"/>
          <w:color w:val="auto"/>
        </w:rPr>
        <w:t>Ability to Capitalize on Computer Vision Trends</w:t>
      </w:r>
      <w:r>
        <w:rPr>
          <w:rFonts w:ascii="Arial" w:cs="Arial" w:eastAsia="Arial" w:hAnsi="Arial"/>
          <w:sz w:val="16"/>
          <w:szCs w:val="16"/>
          <w:color w:val="auto"/>
        </w:rPr>
        <w:t>. We expect that computer vision functionality will become an increasingly important requirement in</w:t>
      </w:r>
      <w:r>
        <w:rPr>
          <w:rFonts w:ascii="Arial" w:cs="Arial" w:eastAsia="Arial" w:hAnsi="Arial"/>
          <w:sz w:val="16"/>
          <w:szCs w:val="16"/>
          <w:i w:val="1"/>
          <w:iCs w:val="1"/>
          <w:color w:val="auto"/>
        </w:rPr>
        <w:t xml:space="preserve"> </w:t>
      </w:r>
      <w:r>
        <w:rPr>
          <w:rFonts w:ascii="Arial" w:cs="Arial" w:eastAsia="Arial" w:hAnsi="Arial"/>
          <w:sz w:val="16"/>
          <w:szCs w:val="16"/>
          <w:color w:val="auto"/>
        </w:rPr>
        <w:t>many of our current and future markets, including IP security, automotive, robotics, and UAV markets. As a result, we believe that our ability to develop advanced AI computer vision technology, enable and support customer product development in emerging applications, such as ADAS, advanced blind spot detection, object detection, people recognition, retail analytics, and machine learning, and gain customer acceptance of our technology platform and solutions, will be critical to our future success. Moreover, achieving design wins, particularly for computer vision-centric applications in the IP security, automotive and robotics markets, is vital to our ability to generate revenue growth. As such, we closely monitor design wins by customer and end market. However, a design win may not successfully materialize into revenue, and even if it does result in revenue, the amount generated by each design win can vary significantly.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6" w:name="page27"/>
    <w:bookmarkEnd w:id="26"/>
    <w:p>
      <w:pPr>
        <w:ind w:right="220" w:firstLine="518"/>
        <w:spacing w:after="0" w:line="273" w:lineRule="auto"/>
        <w:rPr>
          <w:sz w:val="20"/>
          <w:szCs w:val="20"/>
          <w:color w:val="auto"/>
        </w:rPr>
      </w:pPr>
      <w:r>
        <w:rPr>
          <w:rFonts w:ascii="Arial" w:cs="Arial" w:eastAsia="Arial" w:hAnsi="Arial"/>
          <w:sz w:val="17"/>
          <w:szCs w:val="17"/>
          <w:i w:val="1"/>
          <w:iCs w:val="1"/>
          <w:color w:val="auto"/>
        </w:rPr>
        <w:t>Pricing, Product Cost and Margin</w:t>
      </w:r>
      <w:r>
        <w:rPr>
          <w:rFonts w:ascii="Arial" w:cs="Arial" w:eastAsia="Arial" w:hAnsi="Arial"/>
          <w:sz w:val="17"/>
          <w:szCs w:val="17"/>
          <w:color w:val="auto"/>
        </w:rPr>
        <w:t>. Our pricing and margins depend on the volumes and features of the solutions we provide to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7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7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i w:val="1"/>
          <w:iCs w:val="1"/>
          <w:color w:val="auto"/>
        </w:rPr>
        <w:t xml:space="preserve">Shifting Consumer Preferences. </w:t>
      </w:r>
      <w:r>
        <w:rPr>
          <w:rFonts w:ascii="Arial" w:cs="Arial" w:eastAsia="Arial" w:hAnsi="Arial"/>
          <w:sz w:val="17"/>
          <w:szCs w:val="17"/>
          <w:color w:val="auto"/>
        </w:rPr>
        <w:t>Our revenue is also subject to consumer preferences, regarding form factor and functionality, and how those</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preferences impact the video and image capture electronics that we support. For example, improved smartphone video capture capabilities led to the decline of video cameras aimed at the video and image capture market. The current video and image capture market is now characterized by a greater volume of more specialized video and image capture devices that are less likely to be replaced with smartphones, such as wearable, IP security, UAV and automotive cameras. This increasing specialization of video capture devices has changed our customer base and end markets and has impacted our revenue. In the future, we expect further changes will continue to impact our business performance in those markets.</w:t>
      </w:r>
    </w:p>
    <w:p>
      <w:pPr>
        <w:spacing w:after="0" w:line="178"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i w:val="1"/>
          <w:iCs w:val="1"/>
          <w:color w:val="auto"/>
        </w:rPr>
        <w:t>Continued Concentration of Revenue by End Market</w:t>
      </w:r>
      <w:r>
        <w:rPr>
          <w:rFonts w:ascii="Arial" w:cs="Arial" w:eastAsia="Arial" w:hAnsi="Arial"/>
          <w:sz w:val="17"/>
          <w:szCs w:val="17"/>
          <w:color w:val="auto"/>
        </w:rPr>
        <w:t>. Historically, our revenue has been significantly concentrated in a small number of end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In fiscal year 2010, the majority of our revenue came from the pocket video, camcorder and infrastructure markets. Since that time, we have developed technologies to provide solutions for new markets as they emerged, such as the wearable, IP security, UAV and automotive video recorder camera markets. Since fiscal year 2013, the wearable sports, professional IP security and UAV markets have been our largest end markets and sales into these markets collectively generated the majority of our revenue. We believe, however, that expansion into new markets is required to facilitate revenue growth and customer diversification as our revenue from the wearable camera and UAV camera markets has declined in recent years. We have recently introduced solutions to address emerging applications and markets, such as the incorporation of computer vision functionalities for AI-enabled security cameras, AI-based driving applications, including auto-parking, driver monitoring systems, advanced blind spot detection, object detection, deep learning algorithms for HD mapping solutions, OEM automotive ADAS applications and robotics markets. While we will continue to seek to expand our end market exposure, we anticipate that sales to a limited number of end markets will continue to account for a significant percentage of our total revenue for the foreseeable future. Our end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83"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i w:val="1"/>
          <w:iCs w:val="1"/>
          <w:color w:val="auto"/>
        </w:rPr>
        <w:t>Ability to Capitalize on Connectivity Trends</w:t>
      </w:r>
      <w:r>
        <w:rPr>
          <w:rFonts w:ascii="Arial" w:cs="Arial" w:eastAsia="Arial" w:hAnsi="Arial"/>
          <w:sz w:val="17"/>
          <w:szCs w:val="17"/>
          <w:color w:val="auto"/>
        </w:rPr>
        <w:t>. Mobile connected devices are ubiquitous today and play an increasingly prominent role in consumers’</w:t>
      </w:r>
      <w:r>
        <w:rPr>
          <w:rFonts w:ascii="Arial" w:cs="Arial" w:eastAsia="Arial" w:hAnsi="Arial"/>
          <w:sz w:val="17"/>
          <w:szCs w:val="17"/>
          <w:i w:val="1"/>
          <w:iCs w:val="1"/>
          <w:color w:val="auto"/>
        </w:rPr>
        <w:t xml:space="preserve"> </w:t>
      </w:r>
      <w:r>
        <w:rPr>
          <w:rFonts w:ascii="Arial" w:cs="Arial" w:eastAsia="Arial" w:hAnsi="Arial"/>
          <w:sz w:val="17"/>
          <w:szCs w:val="17"/>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have added wireless communication functionality into our solutions for wearable, IP security, UAV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UAV cameras allow consumers to quickly stream or upload video and images to social media platforms.</w:t>
      </w:r>
    </w:p>
    <w:p>
      <w:pPr>
        <w:spacing w:after="0" w:line="17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i w:val="1"/>
          <w:iCs w:val="1"/>
          <w:color w:val="auto"/>
        </w:rPr>
        <w:t>Sales Volume</w:t>
      </w:r>
      <w:r>
        <w:rPr>
          <w:rFonts w:ascii="Arial" w:cs="Arial" w:eastAsia="Arial" w:hAnsi="Arial"/>
          <w:sz w:val="17"/>
          <w:szCs w:val="17"/>
          <w:color w:val="auto"/>
        </w:rPr>
        <w:t>. A typical design win that successfully launches into the marketplace can generate a wide range of sales volumes for our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right="220" w:firstLine="518"/>
        <w:spacing w:after="0" w:line="255" w:lineRule="auto"/>
        <w:rPr>
          <w:sz w:val="20"/>
          <w:szCs w:val="20"/>
          <w:color w:val="auto"/>
        </w:rPr>
      </w:pPr>
      <w:r>
        <w:rPr>
          <w:rFonts w:ascii="Arial" w:cs="Arial" w:eastAsia="Arial" w:hAnsi="Arial"/>
          <w:sz w:val="18"/>
          <w:szCs w:val="18"/>
          <w:i w:val="1"/>
          <w:iCs w:val="1"/>
          <w:color w:val="auto"/>
        </w:rPr>
        <w:t xml:space="preserve">Customer Product Life Cycle. </w:t>
      </w:r>
      <w:r>
        <w:rPr>
          <w:rFonts w:ascii="Arial" w:cs="Arial" w:eastAsia="Arial" w:hAnsi="Arial"/>
          <w:sz w:val="18"/>
          <w:szCs w:val="18"/>
          <w:color w:val="auto"/>
        </w:rPr>
        <w:t>We estimate our customers’ product life cycles based on the customer, type of product and end market. We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 commercial shipments from six to 18 months following a design win; however, in some markets, more lengthy product and development cycles are possible, depending on the scope and nature of the project, such as in the automotive OEM market. A portable consumer device typically has a product life cycle of six to 18 months, and an IP security camera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statement of operations for the periods indicated:</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04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 July 31,</w:t>
            </w:r>
          </w:p>
        </w:tc>
        <w:tc>
          <w:tcPr>
            <w:tcW w:w="80" w:type="dxa"/>
            <w:vAlign w:val="bottom"/>
          </w:tcPr>
          <w:p>
            <w:pPr>
              <w:spacing w:after="0"/>
              <w:rPr>
                <w:sz w:val="14"/>
                <w:szCs w:val="14"/>
                <w:color w:val="auto"/>
              </w:rPr>
            </w:pPr>
          </w:p>
        </w:tc>
        <w:tc>
          <w:tcPr>
            <w:tcW w:w="18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2"/>
              </w:rPr>
              <w:t>Six Months Ended July 31,</w:t>
            </w:r>
          </w:p>
        </w:tc>
      </w:tr>
      <w:tr>
        <w:trPr>
          <w:trHeight w:val="156"/>
        </w:trPr>
        <w:tc>
          <w:tcPr>
            <w:tcW w:w="40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jc w:val="right"/>
              <w:ind w:right="440"/>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56,410</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62,474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103,598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119,412</w:t>
            </w:r>
          </w:p>
        </w:tc>
        <w:tc>
          <w:tcPr>
            <w:tcW w:w="80" w:type="dxa"/>
            <w:vAlign w:val="bottom"/>
            <w:shd w:val="clear" w:color="auto" w:fill="CFF0FC"/>
          </w:tcPr>
          <w:p>
            <w:pPr>
              <w:spacing w:after="0"/>
              <w:rPr>
                <w:sz w:val="19"/>
                <w:szCs w:val="19"/>
                <w:color w:val="auto"/>
              </w:rPr>
            </w:pPr>
          </w:p>
        </w:tc>
      </w:tr>
      <w:tr>
        <w:trPr>
          <w:trHeight w:val="243"/>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23,973</w:t>
            </w:r>
          </w:p>
        </w:tc>
        <w:tc>
          <w:tcPr>
            <w:tcW w:w="1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24,461</w:t>
            </w:r>
          </w:p>
        </w:tc>
        <w:tc>
          <w:tcPr>
            <w:tcW w:w="18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43,308</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46,507</w:t>
            </w:r>
          </w:p>
        </w:tc>
        <w:tc>
          <w:tcPr>
            <w:tcW w:w="80" w:type="dxa"/>
            <w:vAlign w:val="bottom"/>
            <w:tcBorders>
              <w:bottom w:val="single" w:sz="8" w:color="CFF0FC"/>
            </w:tcBorders>
          </w:tcPr>
          <w:p>
            <w:pPr>
              <w:spacing w:after="0"/>
              <w:rPr>
                <w:sz w:val="21"/>
                <w:szCs w:val="21"/>
                <w:color w:val="auto"/>
              </w:rPr>
            </w:pPr>
          </w:p>
        </w:tc>
      </w:tr>
      <w:tr>
        <w:trPr>
          <w:trHeight w:val="223"/>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38,013</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60,290</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72,905</w:t>
            </w:r>
          </w:p>
        </w:tc>
        <w:tc>
          <w:tcPr>
            <w:tcW w:w="80" w:type="dxa"/>
            <w:vAlign w:val="bottom"/>
            <w:shd w:val="clear" w:color="auto" w:fill="CFF0FC"/>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30,420</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32,129</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63,437</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63,793</w:t>
            </w:r>
          </w:p>
        </w:tc>
        <w:tc>
          <w:tcPr>
            <w:tcW w:w="80" w:type="dxa"/>
            <w:vAlign w:val="bottom"/>
            <w:shd w:val="clear" w:color="auto" w:fill="CFF0FC"/>
          </w:tcPr>
          <w:p>
            <w:pPr>
              <w:spacing w:after="0"/>
              <w:rPr>
                <w:sz w:val="20"/>
                <w:szCs w:val="20"/>
                <w:color w:val="auto"/>
              </w:rPr>
            </w:pPr>
          </w:p>
        </w:tc>
      </w:tr>
      <w:tr>
        <w:trPr>
          <w:trHeight w:val="243"/>
        </w:trPr>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12,425</w:t>
            </w:r>
          </w:p>
        </w:tc>
        <w:tc>
          <w:tcPr>
            <w:tcW w:w="1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12,566</w:t>
            </w:r>
          </w:p>
        </w:tc>
        <w:tc>
          <w:tcPr>
            <w:tcW w:w="18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25,502</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25,744</w:t>
            </w:r>
          </w:p>
        </w:tc>
        <w:tc>
          <w:tcPr>
            <w:tcW w:w="80" w:type="dxa"/>
            <w:vAlign w:val="bottom"/>
            <w:tcBorders>
              <w:bottom w:val="single" w:sz="8" w:color="CFF0FC"/>
            </w:tcBorders>
          </w:tcPr>
          <w:p>
            <w:pPr>
              <w:spacing w:after="0"/>
              <w:rPr>
                <w:sz w:val="21"/>
                <w:szCs w:val="21"/>
                <w:color w:val="auto"/>
              </w:rPr>
            </w:pPr>
          </w:p>
        </w:tc>
      </w:tr>
      <w:tr>
        <w:trPr>
          <w:trHeight w:val="223"/>
        </w:trPr>
        <w:tc>
          <w:tcPr>
            <w:tcW w:w="4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42,845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44,695</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88,939</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89,537</w:t>
            </w:r>
          </w:p>
        </w:tc>
        <w:tc>
          <w:tcPr>
            <w:tcW w:w="80" w:type="dxa"/>
            <w:vAlign w:val="bottom"/>
            <w:shd w:val="clear" w:color="auto" w:fill="CFF0FC"/>
          </w:tcPr>
          <w:p>
            <w:pPr>
              <w:spacing w:after="0"/>
              <w:rPr>
                <w:sz w:val="19"/>
                <w:szCs w:val="19"/>
                <w:color w:val="auto"/>
              </w:rPr>
            </w:pPr>
          </w:p>
        </w:tc>
      </w:tr>
      <w:tr>
        <w:trPr>
          <w:trHeight w:val="237"/>
        </w:trPr>
        <w:tc>
          <w:tcPr>
            <w:tcW w:w="4020" w:type="dxa"/>
            <w:vAlign w:val="bottom"/>
          </w:tcPr>
          <w:p>
            <w:pPr>
              <w:ind w:left="50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(10,408)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(6,682)</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(28,649)</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(16,632)</w:t>
            </w: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4,391</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80" w:type="dxa"/>
            <w:vAlign w:val="bottom"/>
            <w:shd w:val="clear" w:color="auto" w:fill="CFF0FC"/>
          </w:tcPr>
          <w:p>
            <w:pPr>
              <w:spacing w:after="0"/>
              <w:rPr>
                <w:sz w:val="19"/>
                <w:szCs w:val="19"/>
                <w:color w:val="auto"/>
              </w:rPr>
            </w:pPr>
          </w:p>
        </w:tc>
      </w:tr>
      <w:tr>
        <w:trPr>
          <w:trHeight w:val="237"/>
        </w:trPr>
        <w:tc>
          <w:tcPr>
            <w:tcW w:w="4020" w:type="dxa"/>
            <w:vAlign w:val="bottom"/>
          </w:tcPr>
          <w:p>
            <w:pPr>
              <w:ind w:left="50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(8,213)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(5,950)</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(24,258)</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(15,108)</w:t>
            </w: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3,244</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w:t>
            </w:r>
          </w:p>
        </w:tc>
        <w:tc>
          <w:tcPr>
            <w:tcW w:w="80" w:type="dxa"/>
            <w:vAlign w:val="bottom"/>
            <w:shd w:val="clear" w:color="auto" w:fill="CFF0FC"/>
          </w:tcPr>
          <w:p>
            <w:pPr>
              <w:spacing w:after="0"/>
              <w:rPr>
                <w:sz w:val="19"/>
                <w:szCs w:val="19"/>
                <w:color w:val="auto"/>
              </w:rPr>
            </w:pPr>
          </w:p>
        </w:tc>
      </w:tr>
      <w:tr>
        <w:trPr>
          <w:trHeight w:val="237"/>
        </w:trPr>
        <w:tc>
          <w:tcPr>
            <w:tcW w:w="4020" w:type="dxa"/>
            <w:vAlign w:val="bottom"/>
          </w:tcPr>
          <w:p>
            <w:pPr>
              <w:ind w:left="50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(10,191)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(6,877)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(27,502)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(16,883)</w:t>
            </w:r>
          </w:p>
        </w:tc>
      </w:tr>
      <w:tr>
        <w:trPr>
          <w:trHeight w:val="20"/>
        </w:trPr>
        <w:tc>
          <w:tcPr>
            <w:tcW w:w="4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operating results as a percentage of revenue of each line item for the periods indicated:</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7"/>
              </w:rPr>
              <w:t>Three Months Ended July</w:t>
            </w:r>
          </w:p>
        </w:tc>
        <w:tc>
          <w:tcPr>
            <w:tcW w:w="260" w:type="dxa"/>
            <w:vAlign w:val="bottom"/>
          </w:tcPr>
          <w:p>
            <w:pPr>
              <w:spacing w:after="0"/>
              <w:rPr>
                <w:sz w:val="14"/>
                <w:szCs w:val="14"/>
                <w:color w:val="auto"/>
              </w:rPr>
            </w:pPr>
          </w:p>
        </w:tc>
        <w:tc>
          <w:tcPr>
            <w:tcW w:w="182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95"/>
              </w:rPr>
              <w:t>Six Months Ended July 31,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31,</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500"/>
              <w:spacing w:after="0"/>
              <w:rPr>
                <w:sz w:val="20"/>
                <w:szCs w:val="20"/>
                <w:color w:val="auto"/>
              </w:rPr>
            </w:pPr>
            <w:r>
              <w:rPr>
                <w:rFonts w:ascii="Arial" w:cs="Arial" w:eastAsia="Arial" w:hAnsi="Arial"/>
                <w:sz w:val="18"/>
                <w:szCs w:val="18"/>
                <w:color w:val="auto"/>
              </w:rPr>
              <w:t>Loss from operations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500"/>
              <w:spacing w:after="0"/>
              <w:rPr>
                <w:sz w:val="20"/>
                <w:szCs w:val="20"/>
                <w:color w:val="auto"/>
              </w:rPr>
            </w:pPr>
            <w:r>
              <w:rPr>
                <w:rFonts w:ascii="Arial" w:cs="Arial" w:eastAsia="Arial" w:hAnsi="Arial"/>
                <w:sz w:val="18"/>
                <w:szCs w:val="18"/>
                <w:color w:val="auto"/>
              </w:rPr>
              <w:t>Loss before income taxes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500"/>
              <w:spacing w:after="0"/>
              <w:rPr>
                <w:sz w:val="20"/>
                <w:szCs w:val="20"/>
                <w:color w:val="auto"/>
              </w:rPr>
            </w:pPr>
            <w:r>
              <w:rPr>
                <w:rFonts w:ascii="Arial" w:cs="Arial" w:eastAsia="Arial" w:hAnsi="Arial"/>
                <w:sz w:val="18"/>
                <w:szCs w:val="18"/>
                <w:color w:val="auto"/>
              </w:rPr>
              <w:t>Net loss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(11)%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derive substantially all of our revenue from the sale of HD and Ultra HD video and image processing SoC solutions to IP security OEMs, IP security ODMs, OEM automotive or Tier-1 automotive suppliers, either directly or through our distributors. In recent years, our SoC solutions have been primarily used in camera markets, such as IP security, automotive video recorder, drone and wearable cameras. Although we expect these camera markets, in particular the IP security camera market, to continue to generate revenue for the foreseeable future, we have recently introduced new SoCs targeting emerging computer vision applications in the IP security, OEM automotive, and robotics markets. We derive a substantial portion of our revenue from sales made indirectly through one of our distributors, Wintech Microelectronics Co., Ltd., or Wintech, and directly to one of our ODM customers, Chicony Electronics Co., Ltd., or Chicony.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ind w:firstLine="518"/>
        <w:spacing w:after="0" w:line="291" w:lineRule="auto"/>
        <w:rPr>
          <w:sz w:val="20"/>
          <w:szCs w:val="20"/>
          <w:color w:val="auto"/>
        </w:rPr>
      </w:pPr>
      <w:r>
        <w:rPr>
          <w:rFonts w:ascii="Arial" w:cs="Arial" w:eastAsia="Arial" w:hAnsi="Arial"/>
          <w:sz w:val="16"/>
          <w:szCs w:val="16"/>
          <w:color w:val="auto"/>
        </w:rPr>
        <w:t>We have historically experienced seasonal fluctuations in our quarterly revenue with our third fiscal quarter normally being the highest revenue quarter. This fluctuation has been driven primarily by increased sales in IP security and consumer camera markets as our customers build inventories in preparation for the holiday shopping season. Due to experienced declines in demand for our solutions in several consumer camera markets, including wearable camera, virtual reality and drone markets, the seasonal impact on quarterly revenue may not be as significant as in prior years. More generally, our average selling prices fluctuate based on the mix of our solutions sold in a period which reflects the impact of both changes in unit sales of existing solutions as well as the introduction and sales of new solutions. Our solutions are typically characterized by a life cycle that begins with higher average selling prices and lower volumes, followed by broader market adoption, higher volumes and average selling prices that are lower than initial levels.</w:t>
      </w:r>
    </w:p>
    <w:p>
      <w:pPr>
        <w:spacing w:after="0" w:line="16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computer vision specialized use cases emerge and video capture continues to proliferate.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jc w:val="both"/>
        <w:ind w:right="520" w:firstLine="518"/>
        <w:spacing w:after="0" w:line="264" w:lineRule="auto"/>
        <w:rPr>
          <w:sz w:val="20"/>
          <w:szCs w:val="20"/>
          <w:color w:val="auto"/>
        </w:rPr>
      </w:pPr>
      <w:r>
        <w:rPr>
          <w:rFonts w:ascii="Arial" w:cs="Arial" w:eastAsia="Arial" w:hAnsi="Arial"/>
          <w:sz w:val="18"/>
          <w:szCs w:val="18"/>
          <w:color w:val="auto"/>
        </w:rPr>
        <w:t>Cost of revenue includes the cost of materials such as wafers processed by third-party foundries, costs associated with packaging, assembly and testing, and our manufacturing support operations such as logistics, planning and quality assurance. Cost of revenue also includes indirect costs such as warranty, inventory valuation reserves and other general overhead costs.</w:t>
      </w:r>
    </w:p>
    <w:p>
      <w:pPr>
        <w:spacing w:after="0" w:line="181"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We expect that our gross margin may fluctuate from period to period as a result of changes in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 We believe that our gross margin will decline in the future as we continue to penetrate the highly competitive camera market and, in particular, the IP security market.</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 of fabrication of mask sets for prototype products, and allocated depreciation and facility expenses, net of any research and development grants.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 especially for the OEM automotive market.</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income, net, consists primarily of interest and other income from debt security investments and cash deposits with financial institutions.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We are incorporated and domiciled in the Cayman Islands and also conduct business in several countries such as the United States, China, Taiwan, Hong Kong, Italy, South Korea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was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166"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178"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July 31,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July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Six Months Ended July 31,</w:t>
            </w:r>
          </w:p>
        </w:tc>
        <w:tc>
          <w:tcPr>
            <w:tcW w:w="20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w w:val="98"/>
              </w:rPr>
              <w:t>Amount</w:t>
            </w:r>
          </w:p>
        </w:tc>
        <w:tc>
          <w:tcPr>
            <w:tcW w:w="6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2"/>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40" w:type="dxa"/>
            <w:vAlign w:val="bottom"/>
            <w:gridSpan w:val="4"/>
          </w:tcPr>
          <w:p>
            <w:pPr>
              <w:ind w:left="1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5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   56,410</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62,474</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282"/>
              <w:spacing w:after="0"/>
              <w:rPr>
                <w:sz w:val="20"/>
                <w:szCs w:val="20"/>
                <w:color w:val="auto"/>
              </w:rPr>
            </w:pPr>
            <w:r>
              <w:rPr>
                <w:rFonts w:ascii="Arial" w:cs="Arial" w:eastAsia="Arial" w:hAnsi="Arial"/>
                <w:sz w:val="18"/>
                <w:szCs w:val="18"/>
                <w:color w:val="auto"/>
              </w:rPr>
              <w:t>(6,064)</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(9.7)% $</w:t>
            </w:r>
          </w:p>
        </w:tc>
        <w:tc>
          <w:tcPr>
            <w:tcW w:w="84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103,598</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119,412</w:t>
            </w:r>
          </w:p>
        </w:tc>
        <w:tc>
          <w:tcPr>
            <w:tcW w:w="144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  (15,814)</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w:t>
            </w:r>
          </w:p>
        </w:tc>
      </w:tr>
    </w:tbl>
    <w:p>
      <w:pPr>
        <w:spacing w:after="0" w:line="202"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The decreases in revenue for the three and six months ended July 31, 2019, as compared to the same periods in the prior fiscal year, were primarily attributable to lower revenue from consumer camera markets, including sports camera, non-sports wearable camera, virtual reality, and drone markets. The decreases were also attributable to lower revenue from automotive markets, principally the video recorder market, caused by a significant slowdown in the automotive industry and promotional activity in fiscal year 2019 from a large automotive customer that did not recur in the current fiscal year. The decreased revenue was partially offset by increased revenue in the consumer IP security camera market, led by home security and monitoring market in the North America region. In the professional IP security camera market, a significant growth in the China and Europe regions, and initial ramps of our computer vision-based solutions in the North America region, resulted in significant revenue increase in the second fiscal quarter of fiscal year 2020. In the sports camera market, incorporation of our solutions into newly launched sports camera products from Dajiang Innovation Technology Inc., or DJI, partially offset revenue loss from sales of our solutions to GoPro, Inc. or GoPro.</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Three Months Ended July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Six Months Ended July 31,</w:t>
            </w:r>
          </w:p>
        </w:tc>
        <w:tc>
          <w:tcPr>
            <w:tcW w:w="60" w:type="dxa"/>
            <w:vAlign w:val="bottom"/>
          </w:tcPr>
          <w:p>
            <w:pPr>
              <w:spacing w:after="0"/>
              <w:rPr>
                <w:sz w:val="14"/>
                <w:szCs w:val="14"/>
                <w:color w:val="auto"/>
              </w:rPr>
            </w:pPr>
          </w:p>
        </w:tc>
        <w:tc>
          <w:tcPr>
            <w:tcW w:w="1220" w:type="dxa"/>
            <w:vAlign w:val="bottom"/>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w w:val="94"/>
              </w:rPr>
              <w:t>Amount</w:t>
            </w:r>
          </w:p>
        </w:tc>
        <w:tc>
          <w:tcPr>
            <w:tcW w:w="58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2019</w:t>
            </w:r>
          </w:p>
        </w:tc>
        <w:tc>
          <w:tcPr>
            <w:tcW w:w="88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20" w:type="dxa"/>
            <w:vAlign w:val="bottom"/>
            <w:gridSpan w:val="5"/>
          </w:tcPr>
          <w:p>
            <w:pPr>
              <w:jc w:val="right"/>
              <w:ind w:right="437"/>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3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   23,973</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24,461</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257"/>
              <w:spacing w:after="0"/>
              <w:rPr>
                <w:sz w:val="20"/>
                <w:szCs w:val="20"/>
                <w:color w:val="auto"/>
              </w:rPr>
            </w:pPr>
            <w:r>
              <w:rPr>
                <w:rFonts w:ascii="Arial" w:cs="Arial" w:eastAsia="Arial" w:hAnsi="Arial"/>
                <w:sz w:val="18"/>
                <w:szCs w:val="18"/>
                <w:color w:val="auto"/>
              </w:rPr>
              <w:t>(488)</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43,308</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46,507</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2"/>
              <w:spacing w:after="0"/>
              <w:rPr>
                <w:sz w:val="20"/>
                <w:szCs w:val="20"/>
                <w:color w:val="auto"/>
              </w:rPr>
            </w:pPr>
            <w:r>
              <w:rPr>
                <w:rFonts w:ascii="Arial" w:cs="Arial" w:eastAsia="Arial" w:hAnsi="Arial"/>
                <w:sz w:val="18"/>
                <w:szCs w:val="18"/>
                <w:color w:val="auto"/>
              </w:rPr>
              <w:t>$   (3,199)</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Gross profit</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32,437</w:t>
            </w:r>
          </w:p>
        </w:tc>
        <w:tc>
          <w:tcPr>
            <w:tcW w:w="860" w:type="dxa"/>
            <w:vAlign w:val="bottom"/>
          </w:tcPr>
          <w:p>
            <w:pPr>
              <w:jc w:val="right"/>
              <w:spacing w:after="0"/>
              <w:rPr>
                <w:sz w:val="20"/>
                <w:szCs w:val="20"/>
                <w:color w:val="auto"/>
              </w:rPr>
            </w:pPr>
            <w:r>
              <w:rPr>
                <w:rFonts w:ascii="Arial" w:cs="Arial" w:eastAsia="Arial" w:hAnsi="Arial"/>
                <w:sz w:val="18"/>
                <w:szCs w:val="18"/>
                <w:color w:val="auto"/>
              </w:rPr>
              <w:t>38,013</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257"/>
              <w:spacing w:after="0"/>
              <w:rPr>
                <w:sz w:val="20"/>
                <w:szCs w:val="20"/>
                <w:color w:val="auto"/>
              </w:rPr>
            </w:pPr>
            <w:r>
              <w:rPr>
                <w:rFonts w:ascii="Arial" w:cs="Arial" w:eastAsia="Arial" w:hAnsi="Arial"/>
                <w:sz w:val="18"/>
                <w:szCs w:val="18"/>
                <w:color w:val="auto"/>
              </w:rPr>
              <w:t>(5,576)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37"/>
              <w:spacing w:after="0"/>
              <w:rPr>
                <w:sz w:val="20"/>
                <w:szCs w:val="20"/>
                <w:color w:val="auto"/>
              </w:rPr>
            </w:pPr>
            <w:r>
              <w:rPr>
                <w:rFonts w:ascii="Arial" w:cs="Arial" w:eastAsia="Arial" w:hAnsi="Arial"/>
                <w:sz w:val="18"/>
                <w:szCs w:val="18"/>
                <w:color w:val="auto"/>
              </w:rPr>
              <w:t>60,290</w:t>
            </w:r>
          </w:p>
        </w:tc>
        <w:tc>
          <w:tcPr>
            <w:tcW w:w="880" w:type="dxa"/>
            <w:vAlign w:val="bottom"/>
          </w:tcPr>
          <w:p>
            <w:pPr>
              <w:jc w:val="right"/>
              <w:spacing w:after="0"/>
              <w:rPr>
                <w:sz w:val="20"/>
                <w:szCs w:val="20"/>
                <w:color w:val="auto"/>
              </w:rPr>
            </w:pPr>
            <w:r>
              <w:rPr>
                <w:rFonts w:ascii="Arial" w:cs="Arial" w:eastAsia="Arial" w:hAnsi="Arial"/>
                <w:sz w:val="18"/>
                <w:szCs w:val="18"/>
                <w:color w:val="auto"/>
              </w:rPr>
              <w:t>72,905</w:t>
            </w:r>
          </w:p>
        </w:tc>
        <w:tc>
          <w:tcPr>
            <w:tcW w:w="200" w:type="dxa"/>
            <w:vAlign w:val="bottom"/>
          </w:tcPr>
          <w:p>
            <w:pPr>
              <w:spacing w:after="0"/>
              <w:rPr>
                <w:sz w:val="21"/>
                <w:szCs w:val="21"/>
                <w:color w:val="auto"/>
              </w:rPr>
            </w:pPr>
          </w:p>
        </w:tc>
        <w:tc>
          <w:tcPr>
            <w:tcW w:w="1280" w:type="dxa"/>
            <w:vAlign w:val="bottom"/>
            <w:gridSpan w:val="2"/>
          </w:tcPr>
          <w:p>
            <w:pPr>
              <w:jc w:val="right"/>
              <w:ind w:right="262"/>
              <w:spacing w:after="0"/>
              <w:rPr>
                <w:sz w:val="20"/>
                <w:szCs w:val="20"/>
                <w:color w:val="auto"/>
              </w:rPr>
            </w:pPr>
            <w:r>
              <w:rPr>
                <w:rFonts w:ascii="Arial" w:cs="Arial" w:eastAsia="Arial" w:hAnsi="Arial"/>
                <w:sz w:val="18"/>
                <w:szCs w:val="18"/>
                <w:color w:val="auto"/>
              </w:rPr>
              <w:t>(12,615)</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r>
      <w:tr>
        <w:trPr>
          <w:trHeight w:val="230"/>
        </w:trPr>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61.1%</w:t>
            </w:r>
          </w:p>
        </w:tc>
        <w:tc>
          <w:tcPr>
            <w:tcW w:w="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bl>
    <w:p>
      <w:pPr>
        <w:spacing w:after="0" w:line="20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Cost of revenue decreased for the three and six months ended July 31, 2019, as compared to the same periods in the prior fiscal year, primarily due to decreased revenue in the sports camera, wearable camera, drone and automotive camera markets. The decrease in cost of revenue was partially offset by increased shipments of SoCs for the IP security camera markets.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ind w:firstLine="518"/>
        <w:spacing w:after="0" w:line="257" w:lineRule="auto"/>
        <w:rPr>
          <w:sz w:val="20"/>
          <w:szCs w:val="20"/>
          <w:color w:val="auto"/>
        </w:rPr>
      </w:pPr>
      <w:r>
        <w:rPr>
          <w:rFonts w:ascii="Arial" w:cs="Arial" w:eastAsia="Arial" w:hAnsi="Arial"/>
          <w:sz w:val="18"/>
          <w:szCs w:val="18"/>
          <w:color w:val="auto"/>
        </w:rPr>
        <w:t>Gross margin decreased for the three and six months ended July 31, 2019, as compared to the same periods in the prior fiscal year, primarily due to an increase in the percentage of our total revenue that was derived from the lower gross margin IP security camera markets combined with the decline in revenue from the higher gross margin sports camera, drone and automotive OEM markets. The decreased gross margin was also attributable to rising tariffs that had great impact on our customers’ ability to sell their products incorporating our higher gross margin devices and increased costs to accelerate orders as a result of increased geopolitical challenges from our supply-chain.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 July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3"/>
            <w:vMerge w:val="restart"/>
          </w:tcPr>
          <w:p>
            <w:pPr>
              <w:jc w:val="right"/>
              <w:ind w:right="39"/>
              <w:spacing w:after="0"/>
              <w:rPr>
                <w:sz w:val="20"/>
                <w:szCs w:val="20"/>
                <w:color w:val="auto"/>
              </w:rPr>
            </w:pPr>
            <w:r>
              <w:rPr>
                <w:rFonts w:ascii="Arial" w:cs="Arial" w:eastAsia="Arial" w:hAnsi="Arial"/>
                <w:sz w:val="14"/>
                <w:szCs w:val="14"/>
                <w:b w:val="1"/>
                <w:bCs w:val="1"/>
                <w:color w:val="auto"/>
                <w:w w:val="92"/>
              </w:rPr>
              <w:t>Six Months Ended July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w w:val="92"/>
              </w:rPr>
              <w:t>31,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jc w:val="right"/>
              <w:ind w:right="20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w w:val="98"/>
              </w:rPr>
              <w:t>Amount</w:t>
            </w:r>
          </w:p>
        </w:tc>
        <w:tc>
          <w:tcPr>
            <w:tcW w:w="5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w w:val="98"/>
              </w:rPr>
              <w:t>Amount</w:t>
            </w:r>
          </w:p>
        </w:tc>
        <w:tc>
          <w:tcPr>
            <w:tcW w:w="60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40" w:type="dxa"/>
            <w:vAlign w:val="bottom"/>
            <w:gridSpan w:val="4"/>
          </w:tcPr>
          <w:p>
            <w:pPr>
              <w:ind w:left="1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Research and</w:t>
            </w: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development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30,420</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32,129</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282"/>
              <w:spacing w:after="0"/>
              <w:rPr>
                <w:sz w:val="20"/>
                <w:szCs w:val="20"/>
                <w:color w:val="auto"/>
              </w:rPr>
            </w:pPr>
            <w:r>
              <w:rPr>
                <w:rFonts w:ascii="Arial" w:cs="Arial" w:eastAsia="Arial" w:hAnsi="Arial"/>
                <w:sz w:val="18"/>
                <w:szCs w:val="18"/>
                <w:color w:val="auto"/>
              </w:rPr>
              <w:t>(1,709)</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 $</w:t>
            </w:r>
          </w:p>
        </w:tc>
        <w:tc>
          <w:tcPr>
            <w:tcW w:w="84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63,437</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63,793</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262"/>
              <w:spacing w:after="0"/>
              <w:rPr>
                <w:sz w:val="20"/>
                <w:szCs w:val="20"/>
                <w:color w:val="auto"/>
              </w:rPr>
            </w:pPr>
            <w:r>
              <w:rPr>
                <w:rFonts w:ascii="Arial" w:cs="Arial" w:eastAsia="Arial" w:hAnsi="Arial"/>
                <w:sz w:val="18"/>
                <w:szCs w:val="18"/>
                <w:color w:val="auto"/>
              </w:rPr>
              <w:t>(356)</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Research and development expense decreased for the three and six months ended July 31, 2019, as compared to the same periods in the prior fiscal year, primarily due to approximately $3.2 million of research and development grants from a foreign government. The decrease was partially offset by increased salary-related and employee benefit expenses as a result of increased headcount, issuance of stock and bonus program. Our engineering headcount increased to 559 at July 31, 2019 compared to 547 at July 31, 2018. For the three and six months ended July 31, 2019, salary-related expenses increased by approximately $0.5 million and $1.4 million, respectively, and employee benefit expense increased by approximately $0.7 million and $1.4 million, respectively. The SoC development cost was relatively flat for the three and six months ended July 31, 2019, respectively, as compared to the same periods in the prior fiscal year, due to the timing and number of chips in development.</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 July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3"/>
            <w:vMerge w:val="restart"/>
          </w:tcPr>
          <w:p>
            <w:pPr>
              <w:jc w:val="right"/>
              <w:ind w:right="39"/>
              <w:spacing w:after="0"/>
              <w:rPr>
                <w:sz w:val="20"/>
                <w:szCs w:val="20"/>
                <w:color w:val="auto"/>
              </w:rPr>
            </w:pPr>
            <w:r>
              <w:rPr>
                <w:rFonts w:ascii="Arial" w:cs="Arial" w:eastAsia="Arial" w:hAnsi="Arial"/>
                <w:sz w:val="14"/>
                <w:szCs w:val="14"/>
                <w:b w:val="1"/>
                <w:bCs w:val="1"/>
                <w:color w:val="auto"/>
                <w:w w:val="92"/>
              </w:rPr>
              <w:t>Six Months Ended July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w w:val="92"/>
              </w:rPr>
              <w:t>31,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jc w:val="right"/>
              <w:ind w:right="20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w w:val="98"/>
              </w:rPr>
              <w:t>Amount</w:t>
            </w:r>
          </w:p>
        </w:tc>
        <w:tc>
          <w:tcPr>
            <w:tcW w:w="5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w w:val="98"/>
              </w:rPr>
              <w:t>Amount</w:t>
            </w:r>
          </w:p>
        </w:tc>
        <w:tc>
          <w:tcPr>
            <w:tcW w:w="60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40" w:type="dxa"/>
            <w:vAlign w:val="bottom"/>
            <w:gridSpan w:val="4"/>
          </w:tcPr>
          <w:p>
            <w:pPr>
              <w:ind w:left="1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7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FF0FC"/>
          </w:tcPr>
          <w:p>
            <w:pPr>
              <w:spacing w:after="0"/>
              <w:rPr>
                <w:sz w:val="20"/>
                <w:szCs w:val="20"/>
                <w:color w:val="auto"/>
              </w:rPr>
            </w:pPr>
            <w:r>
              <w:rPr>
                <w:rFonts w:ascii="Arial" w:cs="Arial" w:eastAsia="Arial" w:hAnsi="Arial"/>
                <w:sz w:val="18"/>
                <w:szCs w:val="18"/>
                <w:color w:val="auto"/>
              </w:rPr>
              <w:t>administrative</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12,425</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12,566</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282"/>
              <w:spacing w:after="0"/>
              <w:rPr>
                <w:sz w:val="20"/>
                <w:szCs w:val="20"/>
                <w:color w:val="auto"/>
              </w:rPr>
            </w:pPr>
            <w:r>
              <w:rPr>
                <w:rFonts w:ascii="Arial" w:cs="Arial" w:eastAsia="Arial" w:hAnsi="Arial"/>
                <w:sz w:val="18"/>
                <w:szCs w:val="18"/>
                <w:color w:val="auto"/>
              </w:rPr>
              <w:t>(141)</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84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25,502</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25,744</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262"/>
              <w:spacing w:after="0"/>
              <w:rPr>
                <w:sz w:val="20"/>
                <w:szCs w:val="20"/>
                <w:color w:val="auto"/>
              </w:rPr>
            </w:pPr>
            <w:r>
              <w:rPr>
                <w:rFonts w:ascii="Arial" w:cs="Arial" w:eastAsia="Arial" w:hAnsi="Arial"/>
                <w:sz w:val="18"/>
                <w:szCs w:val="18"/>
                <w:color w:val="auto"/>
              </w:rPr>
              <w:t>(242)</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Selling, general and administrative expense was relatively flat for the three months ended July 31, 2019, as compared to the same period in the prior fiscal year. The decreased selling, general and administrative expense for the six months ended July 31, 2019, as compared to the same period in the prior fiscal year, was primarily attributable to approximately $0.8 million less expenditures on outside professional services, which was partially offset by approximately $0.9 million of additional salary-related and employee benefit expenses.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Three Months Ended July 31,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w w:val="92"/>
              </w:rPr>
              <w:t>Six Months Ended July 31,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2"/>
              <w:spacing w:after="0" w:line="155" w:lineRule="exact"/>
              <w:rPr>
                <w:sz w:val="20"/>
                <w:szCs w:val="20"/>
                <w:color w:val="auto"/>
              </w:rPr>
            </w:pPr>
            <w:r>
              <w:rPr>
                <w:rFonts w:ascii="Arial" w:cs="Arial" w:eastAsia="Arial" w:hAnsi="Arial"/>
                <w:sz w:val="14"/>
                <w:szCs w:val="14"/>
                <w:b w:val="1"/>
                <w:bCs w:val="1"/>
                <w:color w:val="auto"/>
                <w:w w:val="98"/>
              </w:rPr>
              <w:t>Amount</w:t>
            </w:r>
          </w:p>
        </w:tc>
        <w:tc>
          <w:tcPr>
            <w:tcW w:w="6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1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20" w:type="dxa"/>
            <w:vAlign w:val="bottom"/>
            <w:gridSpan w:val="4"/>
          </w:tcPr>
          <w:p>
            <w:pPr>
              <w:jc w:val="right"/>
              <w:ind w:right="322"/>
              <w:spacing w:after="0" w:line="155" w:lineRule="exact"/>
              <w:rPr>
                <w:sz w:val="20"/>
                <w:szCs w:val="20"/>
                <w:color w:val="auto"/>
              </w:rPr>
            </w:pPr>
            <w:r>
              <w:rPr>
                <w:rFonts w:ascii="Arial" w:cs="Arial" w:eastAsia="Arial" w:hAnsi="Arial"/>
                <w:sz w:val="14"/>
                <w:szCs w:val="14"/>
                <w:b w:val="1"/>
                <w:bCs w:val="1"/>
                <w:color w:val="auto"/>
                <w:w w:val="95"/>
              </w:rPr>
              <w:t>(dollars in thousands)</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5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2,195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22"/>
              <w:spacing w:after="0"/>
              <w:rPr>
                <w:sz w:val="20"/>
                <w:szCs w:val="20"/>
                <w:color w:val="auto"/>
              </w:rPr>
            </w:pPr>
            <w:r>
              <w:rPr>
                <w:rFonts w:ascii="Arial" w:cs="Arial" w:eastAsia="Arial" w:hAnsi="Arial"/>
                <w:sz w:val="18"/>
                <w:szCs w:val="18"/>
                <w:color w:val="auto"/>
              </w:rPr>
              <w:t>1,463</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199.9%  $</w:t>
            </w:r>
          </w:p>
        </w:tc>
        <w:tc>
          <w:tcPr>
            <w:tcW w:w="84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4,391</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2,867</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188.1%</w:t>
            </w:r>
          </w:p>
        </w:tc>
      </w:tr>
    </w:tbl>
    <w:p>
      <w:pPr>
        <w:spacing w:after="0" w:line="202" w:lineRule="exact"/>
        <w:rPr>
          <w:sz w:val="20"/>
          <w:szCs w:val="20"/>
          <w:color w:val="auto"/>
        </w:rPr>
      </w:pPr>
    </w:p>
    <w:p>
      <w:pPr>
        <w:ind w:right="320" w:firstLine="518"/>
        <w:spacing w:after="0" w:line="312" w:lineRule="auto"/>
        <w:rPr>
          <w:sz w:val="20"/>
          <w:szCs w:val="20"/>
          <w:color w:val="auto"/>
        </w:rPr>
      </w:pPr>
      <w:r>
        <w:rPr>
          <w:rFonts w:ascii="Arial" w:cs="Arial" w:eastAsia="Arial" w:hAnsi="Arial"/>
          <w:sz w:val="16"/>
          <w:szCs w:val="16"/>
          <w:color w:val="auto"/>
        </w:rPr>
        <w:t>The increase in other income, net, for the three and six months ended July 31, 2019, as compared to the same periods in the prior fiscal year, was primarily due to aggregate increases of approximately $1.3 million and $2.5 million, respectively, in interest and other income from our deposits and debt security investments. The increases were primarily the result of larger invested balances, higher interest rate and debt securities purchased at discounts.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 July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1820" w:type="dxa"/>
            <w:vAlign w:val="bottom"/>
            <w:gridSpan w:val="3"/>
            <w:vMerge w:val="restart"/>
          </w:tcPr>
          <w:p>
            <w:pPr>
              <w:jc w:val="right"/>
              <w:ind w:right="16"/>
              <w:spacing w:after="0"/>
              <w:rPr>
                <w:sz w:val="20"/>
                <w:szCs w:val="20"/>
                <w:color w:val="auto"/>
              </w:rPr>
            </w:pPr>
            <w:r>
              <w:rPr>
                <w:rFonts w:ascii="Arial" w:cs="Arial" w:eastAsia="Arial" w:hAnsi="Arial"/>
                <w:sz w:val="14"/>
                <w:szCs w:val="14"/>
                <w:b w:val="1"/>
                <w:bCs w:val="1"/>
                <w:color w:val="auto"/>
                <w:w w:val="96"/>
              </w:rPr>
              <w:t>Six Months Ended July 31,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vMerge w:val="restart"/>
          </w:tcPr>
          <w:p>
            <w:pPr>
              <w:jc w:val="right"/>
              <w:ind w:right="739"/>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31,</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Borders>
              <w:bottom w:val="single" w:sz="8" w:color="auto"/>
            </w:tcBorders>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w w:val="94"/>
              </w:rPr>
              <w:t>Amount</w:t>
            </w:r>
          </w:p>
        </w:tc>
        <w:tc>
          <w:tcPr>
            <w:tcW w:w="1300" w:type="dxa"/>
            <w:vAlign w:val="bottom"/>
            <w:tcBorders>
              <w:bottom w:val="single" w:sz="8" w:color="auto"/>
            </w:tcBorders>
          </w:tcPr>
          <w:p>
            <w:pPr>
              <w:ind w:left="68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Amount</w:t>
            </w:r>
          </w:p>
        </w:tc>
        <w:tc>
          <w:tcPr>
            <w:tcW w:w="130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60" w:type="dxa"/>
            <w:vAlign w:val="bottom"/>
            <w:gridSpan w:val="3"/>
          </w:tcPr>
          <w:p>
            <w:pPr>
              <w:jc w:val="right"/>
              <w:ind w:right="168"/>
              <w:spacing w:after="0" w:line="155" w:lineRule="exact"/>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taxes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1,978</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3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4"/>
              </w:rPr>
              <w:t>113.4%</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3,244</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w:t>
            </w:r>
          </w:p>
        </w:tc>
        <w:tc>
          <w:tcPr>
            <w:tcW w:w="2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1,469</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50"/>
        </w:trPr>
        <w:tc>
          <w:tcPr>
            <w:tcW w:w="1680" w:type="dxa"/>
            <w:vAlign w:val="bottom"/>
          </w:tcPr>
          <w:p>
            <w:pPr>
              <w:spacing w:after="0"/>
              <w:rPr>
                <w:sz w:val="20"/>
                <w:szCs w:val="20"/>
                <w:color w:val="auto"/>
              </w:rPr>
            </w:pPr>
            <w:r>
              <w:rPr>
                <w:rFonts w:ascii="Arial" w:cs="Arial" w:eastAsia="Arial" w:hAnsi="Arial"/>
                <w:sz w:val="18"/>
                <w:szCs w:val="18"/>
                <w:color w:val="auto"/>
              </w:rPr>
              <w:t>Effective tax rate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4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(8.5)</w:t>
            </w:r>
            <w:r>
              <w:rPr>
                <w:rFonts w:ascii="Arial" w:cs="Arial" w:eastAsia="Arial" w:hAnsi="Arial"/>
                <w:sz w:val="19"/>
                <w:szCs w:val="19"/>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w:t>
            </w: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quarterly income taxes reflect an estimate of the corresponding fiscal year’s annual effective tax rate and include, when applicable, adjustments from discrete tax items arising in that quarter.</w:t>
      </w:r>
    </w:p>
    <w:p>
      <w:pPr>
        <w:spacing w:after="0" w:line="170"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increase in income tax expense for the three and six months ended July 31, 2019, respectively, as compared to the same periods in the prior fiscal year, was primarily due to an increase in non-deductible stock-based compensation, as well as a decrease in the proportion of profits generated in lower-tax jurisdictions and losses incurred in jurisdictions for which the Company was not able to recognize a related tax benefit.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As of July 31, 2019 and January 31, 2019, we had cash, cash equivalents and marketable debt securities of approximately $375.8 million and $358.9 million, respectively. We invest in highly liquid, short-term marketable debt securities and hold these investments as available-for-sale securities. As of July 31, 2019, these securities had a fair value of approximately $208.3 million with insignificant unrealized losses caused by fluctuations in market value.</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30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 July 31,</w:t>
            </w:r>
          </w:p>
        </w:tc>
      </w:tr>
      <w:tr>
        <w:trPr>
          <w:trHeight w:val="156"/>
        </w:trPr>
        <w:tc>
          <w:tcPr>
            <w:tcW w:w="49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4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13,419</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6,977</w:t>
            </w:r>
          </w:p>
        </w:tc>
        <w:tc>
          <w:tcPr>
            <w:tcW w:w="8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11,871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5,254</w:t>
            </w:r>
          </w:p>
        </w:tc>
        <w:tc>
          <w:tcPr>
            <w:tcW w:w="8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(63,614)</w:t>
            </w:r>
          </w:p>
        </w:tc>
      </w:tr>
      <w:tr>
        <w:trPr>
          <w:trHeight w:val="209"/>
        </w:trPr>
        <w:tc>
          <w:tcPr>
            <w:tcW w:w="4980" w:type="dxa"/>
            <w:vAlign w:val="bottom"/>
          </w:tcPr>
          <w:p>
            <w:pPr>
              <w:spacing w:after="0"/>
              <w:rPr>
                <w:sz w:val="20"/>
                <w:szCs w:val="20"/>
                <w:color w:val="auto"/>
              </w:rPr>
            </w:pPr>
            <w:r>
              <w:rPr>
                <w:rFonts w:ascii="Arial" w:cs="Arial" w:eastAsia="Arial" w:hAnsi="Arial"/>
                <w:sz w:val="18"/>
                <w:szCs w:val="18"/>
                <w:color w:val="auto"/>
                <w:w w:val="96"/>
              </w:rPr>
              <w:t>Net increase (decrease) in cash, cash equivalents and restricted</w:t>
            </w: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cash</w:t>
            </w: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28,644</w:t>
            </w:r>
          </w:p>
        </w:tc>
        <w:tc>
          <w:tcPr>
            <w:tcW w:w="1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(51,383)</w:t>
            </w:r>
          </w:p>
        </w:tc>
      </w:tr>
      <w:tr>
        <w:trPr>
          <w:trHeight w:val="20"/>
        </w:trPr>
        <w:tc>
          <w:tcPr>
            <w:tcW w:w="4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Net cash provided by operating activities increased for the six months ended July 31, 2019, as compared to the same period in the prior fiscal year, primarily due to decreased inventory purchases as a result of decreased revenue and increased liabilities associated with the timing of payments to suppliers. The increased cash flows were partially offset by a larger net loss, increased non-cash expenses, decreased cash receipts associated with the timing of payments from customers, and increased purchases of other assets.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Net cash provided by investing activities increased for the six months ended July 31, 2019, as compared to the same period in the prior fiscal year, primarily due to an additional $57.1 million in cash receipts from the sale and maturity of debt securities, which was partially offset by approximately $51.5 million of additional investments in debt securities. The increase was also attributable to approximately $1.0 million smaller expenditure on property and equipment purchases.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Net cash provided by financing activities increased for the six months ended July 31, 2019, as compared to the same period in the prior fiscal year, primarily due to $65.6 million of cash used for the repurchasing of our ordinary shares under the stock repurchase program during the six months ended July 31, 2018 that was not incurred during the six months ended July 31, 2019. The increase was also attributable to approximately $1.8 million of additional cash proceeds from option exercises and employee stock purchase withholding. The increase was partially offset by additional payments of approximately $0.4 million in cash for intangible assets purchased in fiscal year 2020.</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and Capital Expenditure Requirements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As of July 31, 2019, we had cash, cash equivalents and marketable debt securities of approximately $375.8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these securities could contain covenants that would restrict our operations. We may require additional capital beyond our currently anticipated amounts. Additional capital may not be available to us on reasonable terms, or at all.</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short-term and long-term capital requirements will depend on many factors, including the following:</w:t>
      </w:r>
    </w:p>
    <w:p>
      <w:pPr>
        <w:spacing w:after="0" w:line="117" w:lineRule="exact"/>
        <w:rPr>
          <w:sz w:val="20"/>
          <w:szCs w:val="20"/>
          <w:color w:val="auto"/>
        </w:rPr>
      </w:pPr>
    </w:p>
    <w:p>
      <w:pPr>
        <w:ind w:left="1540" w:hanging="50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generate cash from operations;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control our costs;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expansion of our research and development of new technologies and products to address new markets and applications;</w:t>
      </w:r>
    </w:p>
    <w:p>
      <w:pPr>
        <w:spacing w:after="0" w:line="128" w:lineRule="exact"/>
        <w:rPr>
          <w:rFonts w:ascii="Arial" w:cs="Arial" w:eastAsia="Arial" w:hAnsi="Arial"/>
          <w:sz w:val="17"/>
          <w:szCs w:val="17"/>
          <w:color w:val="auto"/>
        </w:rPr>
      </w:pPr>
    </w:p>
    <w:p>
      <w:pPr>
        <w:ind w:left="1540" w:hanging="50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technologies or products;</w:t>
      </w:r>
    </w:p>
    <w:p>
      <w:pPr>
        <w:spacing w:after="0" w:line="117" w:lineRule="exact"/>
        <w:rPr>
          <w:rFonts w:ascii="Arial" w:cs="Arial" w:eastAsia="Arial" w:hAnsi="Arial"/>
          <w:sz w:val="18"/>
          <w:szCs w:val="18"/>
          <w:color w:val="auto"/>
        </w:rPr>
      </w:pPr>
    </w:p>
    <w:p>
      <w:pPr>
        <w:ind w:left="1540" w:right="520" w:hanging="506"/>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or participating in litigation-related activities; and</w:t>
      </w:r>
    </w:p>
    <w:p>
      <w:pPr>
        <w:spacing w:after="0" w:line="62" w:lineRule="exact"/>
        <w:rPr>
          <w:rFonts w:ascii="Arial" w:cs="Arial" w:eastAsia="Arial" w:hAnsi="Arial"/>
          <w:sz w:val="18"/>
          <w:szCs w:val="18"/>
          <w:color w:val="auto"/>
        </w:rPr>
      </w:pPr>
    </w:p>
    <w:p>
      <w:pPr>
        <w:ind w:left="1540" w:hanging="50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acquisition of complementary businesses, products and technologies.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Manufacturing Purchase Obligations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July 31, 2019, we had purchase obligations with our independent contract manufacturers of $41.3 million.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Company adopted ASC 842, Leases on February 1, 2019. As a result, the contractual obligations related to future lease payments are reflected on the condensed consolidated balance sheets as lease liabilities as of July 31, 2019. See Note 7, "Leases" in the Notes to Condensed Consolidated Financial Statements for more details about the lease liabilities.</w:t>
      </w:r>
    </w:p>
    <w:p>
      <w:pPr>
        <w:spacing w:after="0" w:line="181" w:lineRule="exact"/>
        <w:rPr>
          <w:sz w:val="20"/>
          <w:szCs w:val="20"/>
          <w:color w:val="auto"/>
        </w:rPr>
      </w:pPr>
    </w:p>
    <w:p>
      <w:pPr>
        <w:jc w:val="both"/>
        <w:ind w:firstLine="380"/>
        <w:spacing w:after="0" w:line="302" w:lineRule="auto"/>
        <w:rPr>
          <w:sz w:val="20"/>
          <w:szCs w:val="20"/>
          <w:color w:val="auto"/>
        </w:rPr>
      </w:pPr>
      <w:r>
        <w:rPr>
          <w:rFonts w:ascii="Arial" w:cs="Arial" w:eastAsia="Arial" w:hAnsi="Arial"/>
          <w:sz w:val="16"/>
          <w:szCs w:val="16"/>
          <w:color w:val="auto"/>
        </w:rPr>
        <w:t>Except as described above with respect to the manufacturing purchase obligations and leases, there were no other material changes in our contractual obligations, commitments and contingencies from those disclosed in our Annual Report on Form 10-K for the fiscal year ended January 31, 2019. Please see Item 7, “Management’s Discussion and Analysis of Financial Condition and Results of Operations – Contractual Obligations, Commitments and Contingencies” in our Annual Report on Form 10-K for the fiscal year ended January 31, 2019 for a description of our contractual obligations.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As of July 31, 2019, we did not engage in any off-balance sheet arrangements, including the use of structured finance, special purpose entities or variable interest entities.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Note 1 of Notes to Condensed Consolidated Financial Statements for information regarding recently issued accounting pronouncements.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21" w:lineRule="exact"/>
        <w:rPr>
          <w:sz w:val="20"/>
          <w:szCs w:val="20"/>
          <w:color w:val="auto"/>
        </w:rPr>
      </w:pPr>
    </w:p>
    <w:p>
      <w:pPr>
        <w:ind w:right="280" w:firstLine="588"/>
        <w:spacing w:after="0" w:line="286" w:lineRule="auto"/>
        <w:rPr>
          <w:sz w:val="20"/>
          <w:szCs w:val="20"/>
          <w:color w:val="auto"/>
        </w:rPr>
      </w:pPr>
      <w:r>
        <w:rPr>
          <w:rFonts w:ascii="Arial" w:cs="Arial" w:eastAsia="Arial" w:hAnsi="Arial"/>
          <w:sz w:val="17"/>
          <w:szCs w:val="17"/>
          <w:color w:val="auto"/>
        </w:rPr>
        <w:t>There have been no material changes to our critical accounting policies and estimates as compared to the critical accounting policies and estimates described in our Annual Report on Form 10-K for the 2019 fiscal year filed with the SEC on March 29, 2019, except for the recently adopted accounting guidance on leases as discussed in Notes 1 and 7 of Notes to Condensed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As of July 31, 2019 and January 31, 2019, we had cash, cash equivalents, marketable debt securities and restricted cash totaling $375.8 million and $358.9 million, respectively. Our cash is deposited in checking accounts with reputable financial institutions. The cash equivalents and marketable securities consist primarily of investments in debt securities. Our cash is held for working capital purposes. We do not enter into investments for trading or speculative purposes.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Rate Fluctuation Risk</w:t>
      </w:r>
    </w:p>
    <w:p>
      <w:pPr>
        <w:spacing w:after="0" w:line="11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short-term investments in a variety of debt securities with high liquidity. We do not enter into investments for trading or speculative purposes. A 10% change in interest rates will not have a material impact on our future interest income or investment fair value. The risk associated with fluctuating interest rates is limited to our investment portfolio.</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and the Chinese Yuan Renminbi. Our results of operations and cash flows are subject to fluctuations due to changes in foreign currency exchange rates, particularly the exchange rates between the Chinese Yuan Renminbi and the U.S. dollar and between the New Taiwan Dollar and the U.S. dollar.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13a- 15(e) and 15d- 15(e))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9"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Based upon such evaluation, our Chief Executive Officer and Chief Financial Officer have concluded that, as of July 31, 2019, our disclosure controls and procedures were effective at the reasonable assurance level.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Company’s fiscal quarter ended July 31, 2019 that have materially affected, or are reasonably likely to materially affect, the Company’s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of Disclosure Controls and Internal Control over Financial Reporting</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engaged in any material legal proceedings at this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49" w:lineRule="exact"/>
        <w:rPr>
          <w:sz w:val="20"/>
          <w:szCs w:val="20"/>
          <w:color w:val="auto"/>
        </w:rPr>
      </w:pPr>
    </w:p>
    <w:p>
      <w:pPr>
        <w:ind w:firstLine="518"/>
        <w:spacing w:after="0" w:line="237" w:lineRule="auto"/>
        <w:rPr>
          <w:sz w:val="20"/>
          <w:szCs w:val="20"/>
          <w:color w:val="auto"/>
        </w:rPr>
      </w:pPr>
      <w:r>
        <w:rPr>
          <w:rFonts w:ascii="Arial" w:cs="Arial" w:eastAsia="Arial" w:hAnsi="Arial"/>
          <w:sz w:val="17"/>
          <w:szCs w:val="17"/>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refer to ODMs as our customers and OEMs as our end customers, except as otherwise indicated or as the context otherwise requires. Our video and image processing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We anticipate that it will take longer and require more resources and greater expenditures to achieve design wins, and likely take longer to generate revenue from such design wins in the new markets we are targeting, such as the OEM automotive and robotics markets, than our current markets. Once an OEM designs a competitor’s device into its product, it becomes significantly more difficult for us to sell our SoC solutions to that OEM because changing suppliers involves significant cost, time, effort and risk for the OEM.</w:t>
      </w:r>
    </w:p>
    <w:p>
      <w:pPr>
        <w:spacing w:after="0" w:line="177" w:lineRule="exact"/>
        <w:rPr>
          <w:sz w:val="20"/>
          <w:szCs w:val="20"/>
          <w:color w:val="auto"/>
        </w:rPr>
      </w:pPr>
    </w:p>
    <w:p>
      <w:pPr>
        <w:ind w:right="160" w:firstLine="518"/>
        <w:spacing w:after="0"/>
        <w:rPr>
          <w:sz w:val="20"/>
          <w:szCs w:val="20"/>
          <w:color w:val="auto"/>
        </w:rPr>
      </w:pPr>
      <w:r>
        <w:rPr>
          <w:rFonts w:ascii="Arial" w:cs="Arial" w:eastAsia="Arial" w:hAnsi="Arial"/>
          <w:sz w:val="17"/>
          <w:szCs w:val="17"/>
          <w:color w:val="auto"/>
        </w:rPr>
        <w:t>Even if an OEM designs one of our SoC solutions into its product, we cannot be assured that the OEM’s product will be commercially successful over time or at all. For example, in the past we have secured design wins for camera products that were never commercially released by our customer as a result of factors beyond our control. If other products or other product categories incorporating our SoC solutions are not commercially successful or experience rapid decline, our revenue and business will suffer. For example, we have recently experienced declines in demand for our solutions in professional IP security, automotive and several consumer camera markets, including wearable cameras, virtual reality cameras and cameras incorporated into unmanned aerial vehicles, also referred to as UAVs or drones, which has negatively impacted our business.</w:t>
      </w:r>
    </w:p>
    <w:p>
      <w:pPr>
        <w:spacing w:after="0" w:line="178" w:lineRule="exact"/>
        <w:rPr>
          <w:sz w:val="20"/>
          <w:szCs w:val="20"/>
          <w:color w:val="auto"/>
        </w:rPr>
      </w:pPr>
    </w:p>
    <w:p>
      <w:pPr>
        <w:ind w:right="80" w:firstLine="518"/>
        <w:spacing w:after="0" w:line="231" w:lineRule="auto"/>
        <w:rPr>
          <w:sz w:val="20"/>
          <w:szCs w:val="20"/>
          <w:color w:val="auto"/>
        </w:rPr>
      </w:pPr>
      <w:r>
        <w:rPr>
          <w:rFonts w:ascii="Arial" w:cs="Arial" w:eastAsia="Arial" w:hAnsi="Arial"/>
          <w:sz w:val="18"/>
          <w:szCs w:val="18"/>
          <w:color w:val="auto"/>
        </w:rPr>
        <w:t>Similarly, even if an OEM designs one of our SoC solutions into its product, we are not assured that we will receive or continue to receive new design wins from that OEM. For example, two of our largest OEMs in the consumer camera markets in the past few years, GoPro, Inc., or GoPro, and Dajiang Innovation Technology Inc., or DJI, have begun using competing solutions in their mainstream products, which has significantly reduced these OEMs’demand for our solutions and negatively impacted our revenue.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ind w:right="40" w:firstLine="518"/>
        <w:spacing w:after="0" w:line="277" w:lineRule="auto"/>
        <w:rPr>
          <w:sz w:val="20"/>
          <w:szCs w:val="20"/>
          <w:color w:val="auto"/>
        </w:rPr>
      </w:pPr>
      <w:r>
        <w:rPr>
          <w:rFonts w:ascii="Arial" w:cs="Arial" w:eastAsia="Arial" w:hAnsi="Arial"/>
          <w:sz w:val="18"/>
          <w:szCs w:val="18"/>
          <w:b w:val="1"/>
          <w:bCs w:val="1"/>
          <w:i w:val="1"/>
          <w:iCs w:val="1"/>
          <w:color w:val="auto"/>
        </w:rPr>
        <w:t>Global economic and political conditions, including possible trade tariffs and trade restrictions, may have an impact on our business and financial condition in ways that we currently cannot predict.</w:t>
      </w:r>
    </w:p>
    <w:p>
      <w:pPr>
        <w:spacing w:after="0" w:line="170"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General trade tensions between the United States and China have been escalating in 2018 and 2019, which has, in our view, created and will continue to create an uncertain business environment. While tariffs and other retaliatory trade measures have not yet had a significant impact on our business or results of operations, we cannot predict future developments. In particular,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For example, if trade restrictions were placed on a significant customer, such as our China IP security customers, affecting our ability to do business with them, it would likely have a material adverse effect on our business and financial condition. In addition, H.R. 5515 - John S. McCain National Defense Authorization Act for Fiscal Year 2019, which was recently enacted into law, may negatively impact our two largest China IP security customers and decrease their demand for our solutions, although we cannot yet predict the longer term impact on our business. Similarly, changes in export classification requirements, such as those proposed by U.S. Congress, could impact our ability to supply our solutions to certain companies or in certain countries.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For example, there are risks that the Chinese government may, among other things, require the use of local suppliers, compel companies that do business in China to partner with local companies to conduct business and provide incentives to government-backed local customers to buy from local suppliers, which could have a material adverse effect on our business and financial condition.</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Our primary inventory warehouse is located in Hong Kong and may be affected by recent political, social and economic conditions in Hong Kong.</w:t>
      </w:r>
    </w:p>
    <w:p>
      <w:pPr>
        <w:spacing w:after="0" w:line="260"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operate a warehouse facility in Hong Kong through which the substantial majority of our finished SoCs are shipped to customers or logistic partners. Hong Kong has recently experienced significant political unrest and social strife, including protests that resulted in the closing of the Hong Kong international airport on August 12, 2019. While we have not been materially impacted by these problems to date, continued deterioration in political, social or economic conditions in Hong Kong or future unforeseen problems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such an eventuality, we could be forced to relocate our warehouse operations, either temporarily or permanently, to another potentially costlier location or find alternative potentially costlier methods of shipping our finished SoCs to customers and logistic partners. While we are taking measures to attempt to maintain the continuity of our product delivery operations notwithstanding the impact on the use of our Hong Kong facility of the continued or deteriorating conditions in Hong Kong or other future unforeseen problems there, we cannot ensure that these measures will be successful in eliminating disruptions in our business.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fail to penetrate new markets, our revenue and financial condition could be harmed.</w:t>
      </w:r>
    </w:p>
    <w:p>
      <w:pPr>
        <w:spacing w:after="0" w:line="11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the past several years, a substantial portion of our revenue was generated from sales of our SoCs to OEMs and ODMs of HD video cameras, including IP security cameras, wearable cameras and UAVs. Our revenue from several of these markets, however, has recently experienced significant declines. As a result, we believe that our future revenue growth, if any, will significantly depend on our ability to expand within the camera markets with our video and image processing SoC solutions, particularly in the professional IP security and home security and monitoring camera markets, as well as emerging markets such as the OEM automotive and robotics markets. Each of these markets presents distinct and substantial risks and, in many cases, requires us to develop new functionality or software to address the particular requirements of that market. For example, computer vision functionality has become an increasingly important requirement in many of our current and future markets, including the automotive, IP security camera and robotics markets. As a result, we believe that our ability to develop advanced computer vision technology and gain customer acceptance of our technology is critical to our future success and our efforts to develop such technology that gains market acceptance may not be successful. Development of products to address new markets, such as the OEM automotive and robotics markets, could negatively impact our ability to develop new products for our current markets, which may harm our financial condition, particularly in the near term. In addition, we anticipate that as we continue to move into new markets, such as the OEM automotive and robotics markets, we will likely face competition from larger competitors with greater resources and more history in these markets. If any of these markets do not develop as we currently anticipate or if we are unable to penetrate them successfully with our solutions, our revenue could decline, and our financial condition will be negatively impacted. Moreover, if we are successful in achieving design wins in these new markets, it will likely take longer to generate revenue from such design wins than in our current markets.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ind w:right="40" w:firstLine="518"/>
        <w:spacing w:after="0" w:line="257" w:lineRule="auto"/>
        <w:rPr>
          <w:sz w:val="20"/>
          <w:szCs w:val="20"/>
          <w:color w:val="auto"/>
        </w:rPr>
      </w:pPr>
      <w:r>
        <w:rPr>
          <w:rFonts w:ascii="Arial" w:cs="Arial" w:eastAsia="Arial" w:hAnsi="Arial"/>
          <w:sz w:val="18"/>
          <w:szCs w:val="18"/>
          <w:color w:val="auto"/>
        </w:rPr>
        <w:t>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will require a substantial investment of our time and resources. We cannot assure that we will secure design wins from these or other companies or that we will achieve meaningful revenue from the sales of our solutions into these markets. If we fail to penetrate these or other new markets we are targeting, our financial condition would likely suffer.</w:t>
      </w:r>
    </w:p>
    <w:p>
      <w:pPr>
        <w:spacing w:after="0" w:line="188"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17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the past few years, a substantial portion of our revenue has been derived from sales of our SoCs to the camera market and in particular, the IP security camera market, automotive camera market, wearable camera market and UAV market. While we will continue to provide solutions addressing these markets, we are focusing our development resources on addressing computer vision applications, primarily in the professional IP security and home security and monitoring camera markets, the OEM automotive and robotics markets, with our computer vision solutions. The application of computer vision functionality in these markets is relatively new, and we may be unable to predict the timing or development of these markets with accuracy. For example, a slower than expected adoption rate for computer vision technology in the IP security camera market could slow the demand for our new solutions. Similarly, a slower than anticipated adoption of electronic mirrors, advanced driving assistance systems and autonomous driving functionality could reduce demand for our new computer vision solutions. If our key target markets, such as automotive cameras, IP security cameras and cameras for robotic applications, do not grow or develop in ways that we currently expect, demand for our video and image processing SoCs may not materialize as expected, and our business and operating results could suffer.</w:t>
      </w:r>
    </w:p>
    <w:p>
      <w:pPr>
        <w:spacing w:after="0" w:line="178"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62"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Our customers typically do not provide us with firm, long-term purchase commitments. Substantially all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w:t>
      </w:r>
    </w:p>
    <w:p>
      <w:pPr>
        <w:spacing w:after="0" w:line="171"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miscalculations by our customers of their inventory requirements, changes in market conditions, adverse changes in our product order mix and fluctuating demand for our customers’ products. For example, higher than normal customer inventory levels at GoPro significantly impacted our revenue in the first half of fiscal years 2017 and 2018. Higher than normal customer inventory levels can occur in the future.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66"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We have in the past had customers significantly increase their requested production quantities with little or no advance notice. If we do not fulfill customer demands in a timely manner, our customers may cancel their orders and we may be subject to customer claims for cost of replacement.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 In addition, any significant future cancellations or deferrals of product orders could harm our margins, increase our write-offs due to product obsolescence and restrict our ability to fund our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ind w:right="640" w:firstLine="518"/>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62"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2019, the customers representing 10% or more of our revenue were Wintech Microelectronics Co., Ltd., or Wintech, the Company’s distributor, and Chicony Electronics Co., Ltd., or Chicony, a direct ODM customer, which accounted for approximately 58% and 16% of total revenue, respectively. For the six months ended July 31, 2019, the customers representing 10% or more of revenue were Wintech and Chicony which accounted for approximately 57% and 19% of total revenue, respectively.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In the past, we have had significant customers decrease their demand for our solutions with little advance notice to us. For example, GoPro, our largest OEM customer in fiscal year 2017, has recently used a competing solution in its mainstream cameras, which had a significantly negative impact on our revenue. Similarly, our customer DJI recently introduced UAVs incorporating competing solutions that have reduced, and will continue to reduce, DJI’s demand for our solutions.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 through sales to other customers in that market.</w:t>
      </w:r>
    </w:p>
    <w:p>
      <w:pPr>
        <w:spacing w:after="0" w:line="18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addition, our relationships with some customers may deter other potential customers who compete with these customers from buying our solutions. To attract new customers or retain existing customers, we may have to offer these customers favorable prices on our solutions. In that event, our average selling prices and gross margins would decline. The loss of a key customer, a reduction in sales to any key customer or our inability to attract new customers could seriously impact our revenue and harm our results of operations.</w:t>
      </w:r>
    </w:p>
    <w:p>
      <w:pPr>
        <w:spacing w:after="0" w:line="18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62"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Availability of foundry capacity has in the recent past been limited due to strong demand.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 or 7 nanometer, or 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78"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Moreover, if we are able to secure foundry capacity, we may be obligated to use all of that capacity or incur penalties. These penalties could harm our financial results.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ind w:right="120" w:firstLine="518"/>
        <w:spacing w:after="0" w:line="277" w:lineRule="auto"/>
        <w:rPr>
          <w:sz w:val="20"/>
          <w:szCs w:val="20"/>
          <w:color w:val="auto"/>
        </w:rPr>
      </w:pPr>
      <w:r>
        <w:rPr>
          <w:rFonts w:ascii="Arial" w:cs="Arial" w:eastAsia="Arial" w:hAnsi="Arial"/>
          <w:sz w:val="18"/>
          <w:szCs w:val="18"/>
          <w:b w:val="1"/>
          <w:bCs w:val="1"/>
          <w:i w:val="1"/>
          <w:iCs w:val="1"/>
          <w:color w:val="auto"/>
        </w:rPr>
        <w:t>If we fail to develop and introduce new or enhanced solutions on a timely basis, our ability to attract and retain customers could be impaired and our competitive position could be harmed.</w:t>
      </w:r>
    </w:p>
    <w:p>
      <w:pPr>
        <w:spacing w:after="0" w:line="62"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We operate in a dynamic environment characterized by rapidly changing technologies and technological obsolescence. To compete successfully, we must design, develop, market and sell enhanced solutions that provide increasingly higher levels of performance and functionality and that meet the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for video compression; or the requirement of additional functionality included in video processors, such as analytics or computer vision functionality. In addition, the markets for our solutions are characterized by frequent introduction of next-generation and new products, short product life cycles, increasing demand for added functionality and significant price competition. If we or our customers are unable to manage product transitions in a timely and cost-effective manner, our business and results of operations would suffer.</w:t>
      </w:r>
    </w:p>
    <w:p>
      <w:pPr>
        <w:spacing w:after="0" w:line="17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expect that we will need to establish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Moreover, it is possible that our customers may develop their own product or adopt a competitor’s solution for products that they currently buy from us. If we fail to introduce new or enhanced solutions that meet the needs of our customers or penetrate new markets in a timely fashion, we will lose market share, and our operating results will be adversely affected.</w:t>
      </w:r>
    </w:p>
    <w:p>
      <w:pPr>
        <w:spacing w:after="0" w:line="182"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3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are focused on selling our video and image processing solutions to ODMs and OEMs for incorporation into their products at the design stage. These efforts to achieve design wins typically are lengthy, especially in emerging markets we intend to address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For example, in the past we had achieved certain design wins and projected substantial future revenue as a result of such design wins. Subsequently, based on factors outside of our control, the applicable end customers abruptly cancelled the projects, with no notice to us, resulting in a loss of projected revenue. In addition, even if an OEM designs one of our SoC solutions into one of its products, we cannot be assured that we will secure new design wins from that OEM for future products. For example, GoPro and DJI have used competing solutions in recently introduced camera products, which has had a significant negative impact on our revenue.</w:t>
      </w:r>
    </w:p>
    <w:p>
      <w:pPr>
        <w:spacing w:after="0" w:line="182" w:lineRule="exact"/>
        <w:rPr>
          <w:sz w:val="20"/>
          <w:szCs w:val="20"/>
          <w:color w:val="auto"/>
        </w:rPr>
      </w:pPr>
    </w:p>
    <w:p>
      <w:pPr>
        <w:jc w:val="both"/>
        <w:ind w:right="100" w:firstLine="518"/>
        <w:spacing w:after="0" w:line="286" w:lineRule="auto"/>
        <w:rPr>
          <w:sz w:val="20"/>
          <w:szCs w:val="20"/>
          <w:color w:val="auto"/>
        </w:rPr>
      </w:pPr>
      <w:r>
        <w:rPr>
          <w:rFonts w:ascii="Arial" w:cs="Arial" w:eastAsia="Arial" w:hAnsi="Arial"/>
          <w:sz w:val="17"/>
          <w:szCs w:val="17"/>
          <w:color w:val="auto"/>
        </w:rPr>
        <w:t>These risks are exacerbated by the fact that some of our end customers’ products, particularly in the camera market, likely will have short life cycles.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166"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Our customers generally take a considerable amount of time to evaluate our solutions. The typical time from early engagement by our sales force to actual product introduction runs from nine to 12 months, though it will likely take significantly longer in new markets such as the OEM automotive and robotics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Finally, our customers’ failure to successfully market and sell their products could reduce demand for our SoC solutions and harm our business, financial condition and results of operations. If we were unable to generate revenue after incurring substantial expenses to develop any of our solutions, our business would suffer.</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b w:val="1"/>
          <w:bCs w:val="1"/>
          <w:i w:val="1"/>
          <w:iCs w:val="1"/>
          <w:color w:val="auto"/>
        </w:rPr>
        <w:t>We expect competition to increase in the future, which could have an adverse effect on our revenue and market share.</w:t>
      </w:r>
    </w:p>
    <w:p>
      <w:pPr>
        <w:spacing w:after="0" w:line="117"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The global semiconductor market in general, and the video and image processing markets in particular, are highly competitive. We compete in different target markets to various degrees on the basis of a number of competitive factors, including our solutions’ performance, features, functionality,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as we move into new markets, such as the OEM automotive and robotics markets, we will face competition from larger competitors with longer histories in these markets. Increased competition could result in price pressure, reduced profitability and loss of market share, any of which could harm our business, revenue and operating results.</w:t>
      </w:r>
    </w:p>
    <w:p>
      <w:pPr>
        <w:spacing w:after="0" w:line="19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competitors range from large, international companies offering a wide range of semiconductor products to smaller companies specializing in narrow markets. In the IP security camera market, our primary competitors include AMLogic Inc., Fullhan Microelectronics Co., Ltd., Geo Semiconductor, Inc., HiSilicon Technologies Co., Ltd., or HiSilicon, which is owned by Huawei Technologies Co., Ingenic Semiconductor Co., Ltd., Intel Corporation, or Intel, Movidius Ltd., a subsidiary of Intel, Novatek Microelectronics Corp., or Novatek, OmniVision Technologies, Inc., or OmniVision, Qualcomm Incorporated, or Qualcomm, Realtek Semiconductor Corp., SigmaStar Technology Corp., or SigmaStar, Socionext Inc., or Socionext, an entity created from the merger of the system LSI businesses of Fujitsu Ltd. and Panasonic Corporation, or Panasonic, and Texas Instruments Incorporated, or Texas Instruments, as well as vertically integrated divisions of IP Security camera device OEMs, including Axis Communications AB and Sony Corporation, or Sony. In the automotive camera market, we currently compete against Allwinner Technology Co., Ltd., Alpha Imaging Technology Corp., Core Logic, Inc., Novatek, NXP Semiconductors N.V., OmniVision, Qualcomm, Renesas Electronics Corporation, SigmaStar, Sunplus Technology Co. Ltd., Texas Instruments and Xilinx Inc. In the wearable sports camera market, our primary competitors are vertically integrated divisions of camera device OEMs, including Sony, Panasonic, HiSilicon and Socionext. Our primary competitors in the UAV camera market include HiSilicon, Intel, NVIDIA Corporation and Qualcomm.</w:t>
      </w:r>
    </w:p>
    <w:p>
      <w:pPr>
        <w:spacing w:after="0" w:line="173"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ability to compete successfully depends on elements both within and outside of our control, including industry and general economic trends.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80" w:lineRule="exact"/>
        <w:rPr>
          <w:sz w:val="20"/>
          <w:szCs w:val="20"/>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anticipate market and technology trends and successfully develop solutions that meet market needs;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in identifying and penetrating new markets, applications and customers;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understand the price points and performance metrics of competing products in the marketplace;</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that of competing products;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gain access to leading design tools and product specifications at the same time as our competitors;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key OEMs and ODMs;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products’ effective implementation of video processing standards;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expand international operations in a timely and cost-efficient manner;</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support our customers’ incorporation of our solutions into their products; and</w:t>
      </w:r>
    </w:p>
    <w:p>
      <w:pPr>
        <w:spacing w:after="0" w:line="117" w:lineRule="exact"/>
        <w:rPr>
          <w:rFonts w:ascii="Arial" w:cs="Arial" w:eastAsia="Arial" w:hAnsi="Arial"/>
          <w:sz w:val="18"/>
          <w:szCs w:val="18"/>
          <w:color w:val="auto"/>
        </w:rPr>
      </w:pPr>
    </w:p>
    <w:p>
      <w:pPr>
        <w:ind w:left="1540" w:right="300" w:hanging="506"/>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recruit design and application engineers with expertise in image video and image processing technologies and sales and marketing personnel.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ind w:right="620" w:firstLine="518"/>
        <w:spacing w:after="0" w:line="286" w:lineRule="auto"/>
        <w:rPr>
          <w:sz w:val="20"/>
          <w:szCs w:val="20"/>
          <w:color w:val="auto"/>
        </w:rPr>
      </w:pPr>
      <w:r>
        <w:rPr>
          <w:rFonts w:ascii="Arial" w:cs="Arial" w:eastAsia="Arial" w:hAnsi="Arial"/>
          <w:sz w:val="17"/>
          <w:szCs w:val="17"/>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Fluctuations in our operating results on a quarterly and annual basis could cause the market price of our ordinary shares to decline.</w:t>
      </w:r>
    </w:p>
    <w:p>
      <w:pPr>
        <w:spacing w:after="0" w:line="12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Our revenue and operating results have fluctuated significantly from period to period in the past and are likely to do so in the future. In particular, our business has tended to be seasonal with higher revenue in our third quarter as our customers typically increase their production to meet holiday shopping season or year-end demand for their products. We also may experience seasonally lower demand in our first quarter in the Asia-based portion of the IP security camera market as a result of industry seasonality and the impact of ODM and OEM factory closures associated with the Chinese New Year holiday. As a result, you should not rely on period-to-period comparisons of our operating results as an indication of our future performance. In future periods, our revenue and results of operations may be below the expectations of analysts and investors, which could cause the market price of our ordinary shares to decline.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affect our operating results include:</w:t>
      </w:r>
    </w:p>
    <w:p>
      <w:pPr>
        <w:spacing w:after="0" w:line="117" w:lineRule="exact"/>
        <w:rPr>
          <w:sz w:val="20"/>
          <w:szCs w:val="20"/>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demand, sales cycles, product mix, and prices for our products;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forecasting, scheduling, rescheduling or cancellation of orders by our customers;</w:t>
      </w:r>
    </w:p>
    <w:p>
      <w:pPr>
        <w:spacing w:after="0" w:line="117" w:lineRule="exact"/>
        <w:rPr>
          <w:rFonts w:ascii="Arial" w:cs="Arial" w:eastAsia="Arial" w:hAnsi="Arial"/>
          <w:sz w:val="18"/>
          <w:szCs w:val="18"/>
          <w:color w:val="auto"/>
        </w:rPr>
      </w:pPr>
    </w:p>
    <w:p>
      <w:pPr>
        <w:ind w:left="1540" w:right="100" w:hanging="506"/>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shifts in consumer or manufacturer preferences and any resultant change in demand for video and image capture devices into which our solutions are incorporated;</w:t>
      </w:r>
    </w:p>
    <w:p>
      <w:pPr>
        <w:spacing w:after="0" w:line="62" w:lineRule="exact"/>
        <w:rPr>
          <w:rFonts w:ascii="Arial" w:cs="Arial" w:eastAsia="Arial" w:hAnsi="Arial"/>
          <w:sz w:val="18"/>
          <w:szCs w:val="18"/>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 including new entrants or pricing pressures;</w:t>
      </w:r>
    </w:p>
    <w:p>
      <w:pPr>
        <w:spacing w:after="0" w:line="117" w:lineRule="exact"/>
        <w:rPr>
          <w:rFonts w:ascii="Arial" w:cs="Arial" w:eastAsia="Arial" w:hAnsi="Arial"/>
          <w:sz w:val="18"/>
          <w:szCs w:val="18"/>
          <w:color w:val="auto"/>
        </w:rPr>
      </w:pPr>
    </w:p>
    <w:p>
      <w:pPr>
        <w:ind w:left="1540" w:right="180" w:hanging="506"/>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our customers’ ability to manufacture and ship products that incorporate our solutions caused by internal and external factors beyond our control;</w:t>
      </w:r>
    </w:p>
    <w:p>
      <w:pPr>
        <w:spacing w:after="0" w:line="62" w:lineRule="exact"/>
        <w:rPr>
          <w:rFonts w:ascii="Arial" w:cs="Arial" w:eastAsia="Arial" w:hAnsi="Arial"/>
          <w:sz w:val="18"/>
          <w:szCs w:val="18"/>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define, design and release new solutions in a timely manner that meet our customers’ needs;</w:t>
      </w:r>
    </w:p>
    <w:p>
      <w:pPr>
        <w:spacing w:after="0" w:line="117" w:lineRule="exact"/>
        <w:rPr>
          <w:rFonts w:ascii="Arial" w:cs="Arial" w:eastAsia="Arial" w:hAnsi="Arial"/>
          <w:sz w:val="18"/>
          <w:szCs w:val="18"/>
          <w:color w:val="auto"/>
        </w:rPr>
      </w:pPr>
    </w:p>
    <w:p>
      <w:pPr>
        <w:ind w:left="1540" w:right="380" w:hanging="506"/>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manufacturing costs, including wafer, test and assembly costs, mask costs, manufacturing yields and product quality and reliability;</w:t>
      </w:r>
    </w:p>
    <w:p>
      <w:pPr>
        <w:spacing w:after="0" w:line="62" w:lineRule="exact"/>
        <w:rPr>
          <w:rFonts w:ascii="Arial" w:cs="Arial" w:eastAsia="Arial" w:hAnsi="Arial"/>
          <w:sz w:val="18"/>
          <w:szCs w:val="18"/>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availability of adequate manufacturing capacity from our manufacturing subcontractors;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product announcements by our competitors or by us;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incurrence of research and development and related new products expenditures;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write-downs of inventory for excess quantities and technological obsolescence;</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volatility in our share price, which may lead to higher stock-based compensation expense;</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volatility in our effective tax rate;</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general socioeconomic and political conditions in the countries where we operate or where our products are sold or used; and</w:t>
      </w:r>
    </w:p>
    <w:p>
      <w:pPr>
        <w:spacing w:after="0" w:line="128" w:lineRule="exact"/>
        <w:rPr>
          <w:rFonts w:ascii="Arial" w:cs="Arial" w:eastAsia="Arial" w:hAnsi="Arial"/>
          <w:sz w:val="17"/>
          <w:szCs w:val="17"/>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litigation, especially related to intellectual property.</w:t>
      </w:r>
    </w:p>
    <w:p>
      <w:pPr>
        <w:spacing w:after="0" w:line="22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Moreover, the semiconductor industry has historically been cyclical in nature, reflecting overall economic conditions as well as budgeting and buying patterns of consumers.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impacts on our business, including declines in margins and profitability, or incur losses. For example, our revenue declined 23% in fiscal year 2019 compared to fiscal year 2018, and we incurred our first annual net losses since our initial public offering, or IPO, in 2012. For the six months ended July 31, 2019, our revenue declined 13% compared to the same period in fiscal year 2019, and we incurred net loss of $27.5 million. We may experience similar declines in the future, which would harm our operating results.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right="60" w:firstLine="518"/>
        <w:spacing w:after="0" w:line="277" w:lineRule="auto"/>
        <w:rPr>
          <w:sz w:val="20"/>
          <w:szCs w:val="20"/>
          <w:color w:val="auto"/>
        </w:rPr>
      </w:pPr>
      <w:r>
        <w:rPr>
          <w:rFonts w:ascii="Arial" w:cs="Arial" w:eastAsia="Arial" w:hAnsi="Arial"/>
          <w:sz w:val="18"/>
          <w:szCs w:val="18"/>
          <w:b w:val="1"/>
          <w:bCs w:val="1"/>
          <w:i w:val="1"/>
          <w:iCs w:val="1"/>
          <w:color w:val="auto"/>
        </w:rPr>
        <w:t>The average selling prices of video and image processing solutions in our target markets have historically decreased over time and will likely do so in the future, which could harm our revenue and gross margins.</w:t>
      </w:r>
    </w:p>
    <w:p>
      <w:pPr>
        <w:spacing w:after="0" w:line="170"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Average selling prices of semiconductor products in the markets we serve have historically decreased over time, and we expect such declines to continue to occur for our solutions over time. Our gross margins and financial results will suffer if we are unable to offset reductions in our average selling prices by reducing our costs, developing new or enhanced SoC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Recently, we have experienced competitive pricing pressures at the low ends of the automotive aftermarket camera market and China-based IP security camera market. We expect that we will have to address pricing pressures again in the future, particularly in markets experiencing consolidation, which could require us to reduce the prices of our SoC solutions and harm our operating results.</w:t>
      </w:r>
    </w:p>
    <w:p>
      <w:pPr>
        <w:spacing w:after="0" w:line="18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b w:val="1"/>
          <w:bCs w:val="1"/>
          <w:i w:val="1"/>
          <w:iCs w:val="1"/>
          <w:color w:val="auto"/>
        </w:rPr>
        <w:t>We are dependent on sales of a limited number of video and image processing solutions, and a decline in market adoption of these solutions could harm our business.</w:t>
      </w:r>
    </w:p>
    <w:p>
      <w:pPr>
        <w:spacing w:after="0" w:line="170"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We currently derive substantially all of our revenue from the sale of a relatively small number of our video and image processing SoCs for use in a relatively small number of camera markets and we expect to do so for the next several years. As a result, continued market adoption of our SoC solutions in these camera markets is critical to our future success. If demand for our SoC solutions were to decline, or demand for products incorporating our solutions declines, or does not grow as expected, our revenue would decline and our business would be harmed.</w:t>
      </w:r>
    </w:p>
    <w:p>
      <w:pPr>
        <w:spacing w:after="0" w:line="171"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sell a significant percentage of our solutions through a single distributor, Wintech Microelectronics Co., Ltd., or Wintech, which serves as our non-exclusive sales representative in Asia, other than Japan. Approximately 58%, 59% and 60% of our revenue was derived from sales through Wintech for the fiscal years ended January 31, 2019, 2018 and 2017, respectively, and approximately 57% of our revenue was derived from sales through Wintech for the six months ended July 31, 2019. We anticipate that a significant portion of our revenue will continue to be derived from sales through Wintech in the foreseeable future. Our current agreement with Wintech is effective until September 2022, unless it is terminated earlier by either party for any or no reason with 60 days written notice or by failure of the breaching party to cure a material breach within 30 days following written notice of such material breach by the non-breaching party. Our agreement with Wintech will automatically renew for additional successive 12-month terms unless at least 60 days before the end of the then-current term either party provides written notice to the other party that it elects not to renew the agreement. Termination of the relationship with Wintech, either by us or by Wintech,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Wintech, or any successor or other distributors we do business with, may face issues obtaining credit, which could impair their ability to make timely payments to us.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are subject to risks associated with our distributors' product inventories.</w:t>
      </w:r>
    </w:p>
    <w:p>
      <w:pPr>
        <w:spacing w:after="0" w:line="117" w:lineRule="exact"/>
        <w:rPr>
          <w:sz w:val="20"/>
          <w:szCs w:val="20"/>
          <w:color w:val="auto"/>
        </w:rPr>
      </w:pPr>
    </w:p>
    <w:p>
      <w:pPr>
        <w:ind w:right="260" w:firstLine="518"/>
        <w:spacing w:after="0" w:line="273" w:lineRule="auto"/>
        <w:rPr>
          <w:sz w:val="20"/>
          <w:szCs w:val="20"/>
          <w:color w:val="auto"/>
        </w:rPr>
      </w:pPr>
      <w:r>
        <w:rPr>
          <w:rFonts w:ascii="Arial" w:cs="Arial" w:eastAsia="Arial" w:hAnsi="Arial"/>
          <w:sz w:val="17"/>
          <w:szCs w:val="17"/>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Upon the adoption of ASC 606 on February 1, 2018,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ind w:firstLine="518"/>
        <w:spacing w:after="0" w:line="270" w:lineRule="auto"/>
        <w:rPr>
          <w:sz w:val="20"/>
          <w:szCs w:val="20"/>
          <w:color w:val="auto"/>
        </w:rPr>
      </w:pPr>
      <w:r>
        <w:rPr>
          <w:rFonts w:ascii="Arial" w:cs="Arial" w:eastAsia="Arial" w:hAnsi="Arial"/>
          <w:sz w:val="17"/>
          <w:szCs w:val="17"/>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Our reserve estimates associated with products stocked by our distributors are based largely on reports that our distributors provide to us on a weekly or monthly basis. To date, we believe this resale and channel inventory data have been generally accurate. To the extent that these data are inaccurate or not received in a timely manner, we may not be able to make reserve estimates for future periods accurately or at all.</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Deterioration of the financial conditions of our customers could adversely affect our operating results.</w:t>
      </w:r>
    </w:p>
    <w:p>
      <w:pPr>
        <w:spacing w:after="0" w:line="11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Deterioration of the financial condition of our distributors or customers could adversely impact our collection of accounts receivable. We regularly review the collectability and creditworthiness of our distributors and customers to determine an appropriate allowance for doubtful receivables. Based on our review of our distributors and customers, we currently have only immaterial reserves for uncollectible accounts. If our uncollectible accounts, however, were to exceed our current or future allowance for doubtful receivables, our operating results would be negatively impacted.</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seriously harm our business.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rely on highly skilled personnel and, if we are unable to hire, retain or motivate key personnel, we may not be able to grow effectively.</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performance largely depends on the talents and efforts of highly skilled individuals. Our future success depends on our continuing ability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identify, hire, develop, motivate, and retain highly skilled personnel for all areas of our organization. Our industry is characterized by high demand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intense competition for talent. The pool of qualified candidates is limited, particularly in Silicon Valley and parts of Asia for very-large-scale integration,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VLSI, and computer vision engineers, and certain of our competitors and potential competitors with greater resources have directly targeted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employees. In addition, our compensation arrangements, such as our equity award programs, may not always be successful in attracting new employees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retaining and motivating our existing employees. Our continued ability to compete effectively, and to grow our business, depends on our ability to attract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employees and to retain and motivate our existing employees.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do not generate revenue growth, we may not be able to execute our business plan and our operating results could suffer.</w:t>
      </w:r>
    </w:p>
    <w:p>
      <w:pPr>
        <w:spacing w:after="0" w:line="11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You should not rely on our revenue growth, gross margins or operating results for any prior quarterly or annual periods as an indication of our future operating performance. In the past, we experienced significant growth in a short period of time. Our revenue increased from $21.5 million in fiscal year 2008 to $316.4 million in fiscal year 2016. Recently, however, we have not sustained this growth rate. Our revenue decreased to $295.4 million in fiscal year 2018 and to $227.8 million in fiscal year 2019, resulting in the first annual net losses since our IPO in 2012. For the six months ended July 31, 2019, our revenue declined 13% compared to the same period in fiscal year 2019 and we incurred net loss of $27.5 million. We continue to invest in the development of new technology and solutions and expect our research and development expenditures to increase compared to prior periods. Accordingly, if we are unable to generate or maintain adequate revenue growth, our financial results could suffer and our stock price could decline.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43" w:name="page44"/>
    <w:bookmarkEnd w:id="43"/>
    <w:p>
      <w:pPr>
        <w:ind w:left="520"/>
        <w:spacing w:after="0"/>
        <w:rPr>
          <w:sz w:val="20"/>
          <w:szCs w:val="20"/>
          <w:color w:val="auto"/>
        </w:rPr>
      </w:pPr>
      <w:r>
        <w:rPr>
          <w:rFonts w:ascii="Arial" w:cs="Arial" w:eastAsia="Arial" w:hAnsi="Arial"/>
          <w:sz w:val="17"/>
          <w:szCs w:val="17"/>
          <w:b w:val="1"/>
          <w:bCs w:val="1"/>
          <w:i w:val="1"/>
          <w:iCs w:val="1"/>
          <w:color w:val="auto"/>
        </w:rPr>
        <w:t>If we are unable to manage any future growth, we may not be able to execute our business plan and our operating results could suffer.</w:t>
      </w:r>
    </w:p>
    <w:p>
      <w:pPr>
        <w:spacing w:after="0" w:line="129"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our growth successfully and handle the responsibilities of being a public company, we believe we must effectively, among other things:</w:t>
      </w:r>
    </w:p>
    <w:p>
      <w:pPr>
        <w:spacing w:after="0" w:line="80" w:lineRule="exact"/>
        <w:rPr>
          <w:sz w:val="20"/>
          <w:szCs w:val="20"/>
          <w:color w:val="auto"/>
        </w:rPr>
      </w:pPr>
    </w:p>
    <w:p>
      <w:pPr>
        <w:ind w:left="1540" w:right="120" w:hanging="506"/>
        <w:spacing w:after="0" w:line="342" w:lineRule="auto"/>
        <w:tabs>
          <w:tab w:leader="none" w:pos="1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recruit, hire, train and manage additional qualified engineers for our research and development activities, particularly in our offices in Asia and especially for the positions of semiconductor design and systems, applications engineering and computer vision development;</w:t>
      </w:r>
    </w:p>
    <w:p>
      <w:pPr>
        <w:spacing w:after="0" w:line="15" w:lineRule="exact"/>
        <w:rPr>
          <w:rFonts w:ascii="Arial" w:cs="Arial" w:eastAsia="Arial" w:hAnsi="Arial"/>
          <w:sz w:val="16"/>
          <w:szCs w:val="16"/>
          <w:color w:val="auto"/>
        </w:rPr>
      </w:pPr>
    </w:p>
    <w:p>
      <w:pPr>
        <w:ind w:left="1540" w:hanging="506"/>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additional sales and business development personnel;</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additional finance and accounting personnel;</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and improve our administrative, financial and operational systems, procedures and controls; and</w:t>
      </w:r>
    </w:p>
    <w:p>
      <w:pPr>
        <w:spacing w:after="0" w:line="117" w:lineRule="exact"/>
        <w:rPr>
          <w:rFonts w:ascii="Arial" w:cs="Arial" w:eastAsia="Arial" w:hAnsi="Arial"/>
          <w:sz w:val="18"/>
          <w:szCs w:val="18"/>
          <w:color w:val="auto"/>
        </w:rPr>
      </w:pPr>
    </w:p>
    <w:p>
      <w:pPr>
        <w:ind w:left="1540" w:right="340" w:hanging="506"/>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 our information technology support for enterprise resource planning and design engineering by adapting and expanding our systems and tool capabilities, and properly training new hires as to their use.</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In addition, development of products to address emerging markets, such as the OEM automotive and robotics markets, could negatively impact our ability to develop new products for our current markets, which may harm our financial condition, particularly in the near term.</w:t>
      </w:r>
    </w:p>
    <w:p>
      <w:pPr>
        <w:spacing w:after="0" w:line="79"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24"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semiconductor industry requires substantial investment in research and development in order to bring to market new and enhanced solutions. Our research and development expense was $128.1 million, $115.5 million and $101.2 million in fiscal years 2019, 2018 and 2017, respectively. For the six months ended July 31, 2019, our research and development expense was $63.4 million. We expect to increase our research and development expenditures as compared to prior periods as part of our strategy of focusing on the development of innovative video and image processing solutions with increased functionality, such as computer vision capabilities, and as we target new markets, such as the automotive OEM and robotics markets. We are unable to predict whether we will have sufficient resources to maintain the level of investment in research and development required to remain competitive. For example, development in the latest process nodes, such as 10nm and 7nm, can cost significantly more than required to develop in larger process nodes, such as 28nm.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have difficulty accurately predicting our future revenue and appropriately budgeting our expenses.</w:t>
      </w:r>
    </w:p>
    <w:p>
      <w:pPr>
        <w:spacing w:after="0" w:line="11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rapidly evolving nature of the markets in which we sell our solutions, combined with substantial uncertainty concerning how these markets may develop and other factors beyond our control, limits our ability to accurately forecast quarterly or annual revenue. We continue to expand our staffing and increase our expenditures in anticipation of future revenue growth. If our revenue does not increase as anticipated, we could incur significant losses due to our higher expense levels if we are not able to decrease our expenses in a timely manner to offset any shortfall in future revenue.</w:t>
      </w:r>
    </w:p>
    <w:p>
      <w:pPr>
        <w:spacing w:after="0" w:line="154"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b w:val="1"/>
          <w:bCs w:val="1"/>
          <w:i w:val="1"/>
          <w:iCs w:val="1"/>
          <w:color w:val="auto"/>
        </w:rPr>
        <w:t>We may experience difficulties demonstrating the value to customers of newer, higher priced and higher margin solutions if they believe existing solutions are adequate to meet end customer expectations.</w:t>
      </w:r>
    </w:p>
    <w:p>
      <w:pPr>
        <w:spacing w:after="0" w:line="62"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As we develop and introduce new solutions, we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Owing to the extensive time and resources that we invest in developing new solutions, if we are unable to sell customers new generations of our solutions, or if we face pricing pressures on our new solutions, our revenue could decline and our business, financial condition, operating results and cash flows could be negatively affected.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jc w:val="both"/>
        <w:ind w:right="360" w:firstLine="518"/>
        <w:spacing w:after="0" w:line="264" w:lineRule="auto"/>
        <w:rPr>
          <w:sz w:val="20"/>
          <w:szCs w:val="20"/>
          <w:color w:val="auto"/>
        </w:rPr>
      </w:pPr>
      <w:r>
        <w:rPr>
          <w:rFonts w:ascii="Arial" w:cs="Arial" w:eastAsia="Arial" w:hAnsi="Arial"/>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73"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66"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b w:val="1"/>
          <w:bCs w:val="1"/>
          <w:i w:val="1"/>
          <w:iCs w:val="1"/>
          <w:color w:val="auto"/>
        </w:rPr>
        <w:t>Camera manufacturers incorporate components supplied by multiple third parties, and a supply shortage or delay in delivery of these components could delay orders for our solutions by our customers.</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customers purchase components used in the manufacture of their cameras from various sources of supply, often involving several specialized components, including lenses, sensors, and memory chips. Any supply shortage or delay in delivery by third-party component suppliers, or a third-party supplier’s cessation or shut down of its business, may prevent or delay production of our customers’ products. In addition, replacement or substitute components may not be available on commercially reasonable terms, or at all. As a result of delays in delivery or supply shortages of third-party components, orders for our solutions may be delayed or canceled and our business may be harmed. For example, a disruption in the availability of image sensors from Sony Corporation as a result of the April 14, 2016 Kumamoto, Japan earthquake impacted our customers’ ability to build or launch cameras and, as a result, negatively impacted the timing and scope of demand for our SoCs in the second and third quarters of fiscal year 2017.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173" w:lineRule="exact"/>
        <w:rPr>
          <w:sz w:val="20"/>
          <w:szCs w:val="20"/>
          <w:color w:val="auto"/>
        </w:rPr>
      </w:pPr>
    </w:p>
    <w:p>
      <w:pPr>
        <w:ind w:right="200" w:firstLine="518"/>
        <w:spacing w:after="0" w:line="375" w:lineRule="auto"/>
        <w:rPr>
          <w:sz w:val="20"/>
          <w:szCs w:val="20"/>
          <w:color w:val="auto"/>
        </w:rPr>
      </w:pPr>
      <w:r>
        <w:rPr>
          <w:rFonts w:ascii="Arial" w:cs="Arial" w:eastAsia="Arial" w:hAnsi="Arial"/>
          <w:sz w:val="15"/>
          <w:szCs w:val="15"/>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We also have products supplied by Global UniChip Corporation, or GUC, in Taiwan, from whom we purchase fully assembled and tested products. The wafers used by GUC in the assembly of our products are manufactured by TSMC in Taiwan. The assembly is done by GUC subcontracted assembly suppliers ASE, and Powertech Technology Inc, or PTI. Final testing of all of our products is handled by King Yuan Electronics Co., Ltd. or Sigurd Corporation under the supervision of our engineers. We depend on these third parties to supply us with material of a requested quantity in a timely manner that meets our standards for yield, cost and manufacturing quality. We do not have any long-term supply agreements with any of our manufacturing suppliers. If one or more of these vendors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and damage our customer relationships.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left="520"/>
        <w:spacing w:after="0"/>
        <w:rPr>
          <w:sz w:val="20"/>
          <w:szCs w:val="20"/>
          <w:color w:val="auto"/>
        </w:rPr>
      </w:pPr>
      <w:r>
        <w:rPr>
          <w:rFonts w:ascii="Arial" w:cs="Arial" w:eastAsia="Arial" w:hAnsi="Arial"/>
          <w:sz w:val="17"/>
          <w:szCs w:val="17"/>
          <w:b w:val="1"/>
          <w:bCs w:val="1"/>
          <w:i w:val="1"/>
          <w:iCs w:val="1"/>
          <w:color w:val="auto"/>
        </w:rPr>
        <w:t>If our foundry vendors do not achieve satisfactory yields or quality, our reputation and customer relationships could be harmed.</w:t>
      </w:r>
    </w:p>
    <w:p>
      <w:pPr>
        <w:spacing w:after="0" w:line="129"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74"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to keep more than minimal inventory on hand. As a result, we may not be able to meet customer needs during such a transition, which could delay shipments, cause production delays, result in a decline in our sales and damage our customer relationships.</w:t>
      </w:r>
    </w:p>
    <w:p>
      <w:pPr>
        <w:spacing w:after="0" w:line="189"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such as the 7nm process node, and potentially to new foundries. We depend on Samsung and TSMC, as the principal foundries for our products, to transition to new processes successfully. We cannot assure you that Samsung or TSMC will be able to effectively manage such transitions or that we will be able to maintain our relationship with Samsung or TSMC or develop relationships with new foundries. Moreover, as we utilize more advanced process nodes beyond 10nm, we are increasingly dependent upon Samsung and TSMC, who are the only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 As new processes become more prevalent, we expect to continue to integrate greater levels of functionality, as well as more end-customer and third-party intellectual property, into our solutions. We may not be able to achieve higher levels of design integration or deliver new integrated solutions on a timely basis.</w:t>
      </w:r>
    </w:p>
    <w:p>
      <w:pPr>
        <w:spacing w:after="0" w:line="175"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6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93"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We have invested significant resources to develop relationships with these industry leaders. We believe that utilizing next-generation development tools to design, simulate and verify our products will help us remain at the forefront of the video compression market, and develop solutions that utilize leading-edge technology on a rapid basis. If these relationships are not successful, we may be unable to develop new products or product enhancements in a timely manner, which could result in a loss of market share, a decrease in revenue or negatively impact our operating results.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ind w:right="60" w:firstLine="518"/>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7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products or services, or that our patents, trademarks and other intellectual property will not be challenged, invalidated or circumvented by others.</w:t>
      </w:r>
    </w:p>
    <w:p>
      <w:pPr>
        <w:spacing w:after="0" w:line="18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Although we are not aware of any unauthorized use of our intellectual property in the past, it is possible that unauthorized use of our intellectual property may have occurred or may occur without our knowledge. We cannot assure you that the steps we have taken will prevent unauthorized use of our intellectual property. Our failure to effectively protect our intellectual property could reduce the value of our technology in licensing arrangements or in cross-licensing negotiations.</w:t>
      </w:r>
    </w:p>
    <w:p>
      <w:pPr>
        <w:spacing w:after="0" w:line="158"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78"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62"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color w:val="auto"/>
        </w:rPr>
        <w:t>The semiconductor industry is characterized by vigorous protection and pursuit of intellectual property rights and positions, which has resulted in protracted and expensive litigation for many companies. Certain of our customers have received, and we expect, particularly to the extent we gain greater market visibility, that in the future we may receive, communications from others alleging our infringement of their patents, trade secrets or other intellectual property rights. In addition, certain of our end customers have been the subject of lawsuits alleging infringement of intellectual property rights by products incorporating our solutions, including the assertion that the alleged infringement may be attributable, at least in part, to our technology. Lawsuits resulting from such allegations could subject us to significant liability for damages and invalidate our proprietary rights, though this has not occurred to date. Any potential intellectual property litigation also could force us to do one or more of the following:</w:t>
      </w:r>
    </w:p>
    <w:p>
      <w:pPr>
        <w:spacing w:after="0" w:line="70" w:lineRule="exact"/>
        <w:rPr>
          <w:sz w:val="20"/>
          <w:szCs w:val="20"/>
          <w:color w:val="auto"/>
        </w:rPr>
      </w:pPr>
    </w:p>
    <w:p>
      <w:pPr>
        <w:ind w:left="1540" w:hanging="506"/>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stop selling products or using technology that contain the allegedly infringing intellectual property;</w:t>
      </w:r>
    </w:p>
    <w:p>
      <w:pPr>
        <w:spacing w:after="0" w:line="117" w:lineRule="exact"/>
        <w:rPr>
          <w:rFonts w:ascii="Arial" w:cs="Arial" w:eastAsia="Arial" w:hAnsi="Arial"/>
          <w:sz w:val="18"/>
          <w:szCs w:val="18"/>
          <w:color w:val="auto"/>
        </w:rPr>
      </w:pPr>
    </w:p>
    <w:p>
      <w:pPr>
        <w:ind w:left="1540" w:right="100" w:hanging="506"/>
        <w:spacing w:after="0" w:line="27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against others;</w:t>
      </w:r>
    </w:p>
    <w:p>
      <w:pPr>
        <w:spacing w:after="0" w:line="62" w:lineRule="exact"/>
        <w:rPr>
          <w:rFonts w:ascii="Arial" w:cs="Arial" w:eastAsia="Arial" w:hAnsi="Arial"/>
          <w:sz w:val="18"/>
          <w:szCs w:val="18"/>
          <w:color w:val="auto"/>
        </w:rPr>
      </w:pPr>
    </w:p>
    <w:p>
      <w:pPr>
        <w:ind w:left="1540" w:hanging="506"/>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may be found to be infringing;</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left="1540" w:right="160" w:hanging="506"/>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significant impairment of our intellectual property rights from any litigation we face could harm our business and our ability to compete.</w:t>
      </w:r>
    </w:p>
    <w:p>
      <w:pPr>
        <w:spacing w:after="0" w:line="23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170"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Although we have not incurred significant indemnity expenses related to intellectual property claims to date, we anticipate that we will receive requests for indemnity in the future pursuant to our license agreements with our customers. In addition, other customers or end customers with whom we do not have formal agreements requiring us to indemnify them may ask us to indemnify them if a claim is made as a condition to awarding future design wins to us. Because some of our ODMs and OEMs are larger than we are and have greater resources than we do, they may be more likely to be the target of an infringement claim by third parties than we would be, which could increase our chances of becoming involved in a future lawsuit. Although we have not yet been subject to such claims,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warranty and product liability claims and to product recalls.</w:t>
      </w:r>
    </w:p>
    <w:p>
      <w:pPr>
        <w:spacing w:after="0" w:line="225"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UAV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ind w:left="520"/>
        <w:spacing w:after="0"/>
        <w:rPr>
          <w:sz w:val="20"/>
          <w:szCs w:val="20"/>
          <w:color w:val="auto"/>
        </w:rPr>
      </w:pPr>
      <w:r>
        <w:rPr>
          <w:rFonts w:ascii="Arial" w:cs="Arial" w:eastAsia="Arial" w:hAnsi="Arial"/>
          <w:sz w:val="18"/>
          <w:szCs w:val="18"/>
          <w:b w:val="1"/>
          <w:bCs w:val="1"/>
          <w:i w:val="1"/>
          <w:iCs w:val="1"/>
          <w:color w:val="auto"/>
        </w:rPr>
        <w:t>A breach of our security systems may have a material adverse effect on our business.</w:t>
      </w:r>
    </w:p>
    <w:p>
      <w:pPr>
        <w:spacing w:after="0" w:line="225"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Our security systems are designed to maintain the physical security of our facilities and information systems and protect our customers’, suppliers’ and employees’ confidential information. Accidental or willful security breaches or other unauthorized access by third parties to our facilities or our information systems or the existence of computer viruses in our data or software could expose us to a risk of information loss and misappropriation of proprietary and confidential information. Security breaches, computer malware and computer hacking attacks have become more prevalent and sophisticated. Experienced computer programmers and hackers may be able to penetrate our security controls and misappropriate or compromise our confidential information or that of third parties or create system disruptions. Computer programmers and hackers also may be able to develop and deploy viruses, worms and other malicious software programs that attack our information systems and cause disruptions of our business. Data security breaches may also result from non-technical means, for example, actions by an employee. Any theft or misuse of this information could result in, among other things, damage to our reputation, allegations by our customers that we have not performed our contractual obligations, litigation by affected parties and possible financial obligations for liabilities and damages related to the theft or misuse of this information, any of which could have a material adverse effect on our business, financial condition, our reputation, and our relationships with our customers and partners.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Any security breaches or other unauthorized access by third parties to the systems of our cloud-based service providers or the existence of computer viruses in their data or software could expose us to a risk of information loss and misappropriation of confidential information. Since the techniques used to obtain unauthorized access or to sabotage systems change frequently and are often not recognized until launched against a target, we may be unable to anticipate these techniques or to implement adequate preventative measures.</w:t>
      </w:r>
    </w:p>
    <w:p>
      <w:pPr>
        <w:spacing w:after="0" w:line="178"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6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67" w:lineRule="exact"/>
        <w:rPr>
          <w:sz w:val="20"/>
          <w:szCs w:val="20"/>
          <w:color w:val="auto"/>
        </w:rPr>
      </w:pPr>
    </w:p>
    <w:p>
      <w:pPr>
        <w:ind w:right="260" w:firstLine="518"/>
        <w:spacing w:after="0" w:line="273" w:lineRule="auto"/>
        <w:rPr>
          <w:sz w:val="20"/>
          <w:szCs w:val="20"/>
          <w:color w:val="auto"/>
        </w:rPr>
      </w:pPr>
      <w:r>
        <w:rPr>
          <w:rFonts w:ascii="Arial" w:cs="Arial" w:eastAsia="Arial" w:hAnsi="Arial"/>
          <w:sz w:val="17"/>
          <w:szCs w:val="17"/>
          <w:color w:val="auto"/>
        </w:rPr>
        <w:t>Additionally, we incorporate third-party technology into some of our products, and we may do so in future products. The operation of our products could be impaired if errors occur in the third-party technology we use. It may be more difficult for us to correct any errors in a timely manner, if at all, because the development and maintenance of the technology is not within our control. We cannot assure you that these third parties will continue to make their technology, or improvements to the technology, available to us, or that they will continue to support and maintain their technology. Further, due to the limited number of vendors of some types of technology, it may be difficult to obtain new licenses or replace existing technology. Any impairment of the technology of or our relationship with these third parties could harm our business.</w:t>
      </w:r>
    </w:p>
    <w:p>
      <w:pPr>
        <w:spacing w:after="0" w:line="178" w:lineRule="exact"/>
        <w:rPr>
          <w:sz w:val="20"/>
          <w:szCs w:val="20"/>
          <w:color w:val="auto"/>
        </w:rPr>
      </w:pPr>
    </w:p>
    <w:p>
      <w:pPr>
        <w:ind w:right="520" w:firstLine="588"/>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62" w:lineRule="exact"/>
        <w:rPr>
          <w:sz w:val="20"/>
          <w:szCs w:val="20"/>
          <w:color w:val="auto"/>
        </w:rPr>
      </w:pPr>
    </w:p>
    <w:p>
      <w:pPr>
        <w:ind w:right="20" w:firstLine="588"/>
        <w:spacing w:after="0" w:line="255" w:lineRule="auto"/>
        <w:rPr>
          <w:sz w:val="20"/>
          <w:szCs w:val="20"/>
          <w:color w:val="auto"/>
        </w:rPr>
      </w:pPr>
      <w:r>
        <w:rPr>
          <w:rFonts w:ascii="Arial" w:cs="Arial" w:eastAsia="Arial" w:hAnsi="Arial"/>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 Department’s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right="20" w:firstLine="518"/>
        <w:spacing w:after="0" w:line="273" w:lineRule="auto"/>
        <w:rPr>
          <w:sz w:val="20"/>
          <w:szCs w:val="20"/>
          <w:color w:val="auto"/>
        </w:rPr>
      </w:pPr>
      <w:r>
        <w:rPr>
          <w:rFonts w:ascii="Arial" w:cs="Arial" w:eastAsia="Arial" w:hAnsi="Arial"/>
          <w:sz w:val="17"/>
          <w:szCs w:val="17"/>
          <w:color w:val="auto"/>
        </w:rPr>
        <w:t>Compliance with export and import regulations have not had a significant impact on our business to date, but 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governmental laws, regulations and other legal obligations related to privacy and data protection.</w:t>
      </w:r>
    </w:p>
    <w:p>
      <w:pPr>
        <w:spacing w:after="0" w:line="225"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The legislative and regulatory framework for privacy and data protection issues worldwide is rapidly evolving and is likely to remain uncertain for the foreseeable future. We collect personally identifiable information, or PII, and other data as part of our business processes and activities. This data is subject to a variety of U.S. and international laws and regulations, including oversight by various regulatory or other governmental bodies. Many foreign countries and governmental bodies, including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U.S. For example, effective May 2018, the European Union adopted the General Data Protection Regulation that imposed more stringent data protection requirements and provided for greater penalties for noncompliance. Any inability, or perceived inability, to adequately address privacy and data protection concerns, even if unfounded, or to comply with applicable laws, regulations, policies, industry standards, contractual obligations or other legal obligations, could result in additional cost and liability to us, damage our reputation and adversely affect our business.</w:t>
      </w:r>
    </w:p>
    <w:p>
      <w:pPr>
        <w:spacing w:after="0" w:line="16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70"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79"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79"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Some of our operations, as well as the operations of our contract manufacturers and foundry vendors and other suppliers, are also regulated under various other federal, state, local, foreign and international environmental laws and requirements, including those governing, among other matters, the management, disposal, handling, use, labeling of, and exposure to hazardous substances, and the discharge of pollutants into the air and water. Liability under environmental laws can be joint and several and without regard to comparative fault. We cannot assure you that violations of these laws will not occur in the future, as a result of human error, accident, equipment failure or other causes. Environmental laws and regulations have increasingly become more stringent over time. We expect that our products and operations will be affected by new environmental requirements on an ongoing basis, which will likely result in additional costs, which could adversely affect our business.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ind w:right="60" w:firstLine="518"/>
        <w:spacing w:after="0" w:line="259" w:lineRule="auto"/>
        <w:rPr>
          <w:sz w:val="20"/>
          <w:szCs w:val="20"/>
          <w:color w:val="auto"/>
        </w:rPr>
      </w:pPr>
      <w:r>
        <w:rPr>
          <w:rFonts w:ascii="Arial" w:cs="Arial" w:eastAsia="Arial" w:hAnsi="Arial"/>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8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Rapidly changing industry standards could make our video and image processing solutions obsolete, which would cause our operating results 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suffer.</w:t>
      </w:r>
    </w:p>
    <w:p>
      <w:pPr>
        <w:spacing w:after="0" w:line="103"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We design our video and image processing solutions to conform to video compression standards, including MPEG-2, H.264 and H.265,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As a result, our sales would suffer, and we could be required to make significant expenditures to develop new SoC solutions. For example, if the new H.265 video compression standard is not broadly adopted by our customers or potential customers, sales of our H.265 compliant solutions would suffer and we may be required to expend substantial resources to comply with an alternative video compression standard. In addition, existing standards may be challenged as infringing upon the intellectual property rights of other companies or may be superseded by new innovations or standards.</w:t>
      </w:r>
    </w:p>
    <w:p>
      <w:pPr>
        <w:spacing w:after="0" w:line="18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Products for communications applications are based on industry standards that are continually evolving. Our ability to compete in the future will depend on our ability to identify and ensure compliance with these evolving industry standards, including any new video compression standards. The emergence of new industry standards could render our solutions incompatible with products developed by other suppliers. As a result, we could be required to invest significant time and effort and to incur significant expense to redesign our solutions to ensure compliance with relevant standards. If our solutions are not in compliance with prevailing industry standards for a significant period of time, we could miss opportunities to achieve crucial design wins, which could harm our business.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22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recent global recession. These downturns have been characterized by diminished product demand, production overcapacity, high inventory levels and accelerated erosion of average selling prices. Any future downturns could harm our business and operating results. Furthermore, any significant upturn in the semiconductor industry could result in increased competition for access to third-party foundry and assembly capacity. We are dependent on the availability of this capacity to manufacture and assemble our SoC solutions. None of our third-party foundry or assembly contractors has provided assurances that adequate capacity will be available to us in the future.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right="380" w:firstLine="518"/>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6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73"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58"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6"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have research and development design centers and business development offices in China, Japan, Italy,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50" w:lineRule="exact"/>
        <w:rPr>
          <w:sz w:val="20"/>
          <w:szCs w:val="20"/>
          <w:color w:val="auto"/>
        </w:rPr>
      </w:pPr>
    </w:p>
    <w:p>
      <w:pPr>
        <w:ind w:left="1540" w:hanging="506"/>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and more difficult collection of receivables;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enforcing contracts generally;</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economic instability;</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geopolitical instability and military conflicts;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protection of our intellectual property and other assets;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compliance with local laws and regulations and unanticipated changes in local laws and regulations, including tax laws and regulations;</w:t>
      </w:r>
    </w:p>
    <w:p>
      <w:pPr>
        <w:spacing w:after="0" w:line="140" w:lineRule="exact"/>
        <w:rPr>
          <w:rFonts w:ascii="Arial" w:cs="Arial" w:eastAsia="Arial" w:hAnsi="Arial"/>
          <w:sz w:val="16"/>
          <w:szCs w:val="16"/>
          <w:color w:val="auto"/>
        </w:rPr>
      </w:pPr>
    </w:p>
    <w:p>
      <w:pPr>
        <w:ind w:left="1540" w:hanging="506"/>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travel restrictions;</w:t>
      </w:r>
    </w:p>
    <w:p>
      <w:pPr>
        <w:spacing w:after="0" w:line="117" w:lineRule="exact"/>
        <w:rPr>
          <w:rFonts w:ascii="Arial" w:cs="Arial" w:eastAsia="Arial" w:hAnsi="Arial"/>
          <w:sz w:val="18"/>
          <w:szCs w:val="18"/>
          <w:color w:val="auto"/>
        </w:rPr>
      </w:pPr>
    </w:p>
    <w:p>
      <w:pPr>
        <w:ind w:left="1540" w:right="760" w:hanging="506"/>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540" w:hanging="506"/>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fluctuations relating to our international operating activities;</w:t>
      </w:r>
    </w:p>
    <w:p>
      <w:pPr>
        <w:spacing w:after="0" w:line="117" w:lineRule="exact"/>
        <w:rPr>
          <w:rFonts w:ascii="Arial" w:cs="Arial" w:eastAsia="Arial" w:hAnsi="Arial"/>
          <w:sz w:val="18"/>
          <w:szCs w:val="18"/>
          <w:color w:val="auto"/>
        </w:rPr>
      </w:pPr>
    </w:p>
    <w:p>
      <w:pPr>
        <w:ind w:left="1540" w:right="260" w:hanging="506"/>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imposed by the U.S. government on our ability to do business with certain companies or in certain countries as a result of international political conflicts;</w:t>
      </w:r>
    </w:p>
    <w:p>
      <w:pPr>
        <w:spacing w:after="0" w:line="62" w:lineRule="exact"/>
        <w:rPr>
          <w:rFonts w:ascii="Arial" w:cs="Arial" w:eastAsia="Arial" w:hAnsi="Arial"/>
          <w:sz w:val="18"/>
          <w:szCs w:val="18"/>
          <w:color w:val="auto"/>
        </w:rPr>
      </w:pPr>
    </w:p>
    <w:p>
      <w:pPr>
        <w:ind w:left="1540" w:right="60" w:hanging="506"/>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62" w:lineRule="exact"/>
        <w:rPr>
          <w:rFonts w:ascii="Arial" w:cs="Arial" w:eastAsia="Arial" w:hAnsi="Arial"/>
          <w:sz w:val="18"/>
          <w:szCs w:val="18"/>
          <w:color w:val="auto"/>
        </w:rPr>
      </w:pPr>
    </w:p>
    <w:p>
      <w:pPr>
        <w:ind w:left="1540" w:hanging="506"/>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international operations;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standards and practices in the U.S.;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health issues and natural disasters; and</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 w:name="page53"/>
    <w:bookmarkEnd w:id="52"/>
    <w:p>
      <w:pPr>
        <w:ind w:right="280" w:firstLine="518"/>
        <w:spacing w:after="0" w:line="381" w:lineRule="auto"/>
        <w:rPr>
          <w:sz w:val="20"/>
          <w:szCs w:val="20"/>
          <w:color w:val="auto"/>
        </w:rPr>
      </w:pPr>
      <w:r>
        <w:rPr>
          <w:rFonts w:ascii="Arial" w:cs="Arial" w:eastAsia="Arial" w:hAnsi="Arial"/>
          <w:sz w:val="15"/>
          <w:szCs w:val="15"/>
          <w:b w:val="1"/>
          <w:bCs w:val="1"/>
          <w:i w:val="1"/>
          <w:iCs w:val="1"/>
          <w:color w:val="auto"/>
        </w:rPr>
        <w:t>Our third-party contractors and their suppliers are concentrated in South Korea, Taiwan and Japan, a region subject to earthquakes and other natural disasters. Any disruption to the operations of these contractors could cause significant delays in the production or shipment of our products.</w:t>
      </w:r>
    </w:p>
    <w:p>
      <w:pPr>
        <w:spacing w:after="0" w:line="101"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For example, in December 2006 a major earthquake occurred in Taiwan and in March 2011 a major earthquake and tsunami occurred in Japan. Although we are not aware of any significant damage suffered by our third-party contractors as a result of those natural disasters, the occurrence of additional earthquakes or other natural disasters could result in the disruption of our foundry vendor or assembly and test capacity. A disruption in the availability of image sensors from Sony Corporation as a result of the April 14, 2016 Kumamoto, Japan earthquake impacted our customers’ ability to build or launch cameras and, as a result, negatively impacted the timing and scope of demand for our SoCs in fiscal year 2017.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operations are interrupted, our business and reputation could suffer.</w:t>
      </w:r>
    </w:p>
    <w:p>
      <w:pPr>
        <w:spacing w:after="0" w:line="225"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Our operations and those of our manufacturers are vulnerable to interruption caused by technical breakdowns, computer hardware and software malfunctions, software viruses, infrastructure failures, fires, earthquakes, floods, power losses, telecommunications failures, terrorist attacks, wars, Internet failures and other events beyond our control. Any disruption in our services or operations could result in a reduction in revenue or a claim for substantial damages against us, regardless of whether we are responsible for that failure.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78"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7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Furthermore, investor perceptions of our company may suffer, and this could cause a decline in the market price of our ordinary shares. Any inability to provide reliable financial reports or prevent fraud could harm our business. We may not be able to effectively and timely implement necessary control changes and employee training to ensure continued compliance with the Sarbanes-Oxley Act and other regulatory and reporting requirements. We cannot assure you that in the future we will be able to continue to fully comply with the requirements of the Sarbanes-Oxley Act or that management or our auditors will conclude that our internal controls are effective in future periods. Irrespective of compliance with Section 404, any failure of our internal controls could have a material adverse effect on our stated results of operations and harm our reputation.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Changes to financial accounting standards may affect our results of operations and could cause us to change our business practices.</w:t>
      </w:r>
    </w:p>
    <w:p>
      <w:pPr>
        <w:spacing w:after="0" w:line="129"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including the new revenue recognition guidance and the associated adoption efforts, which are currently underway,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78"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Upon the adoption of ASC 606 on February 1, 2018,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3" w:name="page54"/>
    <w:bookmarkEnd w:id="53"/>
    <w:p>
      <w:pPr>
        <w:ind w:left="520"/>
        <w:spacing w:after="0"/>
        <w:rPr>
          <w:sz w:val="20"/>
          <w:szCs w:val="20"/>
          <w:color w:val="auto"/>
        </w:rPr>
      </w:pPr>
      <w:r>
        <w:rPr>
          <w:rFonts w:ascii="Arial" w:cs="Arial" w:eastAsia="Arial" w:hAnsi="Arial"/>
          <w:sz w:val="17"/>
          <w:szCs w:val="17"/>
          <w:b w:val="1"/>
          <w:bCs w:val="1"/>
          <w:i w:val="1"/>
          <w:iCs w:val="1"/>
          <w:color w:val="auto"/>
        </w:rPr>
        <w:t>The complexity of calculating our tax provision may result in errors that could result in restatements of our financial statements.</w:t>
      </w:r>
    </w:p>
    <w:p>
      <w:pPr>
        <w:spacing w:after="0" w:line="12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are incorporated in the Cayman Islands and our operations are subject to income and transaction taxes in the United States, China, Hong Kong, Japan, Italy,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Restatements are generally costly and could adversely impact our results of operations or have a negative impact on the trading price of our ordinary shares.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tax returns could adversely affect our results.</w:t>
      </w:r>
    </w:p>
    <w:p>
      <w:pPr>
        <w:spacing w:after="0" w:line="140"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tax effects of share-based compensation, or by changes in tax laws, regulations, accounting principles or interpretations thereof. For example, changes in tax laws, including the U.S. federal tax legislation commonly referred to as the Tax Cuts and Jobs Act of 2017 (Tax Act), as well as other factors, could cause us to experience fluctuations in our tax obligations and effective tax rates and otherwise adversely affect our tax positions and/or our tax liabilities.</w:t>
      </w:r>
    </w:p>
    <w:p>
      <w:pPr>
        <w:spacing w:after="0" w:line="15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Further, compliance with the Tax Act and the accounting for such provisions require accumulation of information not previously required or regularly produced. While we have completed our accounting for the effects of the Tax Act, additional regulatory guidance may still be issued by the applicable taxing authorities which could materially affect our tax obligations and effective tax rate.</w:t>
      </w:r>
    </w:p>
    <w:p>
      <w:pPr>
        <w:spacing w:after="0" w:line="85" w:lineRule="exact"/>
        <w:rPr>
          <w:sz w:val="20"/>
          <w:szCs w:val="20"/>
          <w:color w:val="auto"/>
        </w:rPr>
      </w:pPr>
    </w:p>
    <w:p>
      <w:pPr>
        <w:ind w:right="400" w:firstLine="518"/>
        <w:spacing w:after="0" w:line="312" w:lineRule="auto"/>
        <w:rPr>
          <w:sz w:val="20"/>
          <w:szCs w:val="20"/>
          <w:color w:val="auto"/>
        </w:rPr>
      </w:pPr>
      <w:r>
        <w:rPr>
          <w:rFonts w:ascii="Arial" w:cs="Arial" w:eastAsia="Arial" w:hAnsi="Arial"/>
          <w:sz w:val="16"/>
          <w:szCs w:val="16"/>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47"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38"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Our operations are subject to certain taxes, such as income and transaction taxes, in the Cayman Islands, the United States, China, Hong Kong, Japan, Italy,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on October 5, 2015 the Organization for Economic Co-operation and Development, or OECD, which represents a coalition of member countries, released its final reports from the BEPS Action Plans. The final reports include recommendations covering a number of issues, including country-by-country reporting, permanent establishment rules, transfer pricing rules and tax treaties. These changes, which have been or are in the process of being adopted by numerous countries, could increase uncertainties and may adversely affect our provision for income taxes. In December, 2018, the Cayman Islands passed the International Tax Co-Operation (Economic Substance) Law, 2018. Effective as of January 1, 2019, the new legislation requires Cayman Islands companies carrying one or more relevant activity to maintain a substantial economic presence in the Cayman Islands. This legislation may require us to make changes to the activities we carry on in the Cayman Islands, which could increase our cost of operations, and we could be subject to penalties for lack of compliance. We are not able to determine the impact on our operations and net income as of the current period, as the legislation remains subject to further clarification and interpretation.</w:t>
      </w:r>
    </w:p>
    <w:p>
      <w:pPr>
        <w:spacing w:after="0" w:line="178" w:lineRule="exact"/>
        <w:rPr>
          <w:sz w:val="20"/>
          <w:szCs w:val="20"/>
          <w:color w:val="auto"/>
        </w:rPr>
      </w:pPr>
    </w:p>
    <w:p>
      <w:pPr>
        <w:ind w:right="520" w:firstLine="518"/>
        <w:spacing w:after="0" w:line="264" w:lineRule="auto"/>
        <w:rPr>
          <w:sz w:val="20"/>
          <w:szCs w:val="20"/>
          <w:color w:val="auto"/>
        </w:rPr>
      </w:pPr>
      <w:r>
        <w:rPr>
          <w:rFonts w:ascii="Arial" w:cs="Arial" w:eastAsia="Arial" w:hAnsi="Arial"/>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ind w:right="40" w:firstLine="518"/>
        <w:spacing w:after="0" w:line="255" w:lineRule="auto"/>
        <w:rPr>
          <w:sz w:val="20"/>
          <w:szCs w:val="20"/>
          <w:color w:val="auto"/>
        </w:rPr>
      </w:pPr>
      <w:r>
        <w:rPr>
          <w:rFonts w:ascii="Arial" w:cs="Arial" w:eastAsia="Arial" w:hAnsi="Arial"/>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93"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U.S. federal income tax consequences for U.S. holders of our ordinary shares.</w:t>
      </w:r>
    </w:p>
    <w:p>
      <w:pPr>
        <w:spacing w:after="0" w:line="62"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Based on the current and anticipated valuation of our assets and the composition of our income and assets, we do not expect to be considered a passive foreign investment company, or PFIC, for U.S. federal income tax purposes for our 2020 fiscal year or the foreseeable future. However, a separate determination must be made at the close of each taxable year as to whether we are a PFIC for that taxable year, and we cannot assure you that we will not be a PFIC for our 2020 fiscal year or any future taxable year. Under current law, a non-U.S. corporation will be considered a PFIC for any taxable year if either</w:t>
      </w:r>
    </w:p>
    <w:p>
      <w:pPr>
        <w:spacing w:after="0" w:line="2" w:lineRule="exact"/>
        <w:rPr>
          <w:sz w:val="20"/>
          <w:szCs w:val="20"/>
          <w:color w:val="auto"/>
        </w:rPr>
      </w:pPr>
    </w:p>
    <w:p>
      <w:pPr>
        <w:ind w:right="40" w:firstLine="8"/>
        <w:spacing w:after="0" w:line="287" w:lineRule="auto"/>
        <w:tabs>
          <w:tab w:leader="none" w:pos="24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62" w:lineRule="exact"/>
        <w:rPr>
          <w:sz w:val="20"/>
          <w:szCs w:val="20"/>
          <w:color w:val="auto"/>
        </w:rPr>
      </w:pPr>
    </w:p>
    <w:p>
      <w:pPr>
        <w:ind w:right="500" w:firstLine="518"/>
        <w:spacing w:after="0" w:line="264" w:lineRule="auto"/>
        <w:rPr>
          <w:sz w:val="20"/>
          <w:szCs w:val="20"/>
          <w:color w:val="auto"/>
        </w:rPr>
      </w:pPr>
      <w:r>
        <w:rPr>
          <w:rFonts w:ascii="Arial" w:cs="Arial" w:eastAsia="Arial" w:hAnsi="Arial"/>
          <w:sz w:val="18"/>
          <w:szCs w:val="18"/>
          <w:color w:val="auto"/>
        </w:rPr>
        <w:t>The Tax Act may have changed the consequences to U.S. shareholders that own, or are considered to own, as a result of the attribution rules, ten percent or more of the voting power or value of the stock of a non-U.S. corporation (a 10% U.S. shareholder) under the U.S. Federal income tax law applicable to owners of U.S. controlled foreign corporations, or CFCs.</w:t>
      </w:r>
    </w:p>
    <w:p>
      <w:pPr>
        <w:spacing w:after="0" w:line="181"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color w:val="auto"/>
        </w:rPr>
        <w:t>Prior to the Tax Act, we did not believe that we, or any of our non-U.S. subsidiaries, were considered a CFC, which is a determination made daily based on whether the 10% U.S. shareholders together own, or are considered to own as a result of the attribution rules, more than fifty percent of the voting power or value of a non-U.S. corporation. The Tax Act repealed Internal Revenue Code Section 958(b)(4), which, unless clarified in future regulations or other guidance, may result in classification of certain of the Company’s foreign subsidiaries as CFCs with respect to any single 10% U.S. shareholder. This may be the result without regard to whether 10% U.S. shareholders together own, directly or indirectly, more than fifty percent of the voting power or value of the Company as was the case under prior rules. The repeal is effective as of the last taxable year of CFCs beginning before January 1, 2018 and for the taxable year of 10% U.S. shareholders in which the CFCs' taxable year ends.</w:t>
      </w:r>
    </w:p>
    <w:p>
      <w:pPr>
        <w:spacing w:after="0" w:line="178"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may adversely affect our operating results.</w:t>
      </w:r>
    </w:p>
    <w:p>
      <w:pPr>
        <w:spacing w:after="0" w:line="62"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camera manufacturers located outside the United States, primarily in Asia. Sales to customers in Asia accounted for approximately 87%, 79% and 73% of our total revenue in fiscal years 2019, 2018 and 2017, respectively. Sales to customers in Asia accounted for approximately 87% of our total revenue for the six months ended July 31, 2019.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5" w:name="page56"/>
    <w:bookmarkEnd w:id="55"/>
    <w:p>
      <w:pPr>
        <w:ind w:right="20" w:firstLine="518"/>
        <w:spacing w:after="0" w:line="255" w:lineRule="auto"/>
        <w:rPr>
          <w:sz w:val="20"/>
          <w:szCs w:val="20"/>
          <w:color w:val="auto"/>
        </w:rPr>
      </w:pPr>
      <w:r>
        <w:rPr>
          <w:rFonts w:ascii="Arial" w:cs="Arial" w:eastAsia="Arial" w:hAnsi="Arial"/>
          <w:sz w:val="18"/>
          <w:szCs w:val="18"/>
          <w:color w:val="auto"/>
        </w:rPr>
        <w:t>A significant number of our employees are located in Asia, principally Taiwan and China. Therefore, a portion of our payroll as well as certain other operating expenses are paid in currencies other than the U.S. dollar, such as the New Taiwan Dollar and the Chinese Yuan Renminbi.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and between the New Taiwan Dollar and the U.S. dollar, have been especially volatile in the recent past and these currency fluctuations may make it difficult for us to predict our operating results.</w:t>
      </w:r>
    </w:p>
    <w:p>
      <w:pPr>
        <w:spacing w:after="0" w:line="8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8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shareholders, reduce our financial resources and harm our business.</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the future, we may acquire other businesses, products or technologies. Other than our acquisition of VisLab S.r.l., or VisLab, in June 2015, we have not made any acquisitions to date and do not have any agreements or commitments for any specific acquisition at this time. Our ability to make and successfully integrate acquisitions is unproven. Our acquisition of VisLab and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cannot predict our future capital needs, and we may not be able to obtain additional financing to fund our operations.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Our marketable securities portfolio could experience a decline in market value, which could materially and adversely affect our financial results.</w:t>
      </w:r>
    </w:p>
    <w:p>
      <w:pPr>
        <w:spacing w:after="0" w:line="15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As of July 31, 2019, we had approximately $208.3 million in debt security investments. These investments consisted primarily of money market funds, commercial paper, asset-backed securities, U.S. government securities and debt securities of corporations which are focused on the preservation of our capital.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Eurozone crisis and the U.S. debt ceiling crisis, which affected various sectors of the financial markets and led to global credit and liquidity issues. If the global credit market continues to experience volatility or deteriorates, our investment portfolio may be impacted and some or all of our investments may experience other-than-temporary impairment which could adversely impact our financial results and position.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ordinary shares may be volatile, which could cause the value of your investment to decline.</w:t>
      </w:r>
    </w:p>
    <w:p>
      <w:pPr>
        <w:spacing w:after="0" w:line="117"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Since our initial public offering in October 2012, the market price of our ordinary shares has been highly volatile. The trading price of our ordinary shares is likely to remain volatile and could be subject to wide fluctuations in price in response to various factors, some of which are beyond our control. These factors include:</w:t>
      </w:r>
    </w:p>
    <w:p>
      <w:pPr>
        <w:spacing w:after="0" w:line="73" w:lineRule="exact"/>
        <w:rPr>
          <w:sz w:val="20"/>
          <w:szCs w:val="20"/>
          <w:color w:val="auto"/>
        </w:rPr>
      </w:pPr>
    </w:p>
    <w:p>
      <w:pPr>
        <w:jc w:val="center"/>
        <w:ind w:left="5620" w:right="1320" w:hanging="4586"/>
        <w:spacing w:after="0" w:line="778" w:lineRule="auto"/>
        <w:tabs>
          <w:tab w:leader="none" w:pos="15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including our ability to meet our future revenue and operating profit or loss projections;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left="1540" w:hanging="506"/>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operating results or those of other semiconductor or comparable companies;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economic performance or market valuations of companies perceived by investors to be comparable to us;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developments in the semiconductor industry as a whole;</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related markets;</w:t>
      </w:r>
    </w:p>
    <w:p>
      <w:pPr>
        <w:spacing w:after="0" w:line="117" w:lineRule="exact"/>
        <w:rPr>
          <w:rFonts w:ascii="Arial" w:cs="Arial" w:eastAsia="Arial" w:hAnsi="Arial"/>
          <w:sz w:val="18"/>
          <w:szCs w:val="18"/>
          <w:color w:val="auto"/>
        </w:rPr>
      </w:pPr>
    </w:p>
    <w:p>
      <w:pPr>
        <w:ind w:left="1540" w:right="440" w:hanging="506"/>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new products, significant contracts or orders, commercial relationships or capital commitments;</w:t>
      </w:r>
    </w:p>
    <w:p>
      <w:pPr>
        <w:spacing w:after="0" w:line="62" w:lineRule="exact"/>
        <w:rPr>
          <w:rFonts w:ascii="Arial" w:cs="Arial" w:eastAsia="Arial" w:hAnsi="Arial"/>
          <w:sz w:val="18"/>
          <w:szCs w:val="18"/>
          <w:color w:val="auto"/>
        </w:rPr>
      </w:pPr>
    </w:p>
    <w:p>
      <w:pPr>
        <w:ind w:left="1540" w:hanging="506"/>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solutions on a timely basis;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demand for our customers’ products;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 to our operations;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or social conditions in the markets where we sell our products;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225"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9"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62"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18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b w:val="1"/>
          <w:bCs w:val="1"/>
          <w:i w:val="1"/>
          <w:iCs w:val="1"/>
          <w:color w:val="auto"/>
        </w:rPr>
        <w:t>Our actual operating results may differ significantly from our guidance and investor expectations, which would likely cause our stock price to decline.</w:t>
      </w:r>
    </w:p>
    <w:p>
      <w:pPr>
        <w:spacing w:after="0" w:line="6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7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p>
      <w:pPr>
        <w:ind w:left="520"/>
        <w:spacing w:after="0"/>
        <w:rPr>
          <w:sz w:val="20"/>
          <w:szCs w:val="20"/>
          <w:color w:val="auto"/>
        </w:rPr>
      </w:pPr>
      <w:r>
        <w:rPr>
          <w:rFonts w:ascii="Arial" w:cs="Arial" w:eastAsia="Arial" w:hAnsi="Arial"/>
          <w:sz w:val="18"/>
          <w:szCs w:val="18"/>
          <w:b w:val="1"/>
          <w:bCs w:val="1"/>
          <w:i w:val="1"/>
          <w:iCs w:val="1"/>
          <w:color w:val="auto"/>
        </w:rPr>
        <w:t>The price of our ordinary shares could decrease as a result of shares being sold in the market.</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Sales of a substantial number of our ordinary shares in the public market, or the perception that these sales might occur, could cause the market price of our ordinary shares to decline. We filed registration statements on Form S-8 under the Securities Act to register shares for issuance under our 2004 Stock Plan, 2012 Equity Incentive Plan and the Amended and Restated 2012 Employee Stock Purchase Plan. Our 2012 Equity Incentive Plan and the Amended and Restated 2012 Employee Stock Purchase Plan provide for automatic increases in the shares reserved for issuance under these plans which could result in additional dilution to our shareholders. These shares can be freely sold in the public market upon issuance and vesting, subject to restrictions provided under the terms of the applicable plan and/or the option agreements entered into with option holders.</w:t>
      </w:r>
    </w:p>
    <w:p>
      <w:pPr>
        <w:spacing w:after="0" w:line="165"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24"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8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6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62" w:lineRule="exact"/>
        <w:rPr>
          <w:sz w:val="20"/>
          <w:szCs w:val="20"/>
          <w:color w:val="auto"/>
        </w:rPr>
      </w:pPr>
    </w:p>
    <w:p>
      <w:pPr>
        <w:ind w:left="1540" w:hanging="506"/>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w:t>
      </w:r>
    </w:p>
    <w:p>
      <w:pPr>
        <w:spacing w:after="0" w:line="117" w:lineRule="exact"/>
        <w:rPr>
          <w:rFonts w:ascii="Arial" w:cs="Arial" w:eastAsia="Arial" w:hAnsi="Arial"/>
          <w:sz w:val="18"/>
          <w:szCs w:val="18"/>
          <w:color w:val="auto"/>
        </w:rPr>
      </w:pPr>
    </w:p>
    <w:p>
      <w:pPr>
        <w:ind w:left="1540" w:right="340" w:hanging="506"/>
        <w:spacing w:after="0" w:line="277"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our board of directors or due to the resignation or departure of an existing board member;</w:t>
      </w:r>
    </w:p>
    <w:p>
      <w:pPr>
        <w:spacing w:after="0" w:line="62" w:lineRule="exact"/>
        <w:rPr>
          <w:rFonts w:ascii="Arial" w:cs="Arial" w:eastAsia="Arial" w:hAnsi="Arial"/>
          <w:sz w:val="18"/>
          <w:szCs w:val="18"/>
          <w:color w:val="auto"/>
        </w:rPr>
      </w:pPr>
    </w:p>
    <w:p>
      <w:pPr>
        <w:ind w:left="1540" w:right="220" w:hanging="506"/>
        <w:spacing w:after="0" w:line="277"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prohibition of cumulative voting in the election of directors which would otherwise allow less than a majority of shareholders to elect director candidates;</w:t>
      </w:r>
    </w:p>
    <w:p>
      <w:pPr>
        <w:spacing w:after="0" w:line="62" w:lineRule="exact"/>
        <w:rPr>
          <w:rFonts w:ascii="Arial" w:cs="Arial" w:eastAsia="Arial" w:hAnsi="Arial"/>
          <w:sz w:val="18"/>
          <w:szCs w:val="18"/>
          <w:color w:val="auto"/>
        </w:rPr>
      </w:pPr>
    </w:p>
    <w:p>
      <w:pPr>
        <w:ind w:left="1540" w:right="220" w:hanging="506"/>
        <w:spacing w:after="0" w:line="277"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for the advance notice of nominations for election to our board of directors or for proposing matters that can be acted upon at a shareholders’ meeting;</w:t>
      </w:r>
    </w:p>
    <w:p>
      <w:pPr>
        <w:spacing w:after="0" w:line="62"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15" w:lineRule="exact"/>
        <w:rPr>
          <w:rFonts w:ascii="Arial" w:cs="Arial" w:eastAsia="Arial" w:hAnsi="Arial"/>
          <w:sz w:val="16"/>
          <w:szCs w:val="16"/>
          <w:color w:val="auto"/>
        </w:rPr>
      </w:pPr>
    </w:p>
    <w:p>
      <w:pPr>
        <w:ind w:left="1540" w:right="240" w:hanging="506"/>
        <w:spacing w:after="0" w:line="277"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elimination of the rights of shareholders to call a special meeting of shareholders and to take action by written consent in lieu of a meeting; and</w:t>
      </w:r>
    </w:p>
    <w:p>
      <w:pPr>
        <w:spacing w:after="0" w:line="62" w:lineRule="exact"/>
        <w:rPr>
          <w:rFonts w:ascii="Arial" w:cs="Arial" w:eastAsia="Arial" w:hAnsi="Arial"/>
          <w:sz w:val="18"/>
          <w:szCs w:val="18"/>
          <w:color w:val="auto"/>
        </w:rPr>
      </w:pPr>
    </w:p>
    <w:p>
      <w:pPr>
        <w:ind w:left="1540" w:right="400" w:hanging="506"/>
        <w:spacing w:after="0" w:line="342" w:lineRule="auto"/>
        <w:tabs>
          <w:tab w:leader="none" w:pos="1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Holders of our ordinary shares may face difficulties in protecting their interests because we are incorporated under Cayman Islands law.</w:t>
      </w:r>
    </w:p>
    <w:p>
      <w:pPr>
        <w:spacing w:after="0" w:line="140"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8" w:name="page59"/>
    <w:bookmarkEnd w:id="58"/>
    <w:p>
      <w:pPr>
        <w:ind w:right="160" w:firstLine="518"/>
        <w:spacing w:after="0" w:line="257" w:lineRule="auto"/>
        <w:rPr>
          <w:sz w:val="20"/>
          <w:szCs w:val="20"/>
          <w:color w:val="auto"/>
        </w:rPr>
      </w:pPr>
      <w:r>
        <w:rPr>
          <w:rFonts w:ascii="Arial" w:cs="Arial" w:eastAsia="Arial" w:hAnsi="Arial"/>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Subject to limited exceptions, under Cayman Islands law, a minority shareholder may not bring a derivative action against the board of directors.</w:t>
      </w:r>
    </w:p>
    <w:p>
      <w:pPr>
        <w:spacing w:after="0" w:line="23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260" w:type="dxa"/>
            <w:vAlign w:val="bottom"/>
            <w:gridSpan w:val="6"/>
          </w:tcPr>
          <w:p>
            <w:pPr>
              <w:ind w:left="9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4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0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60" w:type="dxa"/>
            <w:vAlign w:val="bottom"/>
            <w:gridSpan w:val="2"/>
          </w:tcPr>
          <w:p>
            <w:pPr>
              <w:ind w:left="180"/>
              <w:spacing w:after="0"/>
              <w:rPr>
                <w:sz w:val="20"/>
                <w:szCs w:val="20"/>
                <w:color w:val="auto"/>
              </w:rPr>
            </w:pPr>
            <w:r>
              <w:rPr>
                <w:rFonts w:ascii="Arial" w:cs="Arial" w:eastAsia="Arial" w:hAnsi="Arial"/>
                <w:sz w:val="18"/>
                <w:szCs w:val="18"/>
                <w:color w:val="auto"/>
              </w:rPr>
              <w:t>3.1(1)</w:t>
            </w:r>
          </w:p>
        </w:tc>
        <w:tc>
          <w:tcPr>
            <w:tcW w:w="10200" w:type="dxa"/>
            <w:vAlign w:val="bottom"/>
            <w:gridSpan w:val="8"/>
          </w:tcPr>
          <w:p>
            <w:pPr>
              <w:spacing w:after="0"/>
              <w:rPr>
                <w:rFonts w:ascii="Arial" w:cs="Arial" w:eastAsia="Arial" w:hAnsi="Arial"/>
                <w:sz w:val="18"/>
                <w:szCs w:val="18"/>
                <w:color w:val="0000EE"/>
                <w:w w:val="97"/>
              </w:rPr>
            </w:pPr>
            <w:hyperlink r:id="rId78">
              <w:r>
                <w:rPr>
                  <w:rFonts w:ascii="Arial" w:cs="Arial" w:eastAsia="Arial" w:hAnsi="Arial"/>
                  <w:sz w:val="18"/>
                  <w:szCs w:val="18"/>
                  <w:color w:val="0000EE"/>
                  <w:w w:val="97"/>
                </w:rPr>
                <w:t>Amended and Restated Memorandum of Association and Second Amended and Restated Articles of Association of the Registrant.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64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w w:val="87"/>
              </w:rPr>
              <w:t>10.1+</w:t>
            </w:r>
          </w:p>
        </w:tc>
        <w:tc>
          <w:tcPr>
            <w:tcW w:w="640" w:type="dxa"/>
            <w:vAlign w:val="bottom"/>
          </w:tcPr>
          <w:p>
            <w:pPr>
              <w:spacing w:after="0"/>
              <w:rPr>
                <w:sz w:val="24"/>
                <w:szCs w:val="24"/>
                <w:color w:val="auto"/>
              </w:rPr>
            </w:pPr>
          </w:p>
        </w:tc>
        <w:tc>
          <w:tcPr>
            <w:tcW w:w="102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Amendment to Sales Representative Agreement by and between Ambarella, Inc. and WT Microelectronics Co., Ltd. dated as of June 1, 2019.</w:t>
              </w:r>
            </w:hyperlink>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10200" w:type="dxa"/>
            <w:vAlign w:val="bottom"/>
            <w:gridSpan w:val="8"/>
          </w:tcPr>
          <w:p>
            <w:pPr>
              <w:spacing w:after="0"/>
              <w:rPr>
                <w:rFonts w:ascii="Arial" w:cs="Arial" w:eastAsia="Arial" w:hAnsi="Arial"/>
                <w:sz w:val="18"/>
                <w:szCs w:val="18"/>
                <w:color w:val="0000EE"/>
                <w:w w:val="96"/>
              </w:rPr>
            </w:pPr>
            <w:hyperlink w:anchor="page65">
              <w:r>
                <w:rPr>
                  <w:rFonts w:ascii="Arial" w:cs="Arial" w:eastAsia="Arial" w:hAnsi="Arial"/>
                  <w:sz w:val="18"/>
                  <w:szCs w:val="18"/>
                  <w:color w:val="0000EE"/>
                  <w:w w:val="96"/>
                </w:rPr>
                <w:t>Certification of Principal Executive Officer Required Under Rule 13a-14(a) and 15d-14(a) of the Securities Exchange Act of 1934,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5">
              <w:r>
                <w:rPr>
                  <w:rFonts w:ascii="Arial" w:cs="Arial" w:eastAsia="Arial" w:hAnsi="Arial"/>
                  <w:sz w:val="18"/>
                  <w:szCs w:val="18"/>
                  <w:color w:val="0000EE"/>
                  <w:w w:val="84"/>
                </w:rPr>
                <w:t>amended.</w:t>
              </w:r>
            </w:hyperlink>
          </w:p>
        </w:tc>
        <w:tc>
          <w:tcPr>
            <w:tcW w:w="8920" w:type="dxa"/>
            <w:vAlign w:val="bottom"/>
            <w:tcBorders>
              <w:top w:val="single" w:sz="8" w:color="0000EE"/>
            </w:tcBorders>
            <w:gridSpan w:val="6"/>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95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Certification of Principal Financial Officer Required Under Rule 13a-14(a) and 15d-14(a) of the Securities Exchange Act of 1934, as</w:t>
              </w:r>
            </w:hyperlink>
          </w:p>
        </w:tc>
        <w:tc>
          <w:tcPr>
            <w:tcW w:w="6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6">
              <w:r>
                <w:rPr>
                  <w:rFonts w:ascii="Arial" w:cs="Arial" w:eastAsia="Arial" w:hAnsi="Arial"/>
                  <w:sz w:val="18"/>
                  <w:szCs w:val="18"/>
                  <w:color w:val="0000EE"/>
                  <w:w w:val="84"/>
                </w:rPr>
                <w:t>amended.</w:t>
              </w:r>
            </w:hyperlink>
          </w:p>
        </w:tc>
        <w:tc>
          <w:tcPr>
            <w:tcW w:w="95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w w:val="88"/>
              </w:rPr>
              <w:t>32.1±</w:t>
            </w:r>
          </w:p>
        </w:tc>
        <w:tc>
          <w:tcPr>
            <w:tcW w:w="640" w:type="dxa"/>
            <w:vAlign w:val="bottom"/>
          </w:tcPr>
          <w:p>
            <w:pPr>
              <w:spacing w:after="0"/>
              <w:rPr>
                <w:sz w:val="24"/>
                <w:szCs w:val="24"/>
                <w:color w:val="auto"/>
              </w:rPr>
            </w:pPr>
          </w:p>
        </w:tc>
        <w:tc>
          <w:tcPr>
            <w:tcW w:w="1020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Certification of Principal Executive Officer and Principal Financial Officer Required Under Rule 13a-14(b) of the Securities Exchange Act of</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1934, as amended, and 18 U.S.C. §1350.</w:t>
              </w:r>
            </w:hyperlink>
          </w:p>
        </w:tc>
        <w:tc>
          <w:tcPr>
            <w:tcW w:w="7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8"/>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0" w:type="dxa"/>
            <w:vAlign w:val="bottom"/>
            <w:gridSpan w:val="8"/>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8"/>
          </w:tcPr>
          <w:p>
            <w:pPr>
              <w:spacing w:after="0"/>
              <w:rPr>
                <w:sz w:val="20"/>
                <w:szCs w:val="20"/>
                <w:color w:val="auto"/>
              </w:rPr>
            </w:pPr>
            <w:r>
              <w:rPr>
                <w:rFonts w:ascii="Arial" w:cs="Arial" w:eastAsia="Arial" w:hAnsi="Arial"/>
                <w:sz w:val="18"/>
                <w:szCs w:val="18"/>
                <w:color w:val="auto"/>
              </w:rPr>
              <w:t>XBRL Taxonomy Schema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8"/>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8"/>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8"/>
          </w:tcPr>
          <w:p>
            <w:pPr>
              <w:spacing w:after="0"/>
              <w:rPr>
                <w:sz w:val="20"/>
                <w:szCs w:val="20"/>
                <w:color w:val="auto"/>
              </w:rPr>
            </w:pPr>
            <w:r>
              <w:rPr>
                <w:rFonts w:ascii="Arial" w:cs="Arial" w:eastAsia="Arial" w:hAnsi="Arial"/>
                <w:sz w:val="18"/>
                <w:szCs w:val="18"/>
                <w:color w:val="auto"/>
              </w:rPr>
              <w:t>XBRL Taxonomy Labels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8"/>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60" w:right="40" w:hanging="115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July 31, 2019,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8489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04" w:lineRule="exact"/>
        <w:rPr>
          <w:sz w:val="20"/>
          <w:szCs w:val="20"/>
          <w:color w:val="auto"/>
        </w:rPr>
      </w:pPr>
    </w:p>
    <w:p>
      <w:pPr>
        <w:ind w:left="520" w:right="100" w:hanging="512"/>
        <w:spacing w:after="0" w:line="258"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(No. 333-174838) Amendment No. 3 as filed with the Securities and Exchange Commission on September 12, 2012.</w:t>
      </w:r>
    </w:p>
    <w:p>
      <w:pPr>
        <w:spacing w:after="0" w:line="1" w:lineRule="exact"/>
        <w:rPr>
          <w:sz w:val="20"/>
          <w:szCs w:val="20"/>
          <w:color w:val="auto"/>
        </w:rPr>
      </w:pPr>
    </w:p>
    <w:p>
      <w:pPr>
        <w:ind w:left="520" w:right="380" w:hanging="512"/>
        <w:spacing w:after="0" w:line="250"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as Registrant determined the omitted information (i) is not material and (ii) would be competitively harmful to Registrant if publicly disclosed.</w:t>
      </w:r>
    </w:p>
    <w:p>
      <w:pPr>
        <w:spacing w:after="0" w:line="1" w:lineRule="exact"/>
        <w:rPr>
          <w:sz w:val="20"/>
          <w:szCs w:val="20"/>
          <w:color w:val="auto"/>
        </w:rPr>
      </w:pPr>
    </w:p>
    <w:p>
      <w:pPr>
        <w:ind w:left="520" w:hanging="512"/>
        <w:spacing w:after="0" w:line="253"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0" w:name="page61"/>
    <w:bookmarkEnd w:id="60"/>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AMBARELLA, INC.</w:t>
      </w:r>
    </w:p>
    <w:p>
      <w:pPr>
        <w:spacing w:after="0" w:line="229" w:lineRule="exact"/>
        <w:rPr>
          <w:sz w:val="20"/>
          <w:szCs w:val="20"/>
          <w:color w:val="auto"/>
        </w:rPr>
      </w:pPr>
    </w:p>
    <w:p>
      <w:pPr>
        <w:spacing w:after="0"/>
        <w:tabs>
          <w:tab w:leader="none" w:pos="5840" w:val="left"/>
          <w:tab w:leader="none" w:pos="8140" w:val="left"/>
        </w:tabs>
        <w:rPr>
          <w:sz w:val="20"/>
          <w:szCs w:val="20"/>
          <w:color w:val="auto"/>
        </w:rPr>
      </w:pPr>
      <w:r>
        <w:rPr>
          <w:rFonts w:ascii="Arial" w:cs="Arial" w:eastAsia="Arial" w:hAnsi="Arial"/>
          <w:sz w:val="18"/>
          <w:szCs w:val="18"/>
          <w:color w:val="auto"/>
        </w:rPr>
        <w:t>Date: September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14605</wp:posOffset>
            </wp:positionV>
            <wp:extent cx="32073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jc w:val="center"/>
        <w:ind w:left="6360"/>
        <w:spacing w:after="0"/>
        <w:rPr>
          <w:sz w:val="20"/>
          <w:szCs w:val="20"/>
          <w:color w:val="auto"/>
        </w:rPr>
      </w:pPr>
      <w:r>
        <w:rPr>
          <w:rFonts w:ascii="Arial" w:cs="Arial" w:eastAsia="Arial" w:hAnsi="Arial"/>
          <w:sz w:val="14"/>
          <w:szCs w:val="14"/>
          <w:b w:val="1"/>
          <w:bCs w:val="1"/>
          <w:color w:val="auto"/>
        </w:rPr>
        <w:t>Feng-Ming Wang</w:t>
      </w:r>
    </w:p>
    <w:p>
      <w:pPr>
        <w:jc w:val="center"/>
        <w:ind w:left="63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6" w:lineRule="exact"/>
        <w:rPr>
          <w:sz w:val="20"/>
          <w:szCs w:val="20"/>
          <w:color w:val="auto"/>
        </w:rPr>
      </w:pPr>
    </w:p>
    <w:p>
      <w:pPr>
        <w:spacing w:after="0"/>
        <w:tabs>
          <w:tab w:leader="none" w:pos="5840" w:val="left"/>
          <w:tab w:leader="none" w:pos="8160" w:val="left"/>
        </w:tabs>
        <w:rPr>
          <w:sz w:val="20"/>
          <w:szCs w:val="20"/>
          <w:color w:val="auto"/>
        </w:rPr>
      </w:pPr>
      <w:r>
        <w:rPr>
          <w:rFonts w:ascii="Arial" w:cs="Arial" w:eastAsia="Arial" w:hAnsi="Arial"/>
          <w:sz w:val="18"/>
          <w:szCs w:val="18"/>
          <w:color w:val="auto"/>
        </w:rPr>
        <w:t>Date: September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14605</wp:posOffset>
            </wp:positionV>
            <wp:extent cx="32073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jc w:val="center"/>
        <w:ind w:left="6360"/>
        <w:spacing w:after="0"/>
        <w:rPr>
          <w:sz w:val="20"/>
          <w:szCs w:val="20"/>
          <w:color w:val="auto"/>
        </w:rPr>
      </w:pPr>
      <w:r>
        <w:rPr>
          <w:rFonts w:ascii="Arial" w:cs="Arial" w:eastAsia="Arial" w:hAnsi="Arial"/>
          <w:sz w:val="14"/>
          <w:szCs w:val="14"/>
          <w:b w:val="1"/>
          <w:bCs w:val="1"/>
          <w:color w:val="auto"/>
        </w:rPr>
        <w:t>Kevin C. Eichler</w:t>
      </w:r>
    </w:p>
    <w:p>
      <w:pPr>
        <w:jc w:val="center"/>
        <w:ind w:left="636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800"/>
          </w:cols>
          <w:pgMar w:left="240" w:top="121" w:right="859" w:bottom="1440" w:gutter="0" w:footer="0" w:header="0"/>
        </w:sectPr>
      </w:pPr>
    </w:p>
    <w:bookmarkStart w:id="61" w:name="page62"/>
    <w:bookmarkEnd w:id="61"/>
    <w:p>
      <w:pPr>
        <w:ind w:left="10420"/>
        <w:spacing w:after="0"/>
        <w:rPr>
          <w:sz w:val="20"/>
          <w:szCs w:val="20"/>
          <w:color w:val="auto"/>
        </w:rPr>
      </w:pPr>
      <w:r>
        <w:rPr>
          <w:rFonts w:ascii="Arial" w:cs="Arial" w:eastAsia="Arial" w:hAnsi="Arial"/>
          <w:sz w:val="17"/>
          <w:szCs w:val="17"/>
          <w:b w:val="1"/>
          <w:bCs w:val="1"/>
          <w:color w:val="auto"/>
        </w:rPr>
        <w:t>Exhibit 10.1</w:t>
      </w:r>
    </w:p>
    <w:p>
      <w:pPr>
        <w:spacing w:after="0" w:line="22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color w:val="auto"/>
        </w:rPr>
        <w:t>CERTAIN IDENTIFIED INFORMATION HAS BEEN EXCLUDED FROM THE EXHIBIT BECAUSE IT IS BOTH (I) NOT MATERIAL AND (II) WOULD BE COMPETITIVELY HARMFUL IF PUBLICLY DISCLOSED, AND THE EXCLUDED TERMS HAVE BEEN MARKED AT THE APPROPRIATE PLACE WITH AN ASTERISK [*].</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Sales Representative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(June 1, 2019)</w:t>
      </w:r>
    </w:p>
    <w:p>
      <w:pPr>
        <w:spacing w:after="0" w:line="200" w:lineRule="exact"/>
        <w:rPr>
          <w:sz w:val="20"/>
          <w:szCs w:val="20"/>
          <w:color w:val="auto"/>
        </w:rPr>
      </w:pPr>
    </w:p>
    <w:p>
      <w:pPr>
        <w:spacing w:after="0" w:line="251"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This Amendment to the Sales Representative Agreement (the “</w:t>
      </w:r>
      <w:r>
        <w:rPr>
          <w:rFonts w:ascii="Arial" w:cs="Arial" w:eastAsia="Arial" w:hAnsi="Arial"/>
          <w:sz w:val="20"/>
          <w:szCs w:val="20"/>
          <w:u w:val="single" w:color="auto"/>
          <w:color w:val="auto"/>
        </w:rPr>
        <w:t>Amendment</w:t>
      </w:r>
      <w:r>
        <w:rPr>
          <w:rFonts w:ascii="Arial" w:cs="Arial" w:eastAsia="Arial" w:hAnsi="Arial"/>
          <w:sz w:val="20"/>
          <w:szCs w:val="20"/>
          <w:color w:val="auto"/>
        </w:rPr>
        <w:t>”) is made and entered into by and between Ambarella, Inc., a Cayman Island corporation having its registered offices located at PO Box 309GT, Ugland House, South Church Street, George Town, Grand Cayman, Cayman Islands (“</w:t>
      </w:r>
      <w:r>
        <w:rPr>
          <w:rFonts w:ascii="Arial" w:cs="Arial" w:eastAsia="Arial" w:hAnsi="Arial"/>
          <w:sz w:val="20"/>
          <w:szCs w:val="20"/>
          <w:u w:val="single" w:color="auto"/>
          <w:color w:val="auto"/>
        </w:rPr>
        <w:t>Company</w:t>
      </w:r>
      <w:r>
        <w:rPr>
          <w:rFonts w:ascii="Arial" w:cs="Arial" w:eastAsia="Arial" w:hAnsi="Arial"/>
          <w:sz w:val="20"/>
          <w:szCs w:val="20"/>
          <w:color w:val="auto"/>
        </w:rPr>
        <w:t>”), and WT Microelectronics Co., Ltd., a Taiwanese corporation, having its principal place of business at 14F, No. 738, Chung Cheng Road, Chung Ho City, Taipei Hsien, Taiwan, R.O.C., and its subsidiaries and affiliates (collectively referred to as “</w:t>
      </w:r>
      <w:r>
        <w:rPr>
          <w:rFonts w:ascii="Arial" w:cs="Arial" w:eastAsia="Arial" w:hAnsi="Arial"/>
          <w:sz w:val="20"/>
          <w:szCs w:val="20"/>
          <w:u w:val="single" w:color="auto"/>
          <w:color w:val="auto"/>
        </w:rPr>
        <w:t>Representative</w:t>
      </w:r>
      <w:r>
        <w:rPr>
          <w:rFonts w:ascii="Arial" w:cs="Arial" w:eastAsia="Arial" w:hAnsi="Arial"/>
          <w:sz w:val="20"/>
          <w:szCs w:val="20"/>
          <w:color w:val="auto"/>
        </w:rPr>
        <w:t>”).</w:t>
      </w:r>
    </w:p>
    <w:p>
      <w:pPr>
        <w:spacing w:after="0" w:line="195"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WHEREAS, Ambarella and Representative entered into a Sales Representative Agreement, effective as of January 31, 2011, as amended (the “</w:t>
      </w:r>
      <w:r>
        <w:rPr>
          <w:rFonts w:ascii="Arial" w:cs="Arial" w:eastAsia="Arial" w:hAnsi="Arial"/>
          <w:sz w:val="20"/>
          <w:szCs w:val="20"/>
          <w:u w:val="single" w:color="auto"/>
          <w:color w:val="auto"/>
        </w:rPr>
        <w:t>Agreement</w:t>
      </w:r>
      <w:r>
        <w:rPr>
          <w:rFonts w:ascii="Arial" w:cs="Arial" w:eastAsia="Arial" w:hAnsi="Arial"/>
          <w:sz w:val="20"/>
          <w:szCs w:val="20"/>
          <w:color w:val="auto"/>
        </w:rPr>
        <w:t>”), and wish to amend the Agreement as set forth below.</w:t>
      </w:r>
    </w:p>
    <w:p>
      <w:pPr>
        <w:spacing w:after="0" w:line="177" w:lineRule="exact"/>
        <w:rPr>
          <w:sz w:val="20"/>
          <w:szCs w:val="20"/>
          <w:color w:val="auto"/>
        </w:rPr>
      </w:pPr>
    </w:p>
    <w:p>
      <w:pPr>
        <w:ind w:right="80"/>
        <w:spacing w:after="0" w:line="316" w:lineRule="auto"/>
        <w:rPr>
          <w:sz w:val="20"/>
          <w:szCs w:val="20"/>
          <w:color w:val="auto"/>
        </w:rPr>
      </w:pPr>
      <w:r>
        <w:rPr>
          <w:rFonts w:ascii="Arial" w:cs="Arial" w:eastAsia="Arial" w:hAnsi="Arial"/>
          <w:sz w:val="18"/>
          <w:szCs w:val="18"/>
          <w:color w:val="auto"/>
        </w:rPr>
        <w:t>NOW, THEREFORE, in consideration of the terms and conditions set forth in this Amendment, and for other good and valuable consideration, the receipt and sufficiency of which is hereby acknowledged, the parties agree that the Agreement is hereby amended as follows:</w:t>
      </w:r>
    </w:p>
    <w:p>
      <w:pPr>
        <w:spacing w:after="0" w:line="130" w:lineRule="exact"/>
        <w:rPr>
          <w:sz w:val="20"/>
          <w:szCs w:val="20"/>
          <w:color w:val="auto"/>
        </w:rPr>
      </w:pPr>
    </w:p>
    <w:p>
      <w:pPr>
        <w:ind w:left="880" w:right="260" w:hanging="440"/>
        <w:spacing w:after="0" w:line="260" w:lineRule="auto"/>
        <w:tabs>
          <w:tab w:leader="none" w:pos="8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Unless otherwise defined herein, all capitalized terms set forth herein shall have the same meanings attributed to such terms in the Agreement.</w:t>
      </w:r>
    </w:p>
    <w:p>
      <w:pPr>
        <w:spacing w:after="0" w:line="203" w:lineRule="exact"/>
        <w:rPr>
          <w:rFonts w:ascii="Arial" w:cs="Arial" w:eastAsia="Arial" w:hAnsi="Arial"/>
          <w:sz w:val="20"/>
          <w:szCs w:val="20"/>
          <w:color w:val="auto"/>
        </w:rPr>
      </w:pPr>
    </w:p>
    <w:p>
      <w:pPr>
        <w:ind w:left="880" w:right="60" w:hanging="440"/>
        <w:spacing w:after="0" w:line="260" w:lineRule="auto"/>
        <w:tabs>
          <w:tab w:leader="none" w:pos="8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This Amendment shall be effective as of June 1, 2019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and expire or terminate upon the expiration or termination of the Agreement.</w:t>
      </w:r>
    </w:p>
    <w:p>
      <w:pPr>
        <w:spacing w:after="0" w:line="203" w:lineRule="exact"/>
        <w:rPr>
          <w:rFonts w:ascii="Arial" w:cs="Arial" w:eastAsia="Arial" w:hAnsi="Arial"/>
          <w:sz w:val="20"/>
          <w:szCs w:val="20"/>
          <w:color w:val="auto"/>
        </w:rPr>
      </w:pPr>
    </w:p>
    <w:p>
      <w:pPr>
        <w:ind w:left="880" w:right="120" w:hanging="440"/>
        <w:spacing w:after="0" w:line="244" w:lineRule="auto"/>
        <w:tabs>
          <w:tab w:leader="none" w:pos="88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Extension of Term</w:t>
      </w:r>
      <w:r>
        <w:rPr>
          <w:rFonts w:ascii="Arial" w:cs="Arial" w:eastAsia="Arial" w:hAnsi="Arial"/>
          <w:sz w:val="20"/>
          <w:szCs w:val="20"/>
          <w:color w:val="auto"/>
        </w:rPr>
        <w:t>. With effect from October 1, 2019, and subject to the provisions of Section 14 of the Agreement, the term of the Agreement shall be extended to and including September 30, 2022 (the “</w:t>
      </w:r>
      <w:r>
        <w:rPr>
          <w:rFonts w:ascii="Arial" w:cs="Arial" w:eastAsia="Arial" w:hAnsi="Arial"/>
          <w:sz w:val="20"/>
          <w:szCs w:val="20"/>
          <w:u w:val="single" w:color="auto"/>
          <w:color w:val="auto"/>
        </w:rPr>
        <w:t>Term</w:t>
      </w:r>
      <w:r>
        <w:rPr>
          <w:rFonts w:ascii="Arial" w:cs="Arial" w:eastAsia="Arial" w:hAnsi="Arial"/>
          <w:sz w:val="20"/>
          <w:szCs w:val="20"/>
          <w:color w:val="auto"/>
        </w:rPr>
        <w:t>”). If the parties continue to perform under the Agreement after the expiration of the foregoing Term, the Agreement will then automatically renew for successive fixed terms of twelve (12) months each unless terminated by written notice at least sixty (60) days prior to each consecutive anniversary date hereof.</w:t>
      </w:r>
    </w:p>
    <w:p>
      <w:pPr>
        <w:spacing w:after="0" w:line="221" w:lineRule="exact"/>
        <w:rPr>
          <w:rFonts w:ascii="Arial" w:cs="Arial" w:eastAsia="Arial" w:hAnsi="Arial"/>
          <w:sz w:val="20"/>
          <w:szCs w:val="20"/>
          <w:color w:val="auto"/>
        </w:rPr>
      </w:pPr>
    </w:p>
    <w:p>
      <w:pPr>
        <w:ind w:left="880" w:right="140" w:hanging="440"/>
        <w:spacing w:after="0" w:line="260" w:lineRule="auto"/>
        <w:tabs>
          <w:tab w:leader="none" w:pos="88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Stock Rotation Rights</w:t>
      </w:r>
      <w:r>
        <w:rPr>
          <w:rFonts w:ascii="Arial" w:cs="Arial" w:eastAsia="Arial" w:hAnsi="Arial"/>
          <w:sz w:val="20"/>
          <w:szCs w:val="20"/>
          <w:color w:val="auto"/>
        </w:rPr>
        <w:t>. Effective as of the Amendment Effective Date, the following stock rotation/return rights shall be deemed to be incorporated into the Agreement:</w:t>
      </w:r>
    </w:p>
    <w:p>
      <w:pPr>
        <w:spacing w:after="0" w:line="353" w:lineRule="exact"/>
        <w:rPr>
          <w:sz w:val="20"/>
          <w:szCs w:val="20"/>
          <w:color w:val="auto"/>
        </w:rPr>
      </w:pPr>
    </w:p>
    <w:p>
      <w:pPr>
        <w:ind w:left="1320" w:right="110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 Rotation/Return Rights</w:t>
      </w:r>
      <w:r>
        <w:rPr>
          <w:rFonts w:ascii="Arial" w:cs="Arial" w:eastAsia="Arial" w:hAnsi="Arial"/>
          <w:sz w:val="20"/>
          <w:szCs w:val="20"/>
          <w:color w:val="auto"/>
        </w:rPr>
        <w:t xml:space="preserve">. Representative may return a quantity of Products to COMPANY for credit once every [*] months, </w:t>
      </w:r>
      <w:r>
        <w:rPr>
          <w:rFonts w:ascii="Arial" w:cs="Arial" w:eastAsia="Arial" w:hAnsi="Arial"/>
          <w:sz w:val="20"/>
          <w:szCs w:val="20"/>
          <w:u w:val="single" w:color="auto"/>
          <w:color w:val="auto"/>
        </w:rPr>
        <w:t>provided that</w:t>
      </w:r>
      <w:r>
        <w:rPr>
          <w:rFonts w:ascii="Arial" w:cs="Arial" w:eastAsia="Arial" w:hAnsi="Arial"/>
          <w:sz w:val="20"/>
          <w:szCs w:val="20"/>
          <w:color w:val="auto"/>
        </w:rPr>
        <w:t>:</w:t>
      </w:r>
    </w:p>
    <w:p>
      <w:pPr>
        <w:spacing w:after="0" w:line="2" w:lineRule="exact"/>
        <w:rPr>
          <w:sz w:val="20"/>
          <w:szCs w:val="20"/>
          <w:color w:val="auto"/>
        </w:rPr>
      </w:pPr>
    </w:p>
    <w:p>
      <w:pPr>
        <w:ind w:left="1860" w:right="1100" w:hanging="434"/>
        <w:spacing w:after="0" w:line="244" w:lineRule="auto"/>
        <w:tabs>
          <w:tab w:leader="none" w:pos="1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total credit shall not exceed [*] during each [*] period of this Agreement (without rollover of any unused rotation balance and beginning as of the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2" w:name="page63"/>
    <w:bookmarkEnd w:id="62"/>
    <w:p>
      <w:pPr>
        <w:ind w:left="1420" w:right="1080" w:hanging="434"/>
        <w:spacing w:after="0" w:line="247" w:lineRule="auto"/>
        <w:tabs>
          <w:tab w:leader="none" w:pos="1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Products to be returned are limited to standard Products (non-standard products ordered by Representative for its customers are not returnable);</w:t>
      </w:r>
    </w:p>
    <w:p>
      <w:pPr>
        <w:spacing w:after="0" w:line="1" w:lineRule="exact"/>
        <w:rPr>
          <w:rFonts w:ascii="Arial" w:cs="Arial" w:eastAsia="Arial" w:hAnsi="Arial"/>
          <w:sz w:val="20"/>
          <w:szCs w:val="20"/>
          <w:color w:val="auto"/>
        </w:rPr>
      </w:pPr>
    </w:p>
    <w:p>
      <w:pPr>
        <w:ind w:left="1420" w:hanging="434"/>
        <w:spacing w:after="0"/>
        <w:tabs>
          <w:tab w:leader="none" w:pos="1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Products to be returned have been in Representative’s inventory for a period of at least ninety (90) days;</w:t>
      </w:r>
    </w:p>
    <w:p>
      <w:pPr>
        <w:ind w:left="1420" w:right="1080" w:hanging="434"/>
        <w:spacing w:after="0" w:line="239" w:lineRule="auto"/>
        <w:tabs>
          <w:tab w:leader="none" w:pos="1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date code of Product to be returned shall be less than two (2) years from the date of return for such Products;</w:t>
      </w:r>
    </w:p>
    <w:p>
      <w:pPr>
        <w:spacing w:after="0" w:line="1" w:lineRule="exact"/>
        <w:rPr>
          <w:rFonts w:ascii="Arial" w:cs="Arial" w:eastAsia="Arial" w:hAnsi="Arial"/>
          <w:sz w:val="20"/>
          <w:szCs w:val="20"/>
          <w:color w:val="auto"/>
        </w:rPr>
      </w:pPr>
    </w:p>
    <w:p>
      <w:pPr>
        <w:ind w:left="1420" w:hanging="434"/>
        <w:spacing w:after="0"/>
        <w:tabs>
          <w:tab w:leader="none" w:pos="1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Representative doesn’t have current backlog orders with COMPANY for such Products;</w:t>
      </w:r>
    </w:p>
    <w:p>
      <w:pPr>
        <w:ind w:left="1420" w:right="1080" w:hanging="434"/>
        <w:spacing w:after="0" w:line="239" w:lineRule="auto"/>
        <w:tabs>
          <w:tab w:leader="none" w:pos="1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freight for the returned Products is paid by Representative and the risk of carriage is borne by Representative; and</w:t>
      </w:r>
    </w:p>
    <w:p>
      <w:pPr>
        <w:spacing w:after="0" w:line="1" w:lineRule="exact"/>
        <w:rPr>
          <w:rFonts w:ascii="Arial" w:cs="Arial" w:eastAsia="Arial" w:hAnsi="Arial"/>
          <w:sz w:val="20"/>
          <w:szCs w:val="20"/>
          <w:color w:val="auto"/>
        </w:rPr>
      </w:pPr>
    </w:p>
    <w:p>
      <w:pPr>
        <w:jc w:val="both"/>
        <w:ind w:left="1420" w:right="1080" w:hanging="434"/>
        <w:spacing w:after="0"/>
        <w:tabs>
          <w:tab w:leader="none" w:pos="1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Representative places a corresponding purchase order (or multiple purchase orders) with COMPANY for other Products during the same month in which the return is made that is/are equal to or greater than the total dollar value of Products to be returned; and the Products ordered in the corresponding purchase order (or orders) are delivered during the same COMPANY fiscal quarter that COMPANY receives the returned Products.</w:t>
      </w:r>
    </w:p>
    <w:p>
      <w:pPr>
        <w:spacing w:after="0" w:line="198" w:lineRule="exact"/>
        <w:rPr>
          <w:sz w:val="20"/>
          <w:szCs w:val="20"/>
          <w:color w:val="auto"/>
        </w:rPr>
      </w:pPr>
    </w:p>
    <w:p>
      <w:pPr>
        <w:jc w:val="both"/>
        <w:ind w:left="880" w:right="1080"/>
        <w:spacing w:after="0" w:line="274" w:lineRule="auto"/>
        <w:rPr>
          <w:sz w:val="20"/>
          <w:szCs w:val="20"/>
          <w:color w:val="auto"/>
        </w:rPr>
      </w:pPr>
      <w:r>
        <w:rPr>
          <w:rFonts w:ascii="Arial" w:cs="Arial" w:eastAsia="Arial" w:hAnsi="Arial"/>
          <w:sz w:val="18"/>
          <w:szCs w:val="18"/>
          <w:color w:val="auto"/>
        </w:rPr>
        <w:t>Such returns may be made at Representative’s discretion in one shipment during the applicable six-month period or within thirty (30) days thereafter. The credit to be issued in respect of each such Product returned shall be issued by COMPANY within forty-five (45) calendar days after receipt of such Product by COMPANY and shall be issued in the amount of the actual net invoice price charged for same by COMPANY to Representative less any prior credits granted by COMPANY to Representative for the said Product. All Products that are returned in accordance with the provision must be unused in commerce (including board level products such as evaluation and development platforms), in factory shipped condition and in the original vacuum pack.”</w:t>
      </w:r>
    </w:p>
    <w:p>
      <w:pPr>
        <w:spacing w:after="0" w:line="183" w:lineRule="exact"/>
        <w:rPr>
          <w:sz w:val="20"/>
          <w:szCs w:val="20"/>
          <w:color w:val="auto"/>
        </w:rPr>
      </w:pPr>
    </w:p>
    <w:p>
      <w:pPr>
        <w:ind w:left="440" w:hanging="440"/>
        <w:spacing w:after="0" w:line="287" w:lineRule="auto"/>
        <w:tabs>
          <w:tab w:leader="none" w:pos="4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Except as otherwise provided in this Amendment, all terms and conditions of the Agreement shall remain in full force and effect. To the extent this Amendment conflicts with the Agreement, the terms and conditions of this Amendment shall control.</w:t>
      </w:r>
    </w:p>
    <w:p>
      <w:pPr>
        <w:spacing w:after="0" w:line="328" w:lineRule="exact"/>
        <w:rPr>
          <w:sz w:val="20"/>
          <w:szCs w:val="20"/>
          <w:color w:val="auto"/>
        </w:rPr>
      </w:pPr>
    </w:p>
    <w:p>
      <w:pPr>
        <w:ind w:left="2560"/>
        <w:spacing w:after="0"/>
        <w:rPr>
          <w:sz w:val="20"/>
          <w:szCs w:val="20"/>
          <w:color w:val="auto"/>
        </w:rPr>
      </w:pPr>
      <w:r>
        <w:rPr>
          <w:rFonts w:ascii="Arial" w:cs="Arial" w:eastAsia="Arial" w:hAnsi="Arial"/>
          <w:sz w:val="20"/>
          <w:szCs w:val="20"/>
          <w:color w:val="auto"/>
        </w:rPr>
        <w:t>(remainder of page intentionally left blank; 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777875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680" w:top="339"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IN WITNESS WHEREOF, the parties have executed this Amendment through their duly authorized representatives as set forth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40" w:type="dxa"/>
            <w:vAlign w:val="bottom"/>
            <w:gridSpan w:val="4"/>
          </w:tcPr>
          <w:p>
            <w:pPr>
              <w:spacing w:after="0"/>
              <w:rPr>
                <w:sz w:val="20"/>
                <w:szCs w:val="20"/>
                <w:color w:val="auto"/>
              </w:rPr>
            </w:pPr>
            <w:r>
              <w:rPr>
                <w:rFonts w:ascii="Arial" w:cs="Arial" w:eastAsia="Arial" w:hAnsi="Arial"/>
                <w:sz w:val="20"/>
                <w:szCs w:val="20"/>
                <w:b w:val="1"/>
                <w:bCs w:val="1"/>
                <w:color w:val="auto"/>
              </w:rPr>
              <w:t>DULY EXECUTED:</w:t>
            </w:r>
          </w:p>
        </w:tc>
        <w:tc>
          <w:tcPr>
            <w:tcW w:w="2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446"/>
        </w:trPr>
        <w:tc>
          <w:tcPr>
            <w:tcW w:w="4240" w:type="dxa"/>
            <w:vAlign w:val="bottom"/>
            <w:gridSpan w:val="4"/>
          </w:tcPr>
          <w:p>
            <w:pPr>
              <w:spacing w:after="0"/>
              <w:rPr>
                <w:sz w:val="20"/>
                <w:szCs w:val="20"/>
                <w:color w:val="auto"/>
              </w:rPr>
            </w:pPr>
            <w:r>
              <w:rPr>
                <w:rFonts w:ascii="Arial" w:cs="Arial" w:eastAsia="Arial" w:hAnsi="Arial"/>
                <w:sz w:val="20"/>
                <w:szCs w:val="20"/>
                <w:color w:val="auto"/>
              </w:rPr>
              <w:t>Signed for and on behalf of</w:t>
            </w:r>
          </w:p>
        </w:tc>
        <w:tc>
          <w:tcPr>
            <w:tcW w:w="4180" w:type="dxa"/>
            <w:vAlign w:val="bottom"/>
            <w:gridSpan w:val="3"/>
          </w:tcPr>
          <w:p>
            <w:pPr>
              <w:ind w:left="1580"/>
              <w:spacing w:after="0"/>
              <w:rPr>
                <w:sz w:val="20"/>
                <w:szCs w:val="20"/>
                <w:color w:val="auto"/>
              </w:rPr>
            </w:pPr>
            <w:r>
              <w:rPr>
                <w:rFonts w:ascii="Arial" w:cs="Arial" w:eastAsia="Arial" w:hAnsi="Arial"/>
                <w:sz w:val="20"/>
                <w:szCs w:val="20"/>
                <w:color w:val="auto"/>
              </w:rPr>
              <w:t>Signed for and on behalf of</w:t>
            </w:r>
          </w:p>
        </w:tc>
      </w:tr>
      <w:tr>
        <w:trPr>
          <w:trHeight w:val="446"/>
        </w:trPr>
        <w:tc>
          <w:tcPr>
            <w:tcW w:w="960" w:type="dxa"/>
            <w:vAlign w:val="bottom"/>
            <w:gridSpan w:val="2"/>
          </w:tcPr>
          <w:p>
            <w:pPr>
              <w:spacing w:after="0"/>
              <w:rPr>
                <w:sz w:val="20"/>
                <w:szCs w:val="20"/>
                <w:color w:val="auto"/>
              </w:rPr>
            </w:pPr>
            <w:r>
              <w:rPr>
                <w:rFonts w:ascii="Arial" w:cs="Arial" w:eastAsia="Arial" w:hAnsi="Arial"/>
                <w:sz w:val="20"/>
                <w:szCs w:val="20"/>
                <w:b w:val="1"/>
                <w:bCs w:val="1"/>
                <w:color w:val="auto"/>
                <w:w w:val="97"/>
              </w:rPr>
              <w:t>Ambarella</w:t>
            </w: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180" w:type="dxa"/>
            <w:vAlign w:val="bottom"/>
            <w:gridSpan w:val="3"/>
          </w:tcPr>
          <w:p>
            <w:pPr>
              <w:ind w:left="1580"/>
              <w:spacing w:after="0"/>
              <w:rPr>
                <w:sz w:val="20"/>
                <w:szCs w:val="20"/>
                <w:color w:val="auto"/>
              </w:rPr>
            </w:pPr>
            <w:r>
              <w:rPr>
                <w:rFonts w:ascii="Arial" w:cs="Arial" w:eastAsia="Arial" w:hAnsi="Arial"/>
                <w:sz w:val="20"/>
                <w:szCs w:val="20"/>
                <w:b w:val="1"/>
                <w:bCs w:val="1"/>
                <w:color w:val="auto"/>
                <w:w w:val="91"/>
              </w:rPr>
              <w:t>WT Microelectronics Co., Ltd.</w:t>
            </w:r>
          </w:p>
        </w:tc>
      </w:tr>
      <w:tr>
        <w:trPr>
          <w:trHeight w:val="617"/>
        </w:trPr>
        <w:tc>
          <w:tcPr>
            <w:tcW w:w="660" w:type="dxa"/>
            <w:vAlign w:val="bottom"/>
          </w:tcPr>
          <w:p>
            <w:pPr>
              <w:spacing w:after="0"/>
              <w:rPr>
                <w:sz w:val="20"/>
                <w:szCs w:val="20"/>
                <w:color w:val="auto"/>
              </w:rPr>
            </w:pPr>
            <w:r>
              <w:rPr>
                <w:rFonts w:ascii="Arial" w:cs="Arial" w:eastAsia="Arial" w:hAnsi="Arial"/>
                <w:sz w:val="20"/>
                <w:szCs w:val="20"/>
                <w:color w:val="auto"/>
                <w:w w:val="94"/>
              </w:rPr>
              <w:t>Signed:</w:t>
            </w:r>
          </w:p>
        </w:tc>
        <w:tc>
          <w:tcPr>
            <w:tcW w:w="300" w:type="dxa"/>
            <w:vAlign w:val="bottom"/>
          </w:tcPr>
          <w:p>
            <w:pPr>
              <w:spacing w:after="0"/>
              <w:rPr>
                <w:sz w:val="24"/>
                <w:szCs w:val="24"/>
                <w:color w:val="auto"/>
              </w:rPr>
            </w:pPr>
          </w:p>
        </w:tc>
        <w:tc>
          <w:tcPr>
            <w:tcW w:w="3280" w:type="dxa"/>
            <w:vAlign w:val="bottom"/>
            <w:gridSpan w:val="2"/>
          </w:tcPr>
          <w:p>
            <w:pPr>
              <w:ind w:left="40"/>
              <w:spacing w:after="0"/>
              <w:rPr>
                <w:sz w:val="20"/>
                <w:szCs w:val="20"/>
                <w:color w:val="auto"/>
              </w:rPr>
            </w:pPr>
            <w:r>
              <w:rPr>
                <w:rFonts w:ascii="Arial" w:cs="Arial" w:eastAsia="Arial" w:hAnsi="Arial"/>
                <w:sz w:val="20"/>
                <w:szCs w:val="20"/>
                <w:color w:val="auto"/>
              </w:rPr>
              <w:t>/s/ Feng-Ming Wang</w:t>
            </w:r>
          </w:p>
        </w:tc>
        <w:tc>
          <w:tcPr>
            <w:tcW w:w="4180" w:type="dxa"/>
            <w:vAlign w:val="bottom"/>
            <w:gridSpan w:val="3"/>
          </w:tcPr>
          <w:p>
            <w:pPr>
              <w:ind w:left="1580"/>
              <w:spacing w:after="0"/>
              <w:rPr>
                <w:sz w:val="20"/>
                <w:szCs w:val="20"/>
                <w:color w:val="auto"/>
              </w:rPr>
            </w:pPr>
            <w:r>
              <w:rPr>
                <w:rFonts w:ascii="Arial" w:cs="Arial" w:eastAsia="Arial" w:hAnsi="Arial"/>
                <w:sz w:val="20"/>
                <w:szCs w:val="20"/>
                <w:color w:val="auto"/>
              </w:rPr>
              <w:t>Signed:   /s/ Eric Cheng</w:t>
            </w:r>
          </w:p>
        </w:tc>
      </w:tr>
      <w:tr>
        <w:trPr>
          <w:trHeight w:val="20"/>
        </w:trPr>
        <w:tc>
          <w:tcPr>
            <w:tcW w:w="660" w:type="dxa"/>
            <w:vAlign w:val="bottom"/>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70"/>
        </w:trPr>
        <w:tc>
          <w:tcPr>
            <w:tcW w:w="4240" w:type="dxa"/>
            <w:vAlign w:val="bottom"/>
            <w:gridSpan w:val="4"/>
          </w:tcPr>
          <w:p>
            <w:pPr>
              <w:spacing w:after="0"/>
              <w:rPr>
                <w:sz w:val="20"/>
                <w:szCs w:val="20"/>
                <w:color w:val="auto"/>
              </w:rPr>
            </w:pPr>
            <w:r>
              <w:rPr>
                <w:rFonts w:ascii="Arial" w:cs="Arial" w:eastAsia="Arial" w:hAnsi="Arial"/>
                <w:sz w:val="20"/>
                <w:szCs w:val="20"/>
                <w:color w:val="auto"/>
              </w:rPr>
              <w:t>Printed Name: Feng-Ming Wang</w:t>
            </w:r>
          </w:p>
        </w:tc>
        <w:tc>
          <w:tcPr>
            <w:tcW w:w="4180" w:type="dxa"/>
            <w:vAlign w:val="bottom"/>
            <w:gridSpan w:val="3"/>
          </w:tcPr>
          <w:p>
            <w:pPr>
              <w:ind w:left="1580"/>
              <w:spacing w:after="0"/>
              <w:rPr>
                <w:sz w:val="20"/>
                <w:szCs w:val="20"/>
                <w:color w:val="auto"/>
              </w:rPr>
            </w:pPr>
            <w:r>
              <w:rPr>
                <w:rFonts w:ascii="Arial" w:cs="Arial" w:eastAsia="Arial" w:hAnsi="Arial"/>
                <w:sz w:val="20"/>
                <w:szCs w:val="20"/>
                <w:color w:val="auto"/>
              </w:rPr>
              <w:t>Printed Name: Eric Cheng</w:t>
            </w:r>
          </w:p>
        </w:tc>
      </w:tr>
      <w:tr>
        <w:trPr>
          <w:trHeight w:val="446"/>
        </w:trPr>
        <w:tc>
          <w:tcPr>
            <w:tcW w:w="4240" w:type="dxa"/>
            <w:vAlign w:val="bottom"/>
            <w:gridSpan w:val="4"/>
          </w:tcPr>
          <w:p>
            <w:pPr>
              <w:spacing w:after="0"/>
              <w:rPr>
                <w:sz w:val="20"/>
                <w:szCs w:val="20"/>
                <w:color w:val="auto"/>
              </w:rPr>
            </w:pPr>
            <w:r>
              <w:rPr>
                <w:rFonts w:ascii="Arial" w:cs="Arial" w:eastAsia="Arial" w:hAnsi="Arial"/>
                <w:sz w:val="20"/>
                <w:szCs w:val="20"/>
                <w:color w:val="auto"/>
              </w:rPr>
              <w:t>Title: President &amp; CEO</w:t>
            </w:r>
          </w:p>
        </w:tc>
        <w:tc>
          <w:tcPr>
            <w:tcW w:w="4180" w:type="dxa"/>
            <w:vAlign w:val="bottom"/>
            <w:gridSpan w:val="3"/>
          </w:tcPr>
          <w:p>
            <w:pPr>
              <w:ind w:left="1580"/>
              <w:spacing w:after="0"/>
              <w:rPr>
                <w:sz w:val="20"/>
                <w:szCs w:val="20"/>
                <w:color w:val="auto"/>
              </w:rPr>
            </w:pPr>
            <w:r>
              <w:rPr>
                <w:rFonts w:ascii="Arial" w:cs="Arial" w:eastAsia="Arial" w:hAnsi="Arial"/>
                <w:sz w:val="20"/>
                <w:szCs w:val="20"/>
                <w:color w:val="auto"/>
              </w:rPr>
              <w:t>Title: Chairman &amp; CEO</w:t>
            </w:r>
          </w:p>
        </w:tc>
      </w:tr>
      <w:tr>
        <w:trPr>
          <w:trHeight w:val="446"/>
        </w:trPr>
        <w:tc>
          <w:tcPr>
            <w:tcW w:w="4240" w:type="dxa"/>
            <w:vAlign w:val="bottom"/>
            <w:gridSpan w:val="4"/>
          </w:tcPr>
          <w:p>
            <w:pPr>
              <w:spacing w:after="0"/>
              <w:rPr>
                <w:sz w:val="20"/>
                <w:szCs w:val="20"/>
                <w:color w:val="auto"/>
              </w:rPr>
            </w:pPr>
            <w:r>
              <w:rPr>
                <w:rFonts w:ascii="Arial" w:cs="Arial" w:eastAsia="Arial" w:hAnsi="Arial"/>
                <w:sz w:val="20"/>
                <w:szCs w:val="20"/>
                <w:color w:val="auto"/>
              </w:rPr>
              <w:t>Date: July 23, 2019</w:t>
            </w:r>
          </w:p>
        </w:tc>
        <w:tc>
          <w:tcPr>
            <w:tcW w:w="4180" w:type="dxa"/>
            <w:vAlign w:val="bottom"/>
            <w:gridSpan w:val="3"/>
          </w:tcPr>
          <w:p>
            <w:pPr>
              <w:ind w:left="1580"/>
              <w:spacing w:after="0"/>
              <w:rPr>
                <w:sz w:val="20"/>
                <w:szCs w:val="20"/>
                <w:color w:val="auto"/>
              </w:rPr>
            </w:pPr>
            <w:r>
              <w:rPr>
                <w:rFonts w:ascii="Arial" w:cs="Arial" w:eastAsia="Arial" w:hAnsi="Arial"/>
                <w:sz w:val="20"/>
                <w:szCs w:val="20"/>
                <w:color w:val="auto"/>
              </w:rPr>
              <w:t>Date: July 3, 2019</w:t>
            </w:r>
          </w:p>
        </w:tc>
      </w:tr>
    </w:tbl>
    <w:p>
      <w:pPr>
        <w:sectPr>
          <w:pgSz w:w="11900" w:h="16838" w:orient="portrait"/>
          <w:cols w:equalWidth="0" w:num="1">
            <w:col w:w="10680"/>
          </w:cols>
          <w:pgMar w:left="240" w:top="555" w:right="9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hanging="254"/>
        <w:spacing w:after="0"/>
        <w:tabs>
          <w:tab w:leader="none" w:pos="7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26"/>
        <w:spacing w:after="0" w:line="342" w:lineRule="auto"/>
        <w:tabs>
          <w:tab w:leader="none" w:pos="763"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6"/>
        <w:spacing w:after="0" w:line="264" w:lineRule="auto"/>
        <w:tabs>
          <w:tab w:leader="none" w:pos="77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526"/>
        <w:spacing w:after="0" w:line="277" w:lineRule="auto"/>
        <w:tabs>
          <w:tab w:leader="none" w:pos="77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2019</w:t>
      </w:r>
    </w:p>
    <w:p>
      <w:pPr>
        <w:spacing w:after="0" w:line="23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Feng-Ming Wang</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-130810</wp:posOffset>
            </wp:positionV>
            <wp:extent cx="26327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Kevin C. Eichler, certify that:</w:t>
      </w:r>
    </w:p>
    <w:p>
      <w:pPr>
        <w:spacing w:after="0" w:line="225"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hanging="254"/>
        <w:spacing w:after="0"/>
        <w:tabs>
          <w:tab w:leader="none" w:pos="7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26"/>
        <w:spacing w:after="0" w:line="342" w:lineRule="auto"/>
        <w:tabs>
          <w:tab w:leader="none" w:pos="763"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6"/>
        <w:spacing w:after="0" w:line="264" w:lineRule="auto"/>
        <w:tabs>
          <w:tab w:leader="none" w:pos="773"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526"/>
        <w:spacing w:after="0" w:line="277" w:lineRule="auto"/>
        <w:tabs>
          <w:tab w:leader="none" w:pos="77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2019</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Kevin C. Eichler</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-130810</wp:posOffset>
            </wp:positionV>
            <wp:extent cx="28384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 Feng-Ming Wang, certify, pursuant to 18 U.S.C. Section 1350, as adopted pursuant to Section 906 of the Sarbanes-Oxley Act of 2002, that the Quarterly Report of Ambarella, Inc. on Form 10-Q for the fiscal quarter ended July 31, 2019 fully complies with the requirements of Section 13(a) or 15(d) of the Securities Exchange Act of 1934 and that information contained in such Quarterly Report on Form 10-Q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2019</w:t>
      </w:r>
    </w:p>
    <w:p>
      <w:pPr>
        <w:spacing w:after="0" w:line="23" w:lineRule="exact"/>
        <w:rPr>
          <w:sz w:val="20"/>
          <w:szCs w:val="20"/>
          <w:color w:val="auto"/>
        </w:rPr>
      </w:pPr>
    </w:p>
    <w:tbl>
      <w:tblPr>
        <w:tblLayout w:type="fixed"/>
        <w:tblInd w:w="728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Feng-Ming Wang</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40" w:type="dxa"/>
            <w:vAlign w:val="bottom"/>
          </w:tcPr>
          <w:p>
            <w:pPr>
              <w:spacing w:after="0" w:line="195" w:lineRule="exact"/>
              <w:rPr>
                <w:sz w:val="20"/>
                <w:szCs w:val="20"/>
                <w:color w:val="auto"/>
              </w:rPr>
            </w:pPr>
            <w:r>
              <w:rPr>
                <w:rFonts w:ascii="Arial" w:cs="Arial" w:eastAsia="Arial" w:hAnsi="Arial"/>
                <w:sz w:val="18"/>
                <w:szCs w:val="18"/>
                <w:color w:val="auto"/>
              </w:rPr>
              <w:t>Feng-Ming Wang</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 Kevin C. Eichler, certify, pursuant to 18 U.S.C. Section 1350, as adopted pursuant to Section 906 of the Sarbanes-Oxley Act of 2002, that the Quarterly Report of Ambarella, Inc. on Form 10-Q for the fiscal quarter ended July 31, 2019 fully complies with the requirements of Section 13(a) or 15(d) of the Securities Exchange Act of 1934 and that information contained in such Quarterly Report on Form 10-Q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2019</w:t>
      </w:r>
    </w:p>
    <w:p>
      <w:pPr>
        <w:spacing w:after="0" w:line="23" w:lineRule="exact"/>
        <w:rPr>
          <w:sz w:val="20"/>
          <w:szCs w:val="20"/>
          <w:color w:val="auto"/>
        </w:rPr>
      </w:pPr>
    </w:p>
    <w:tbl>
      <w:tblPr>
        <w:tblLayout w:type="fixed"/>
        <w:tblInd w:w="728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C. Eichler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40" w:type="dxa"/>
            <w:vAlign w:val="bottom"/>
          </w:tcPr>
          <w:p>
            <w:pPr>
              <w:spacing w:after="0" w:line="195" w:lineRule="exact"/>
              <w:rPr>
                <w:sz w:val="20"/>
                <w:szCs w:val="20"/>
                <w:color w:val="auto"/>
              </w:rPr>
            </w:pPr>
            <w:r>
              <w:rPr>
                <w:rFonts w:ascii="Arial" w:cs="Arial" w:eastAsia="Arial" w:hAnsi="Arial"/>
                <w:sz w:val="18"/>
                <w:szCs w:val="18"/>
                <w:color w:val="auto"/>
              </w:rPr>
              <w:t>Kevin C. Eichler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lowerRoman"/>
      <w:start w:val="2"/>
    </w:lvl>
  </w:abstractNum>
  <w:abstractNum w:abstractNumId="4">
    <w:nsid w:val="4E6AFB66"/>
    <w:multiLevelType w:val="hybridMultilevel"/>
    <w:lvl w:ilvl="0">
      <w:lvlJc w:val="left"/>
      <w:lvlText w:val="(%1)"/>
      <w:numFmt w:val="lowerRoman"/>
      <w:start w:val="8"/>
    </w:lvl>
  </w:abstractNum>
  <w:abstractNum w:abstractNumId="5">
    <w:nsid w:val="25E45D32"/>
    <w:multiLevelType w:val="hybridMultilevel"/>
    <w:lvl w:ilvl="0">
      <w:lvlJc w:val="left"/>
      <w:lvlText w:val="%1."/>
      <w:numFmt w:val="decimal"/>
      <w:start w:val="9"/>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04"/>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Roman"/>
      <w:start w:val="1"/>
    </w:lvl>
  </w:abstractNum>
  <w:abstractNum w:abstractNumId="24">
    <w:nsid w:val="189A769B"/>
    <w:multiLevelType w:val="hybridMultilevel"/>
    <w:lvl w:ilvl="0">
      <w:lvlJc w:val="left"/>
      <w:lvlText w:val="%1."/>
      <w:numFmt w:val="lowerRoman"/>
      <w:start w:val="2"/>
    </w:lvl>
  </w:abstractNum>
  <w:abstractNum w:abstractNumId="25">
    <w:nsid w:val="54E49EB4"/>
    <w:multiLevelType w:val="hybridMultilevel"/>
    <w:lvl w:ilvl="0">
      <w:lvlJc w:val="left"/>
      <w:lvlText w:val="%1."/>
      <w:numFmt w:val="decimal"/>
      <w:start w:val="5"/>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78" Type="http://schemas.openxmlformats.org/officeDocument/2006/relationships/hyperlink" Target="http://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2019-12-28T06:33:23Z</dcterms:created>
  <dcterms:modified xsi:type="dcterms:W3CDTF">2019-12-28T06:33:23Z</dcterms:modified>
</cp:coreProperties>
</file>