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mba-20230131.htm"/>
      <w:bookmarkStart w:id="1" w:name="ksamba20230131"/>
      <w:bookmarkEnd w:id="0"/>
      <w:bookmarkEnd w:id="1"/>
      <w:r>
        <w:rPr/>
        <w:t> </w:t>
      </w:r>
    </w:p>
    <w:p>
      <w:pPr>
        <w:pStyle w:val="TextBody"/>
        <w:pBdr>
          <w:top w:val="double" w:sz="6" w:space="1" w:color="000000"/>
        </w:pBdr>
        <w:spacing w:before="40" w:after="0"/>
        <w:jc w:val="center"/>
        <w:rPr>
          <w:rFonts w:ascii="Times New Roman" w:hAnsi="Times New Roman"/>
          <w:sz w:val="20"/>
        </w:rPr>
      </w:pPr>
      <w:r>
        <w:rPr>
          <w:rFonts w:ascii="Times New Roman;serif" w:hAnsi="Times New Roman;serif"/>
          <w:b/>
          <w:sz w:val="28"/>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8"/>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60" w:after="0"/>
        <w:jc w:val="center"/>
        <w:rPr>
          <w:rFonts w:ascii="Times New Roman" w:hAnsi="Times New Roman"/>
          <w:sz w:val="20"/>
        </w:rPr>
      </w:pPr>
      <w:r>
        <w:rPr>
          <w:rFonts w:ascii="Times New Roman;serif" w:hAnsi="Times New Roman;serif"/>
          <w:b/>
          <w:sz w:val="28"/>
        </w:rPr>
        <w:t>FORM 10-K</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40" w:after="0"/>
        <w:jc w:val="left"/>
        <w:rPr>
          <w:rFonts w:ascii="Times New Roman" w:hAnsi="Times New Roman"/>
          <w:sz w:val="20"/>
        </w:rPr>
      </w:pPr>
      <w:r>
        <w:rPr>
          <w:rFonts w:ascii="Times New Roman;serif" w:hAnsi="Times New Roman;serif"/>
          <w:b/>
          <w:sz w:val="18"/>
        </w:rPr>
        <w:t>(Mark One)</w:t>
      </w:r>
      <w:r>
        <w:rPr>
          <w:rFonts w:ascii="Times New Roman" w:hAnsi="Times New Roman"/>
          <w:sz w:val="20"/>
        </w:rPr>
        <w:t xml:space="preserve"> </w:t>
      </w:r>
    </w:p>
    <w:p>
      <w:pPr>
        <w:pStyle w:val="TextBody"/>
        <w:spacing w:before="0" w:after="0"/>
        <w:jc w:val="left"/>
        <w:rPr/>
      </w:pPr>
      <w:r>
        <w:rPr/>
        <w:t xml:space="preserve">☒ </w:t>
      </w: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p>
      <w:pPr>
        <w:pStyle w:val="TextBody"/>
        <w:spacing w:before="40" w:after="0"/>
        <w:jc w:val="center"/>
        <w:rPr>
          <w:rFonts w:ascii="Times New Roman;serif" w:hAnsi="Times New Roman;serif"/>
          <w:b/>
          <w:sz w:val="18"/>
        </w:rPr>
      </w:pPr>
      <w:r>
        <w:rPr>
          <w:rFonts w:ascii="Times New Roman;serif" w:hAnsi="Times New Roman;serif"/>
          <w:b/>
          <w:sz w:val="18"/>
        </w:rPr>
        <w:t>For the fiscal year ended January 31, 2023</w:t>
      </w:r>
    </w:p>
    <w:p>
      <w:pPr>
        <w:pStyle w:val="TextBody"/>
        <w:spacing w:before="40" w:after="0"/>
        <w:jc w:val="center"/>
        <w:rPr>
          <w:rFonts w:ascii="Times New Roman" w:hAnsi="Times New Roman"/>
          <w:sz w:val="20"/>
        </w:rPr>
      </w:pPr>
      <w:r>
        <w:rPr>
          <w:rFonts w:ascii="Times New Roman;serif" w:hAnsi="Times New Roman;serif"/>
          <w:b/>
          <w:sz w:val="18"/>
        </w:rPr>
        <w:t>OR</w:t>
      </w:r>
      <w:r>
        <w:rPr>
          <w:rFonts w:ascii="Times New Roman" w:hAnsi="Times New Roman"/>
          <w:sz w:val="20"/>
        </w:rPr>
        <w:t xml:space="preserve"> </w:t>
      </w:r>
    </w:p>
    <w:p>
      <w:pPr>
        <w:pStyle w:val="TextBody"/>
        <w:spacing w:before="40" w:after="0"/>
        <w:jc w:val="left"/>
        <w:rPr/>
      </w:pPr>
      <w:r>
        <w:rPr/>
        <w:t xml:space="preserve">☐ </w:t>
      </w: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18"/>
        </w:rPr>
        <w:t>For the transition period from</w:t>
      </w:r>
      <w:r>
        <w:rPr>
          <w:rFonts w:ascii="Times New Roman" w:hAnsi="Times New Roman"/>
          <w:sz w:val="20"/>
          <w:u w:val="single"/>
        </w:rPr>
        <w:t xml:space="preserve"> </w:t>
      </w:r>
      <w:r>
        <w:rPr>
          <w:rFonts w:ascii="Times New Roman;serif" w:hAnsi="Times New Roman;serif"/>
          <w:b/>
          <w:sz w:val="18"/>
        </w:rPr>
        <w:t>to</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18"/>
        </w:rPr>
        <w:t>Commission File Number: 001-35667</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60" w:after="0"/>
        <w:jc w:val="center"/>
        <w:rPr>
          <w:rFonts w:ascii="Times New Roman" w:hAnsi="Times New Roman"/>
          <w:sz w:val="20"/>
        </w:rPr>
      </w:pPr>
      <w:r>
        <w:rPr>
          <w:rFonts w:ascii="Times New Roman;serif" w:hAnsi="Times New Roman;serif"/>
          <w:b/>
          <w:sz w:val="40"/>
        </w:rPr>
        <w:t>AMBARELLA,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18"/>
        </w:rPr>
        <w:t>(Exact name of registrant as specified in its charter)</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0" w:after="0"/>
        <w:jc w:val="left"/>
        <w:rPr/>
      </w:pPr>
      <w:r>
        <w:rPr/>
        <w:t> </w:t>
      </w:r>
    </w:p>
    <w:tbl>
      <w:tblPr>
        <w:tblW w:w="4558" w:type="dxa"/>
        <w:jc w:val="left"/>
        <w:tblInd w:w="0" w:type="dxa"/>
        <w:tblCellMar>
          <w:top w:w="28" w:type="dxa"/>
          <w:left w:w="28" w:type="dxa"/>
          <w:bottom w:w="28" w:type="dxa"/>
          <w:right w:w="28" w:type="dxa"/>
        </w:tblCellMar>
      </w:tblPr>
      <w:tblGrid>
        <w:gridCol w:w="2926"/>
        <w:gridCol w:w="146"/>
        <w:gridCol w:w="1486"/>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Cayman Islands</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98-0459628</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3101 Jay Street</w:t>
            </w:r>
          </w:p>
          <w:p>
            <w:pPr>
              <w:pStyle w:val="TableContents"/>
              <w:spacing w:before="0" w:after="20"/>
              <w:ind w:left="0" w:right="0" w:hanging="0"/>
              <w:jc w:val="center"/>
              <w:rPr>
                <w:rFonts w:ascii="Times New Roman;serif" w:hAnsi="Times New Roman;serif"/>
                <w:b/>
                <w:sz w:val="18"/>
              </w:rPr>
            </w:pPr>
            <w:r>
              <w:rPr>
                <w:rFonts w:ascii="Times New Roman;serif" w:hAnsi="Times New Roman;serif"/>
                <w:b/>
                <w:sz w:val="18"/>
              </w:rPr>
              <w:t>Santa Clara, California</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95054</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40" w:after="0"/>
        <w:jc w:val="center"/>
        <w:rPr>
          <w:rFonts w:ascii="Times New Roman" w:hAnsi="Times New Roman"/>
          <w:sz w:val="20"/>
        </w:rPr>
      </w:pPr>
      <w:r>
        <w:rPr>
          <w:rFonts w:ascii="Times New Roman;serif" w:hAnsi="Times New Roman;serif"/>
          <w:b/>
          <w:sz w:val="18"/>
        </w:rPr>
        <w:t>Registrant’s telephone number, including area code: (408) 734-8888</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18"/>
        </w:rPr>
        <w:t>Securities registered pursuant to Section 12(b) of the Act:</w:t>
      </w:r>
      <w:r>
        <w:rPr>
          <w:rFonts w:ascii="Times New Roman" w:hAnsi="Times New Roman"/>
          <w:sz w:val="20"/>
        </w:rPr>
        <w:t xml:space="preserve"> </w:t>
      </w:r>
    </w:p>
    <w:tbl>
      <w:tblPr>
        <w:tblW w:w="7908" w:type="dxa"/>
        <w:jc w:val="left"/>
        <w:tblInd w:w="0" w:type="dxa"/>
        <w:tblCellMar>
          <w:top w:w="28" w:type="dxa"/>
          <w:left w:w="28" w:type="dxa"/>
          <w:bottom w:w="28" w:type="dxa"/>
          <w:right w:w="28" w:type="dxa"/>
        </w:tblCellMar>
      </w:tblPr>
      <w:tblGrid>
        <w:gridCol w:w="3436"/>
        <w:gridCol w:w="1246"/>
        <w:gridCol w:w="3226"/>
      </w:tblGrid>
      <w:tr>
        <w:trPr/>
        <w:tc>
          <w:tcPr>
            <w:tcW w:w="343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436"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24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Trading Symbol</w:t>
            </w:r>
          </w:p>
        </w:tc>
        <w:tc>
          <w:tcPr>
            <w:tcW w:w="322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436"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Ordinary Shares, $0.00045 Par Value Per Share</w:t>
            </w:r>
          </w:p>
        </w:tc>
        <w:tc>
          <w:tcPr>
            <w:tcW w:w="1246" w:type="dxa"/>
            <w:tcBorders>
              <w:bottom w:val="single" w:sz="4" w:space="0" w:color="000000"/>
              <w:right w:val="single" w:sz="4" w:space="0" w:color="000000"/>
            </w:tcBorders>
            <w:shd w:fill="auto" w:val="clear"/>
            <w:tcMar>
              <w:top w:w="0" w:type="dxa"/>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AMBA</w:t>
            </w:r>
          </w:p>
        </w:tc>
        <w:tc>
          <w:tcPr>
            <w:tcW w:w="3226" w:type="dxa"/>
            <w:tcBorders>
              <w:bottom w:val="single" w:sz="4" w:space="0" w:color="000000"/>
              <w:right w:val="single" w:sz="4" w:space="0" w:color="000000"/>
            </w:tcBorders>
            <w:shd w:fill="auto" w:val="clear"/>
            <w:tcMar>
              <w:top w:w="0" w:type="dxa"/>
              <w:left w:w="0" w:type="dxa"/>
            </w:tcMar>
            <w:vAlign w:val="center"/>
          </w:tcPr>
          <w:p>
            <w:pPr>
              <w:pStyle w:val="TableContents"/>
              <w:spacing w:before="40" w:after="0"/>
              <w:ind w:left="0" w:right="0" w:hanging="0"/>
              <w:jc w:val="center"/>
              <w:rPr>
                <w:rFonts w:ascii="Times New Roman;serif" w:hAnsi="Times New Roman;serif"/>
                <w:b w:val="false"/>
                <w:sz w:val="16"/>
              </w:rPr>
            </w:pPr>
            <w:r>
              <w:rPr>
                <w:rFonts w:ascii="Times New Roman;serif" w:hAnsi="Times New Roman;serif"/>
                <w:b w:val="false"/>
                <w:sz w:val="16"/>
              </w:rPr>
              <w:t>The Nasdaq Global Market</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sz w:val="18"/>
        </w:rPr>
        <w:t>Securities registered pursuant to Section 12(g) of the Act:</w:t>
      </w:r>
      <w:r>
        <w:rPr>
          <w:rFonts w:ascii="Times New Roman" w:hAnsi="Times New Roman"/>
          <w:sz w:val="20"/>
        </w:rPr>
        <w:t xml:space="preserve"> </w:t>
      </w:r>
    </w:p>
    <w:p>
      <w:pPr>
        <w:pStyle w:val="TextBody"/>
        <w:spacing w:before="40" w:after="0"/>
        <w:jc w:val="center"/>
        <w:rPr>
          <w:rFonts w:ascii="Times New Roman" w:hAnsi="Times New Roman"/>
          <w:sz w:val="20"/>
        </w:rPr>
      </w:pPr>
      <w:r>
        <w:rPr>
          <w:rFonts w:ascii="Times New Roman;serif" w:hAnsi="Times New Roman;serif"/>
          <w:b/>
          <w:sz w:val="18"/>
        </w:rPr>
        <w:t>None</w:t>
      </w:r>
      <w:r>
        <w:rPr>
          <w:rFonts w:ascii="Times New Roman" w:hAnsi="Times New Roman"/>
          <w:sz w:val="20"/>
        </w:rPr>
        <w:t xml:space="preserve"> </w:t>
      </w:r>
    </w:p>
    <w:p>
      <w:pPr>
        <w:pStyle w:val="TextBody"/>
        <w:pBdr>
          <w:bottom w:val="single" w:sz="8" w:space="1" w:color="000000"/>
        </w:pBdr>
        <w:spacing w:before="0" w:after="0"/>
        <w:jc w:val="center"/>
        <w:rPr/>
      </w:pPr>
      <w:r>
        <w:rPr/>
        <w:t>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Section 15(d) of the Act. YES  </w:t>
      </w:r>
      <w:r>
        <w:rPr>
          <w:rFonts w:ascii="Times New Roman;serif" w:hAnsi="Times New Roman;serif"/>
          <w:b w:val="false"/>
          <w:caps/>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729" w:type="dxa"/>
        <w:jc w:val="left"/>
        <w:tblInd w:w="0" w:type="dxa"/>
        <w:tblCellMar>
          <w:top w:w="28" w:type="dxa"/>
          <w:left w:w="28" w:type="dxa"/>
          <w:bottom w:w="28" w:type="dxa"/>
          <w:right w:w="28" w:type="dxa"/>
        </w:tblCellMar>
      </w:tblPr>
      <w:tblGrid>
        <w:gridCol w:w="2041"/>
        <w:gridCol w:w="316"/>
        <w:gridCol w:w="2011"/>
        <w:gridCol w:w="361"/>
      </w:tblGrid>
      <w:tr>
        <w:trPr/>
        <w:tc>
          <w:tcPr>
            <w:tcW w:w="2041"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c>
          <w:tcPr>
            <w:tcW w:w="2011" w:type="dxa"/>
            <w:tcBorders/>
            <w:shd w:fill="FFFFFF" w:val="clear"/>
            <w:vAlign w:val="center"/>
          </w:tcPr>
          <w:p>
            <w:pPr>
              <w:pStyle w:val="TableContents"/>
              <w:spacing w:before="0" w:after="283"/>
              <w:rPr>
                <w:sz w:val="4"/>
                <w:szCs w:val="4"/>
              </w:rPr>
            </w:pPr>
            <w:r>
              <w:rPr>
                <w:sz w:val="4"/>
                <w:szCs w:val="4"/>
              </w:rPr>
            </w:r>
          </w:p>
        </w:tc>
        <w:tc>
          <w:tcPr>
            <w:tcW w:w="361" w:type="dxa"/>
            <w:tcBorders/>
            <w:shd w:fill="FFFFFF"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16" w:type="dxa"/>
            <w:tcBorders/>
            <w:shd w:fill="auto" w:val="clear"/>
            <w:vAlign w:val="center"/>
          </w:tcPr>
          <w:p>
            <w:pPr>
              <w:pStyle w:val="TableContents"/>
              <w:spacing w:before="0" w:after="0"/>
              <w:ind w:left="0" w:right="0" w:hanging="0"/>
              <w:jc w:val="left"/>
              <w:rPr/>
            </w:pPr>
            <w:r>
              <w:rPr/>
              <w:t>☐</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316" w:type="dxa"/>
            <w:tcBorders/>
            <w:shd w:fill="auto" w:val="clear"/>
            <w:vAlign w:val="center"/>
          </w:tcPr>
          <w:p>
            <w:pPr>
              <w:pStyle w:val="TableContents"/>
              <w:spacing w:before="0" w:after="0"/>
              <w:ind w:left="0" w:right="0" w:hanging="0"/>
              <w:jc w:val="left"/>
              <w:rPr/>
            </w:pPr>
            <w:r>
              <w:rPr/>
              <w:t>☐</w:t>
            </w:r>
          </w:p>
        </w:tc>
        <w:tc>
          <w:tcPr>
            <w:tcW w:w="2011"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The aggregate market value of the voting and non-voting ordinary shares held by non-affiliates of the Registrant as of July 31, 2022, was approximately $2.5</w:t>
      </w:r>
      <w:r>
        <w:rPr>
          <w:rFonts w:ascii="Times New Roman" w:hAnsi="Times New Roman"/>
          <w:sz w:val="20"/>
        </w:rPr>
        <w:t xml:space="preserve"> </w:t>
      </w:r>
      <w:r>
        <w:rPr>
          <w:rFonts w:ascii="Times New Roman;serif" w:hAnsi="Times New Roman;serif"/>
          <w:b w:val="false"/>
          <w:sz w:val="16"/>
        </w:rPr>
        <w:t>billion based upon the closing price reported for such date on the NASDAQ Global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Number of ordinary shares, $0.00045 par value, outstanding as of March 24, 2023: 39,581,559</w:t>
      </w:r>
      <w:r>
        <w:rPr>
          <w:rFonts w:ascii="Times New Roman" w:hAnsi="Times New Roman"/>
          <w:sz w:val="20"/>
        </w:rPr>
        <w:t xml:space="preserve"> </w:t>
      </w:r>
      <w:r>
        <w:rPr>
          <w:rFonts w:ascii="Times New Roman;serif" w:hAnsi="Times New Roman;serif"/>
          <w:b w:val="false"/>
          <w:sz w:val="16"/>
        </w:rPr>
        <w:t>shares.</w:t>
      </w:r>
      <w:r>
        <w:rPr>
          <w:rFonts w:ascii="Times New Roman" w:hAnsi="Times New Roman"/>
          <w:sz w:val="20"/>
        </w:rPr>
        <w:t xml:space="preserve"> </w:t>
      </w:r>
    </w:p>
    <w:p>
      <w:pPr>
        <w:pStyle w:val="TextBody"/>
        <w:spacing w:before="0" w:after="0"/>
        <w:jc w:val="center"/>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16"/>
        </w:rPr>
        <w:t>DOCUMENTS INCORPORATED BY REFERENCE</w:t>
      </w:r>
      <w:r>
        <w:rPr>
          <w:rFonts w:ascii="Times New Roman" w:hAnsi="Times New Roman"/>
          <w:sz w:val="20"/>
        </w:rPr>
        <w:t xml:space="preserve"> </w:t>
      </w:r>
    </w:p>
    <w:p>
      <w:pPr>
        <w:pStyle w:val="TextBody"/>
        <w:pBdr>
          <w:bottom w:val="double" w:sz="6" w:space="1" w:color="000000"/>
        </w:pBdr>
        <w:spacing w:before="40" w:after="0"/>
        <w:jc w:val="left"/>
        <w:rPr>
          <w:rFonts w:ascii="Times New Roman" w:hAnsi="Times New Roman"/>
          <w:sz w:val="20"/>
        </w:rPr>
      </w:pPr>
      <w:r>
        <w:rPr>
          <w:rFonts w:ascii="Times New Roman;serif" w:hAnsi="Times New Roman;serif"/>
          <w:b w:val="false"/>
          <w:sz w:val="16"/>
        </w:rPr>
        <w:t>Certain information is incorporated into Part III of this report by reference to the Proxy Statement for the Registrant’s annual meeting of shareholders to be held on or about June 8, 2023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88"/>
        <w:gridCol w:w="146"/>
        <w:gridCol w:w="8613"/>
        <w:gridCol w:w="146"/>
        <w:gridCol w:w="512"/>
      </w:tblGrid>
      <w:tr>
        <w:trPr/>
        <w:tc>
          <w:tcPr>
            <w:tcW w:w="788"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8613"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12" w:type="dxa"/>
            <w:tcBorders/>
            <w:shd w:fill="FFFFFF" w:val="clear"/>
            <w:vAlign w:val="center"/>
          </w:tcPr>
          <w:p>
            <w:pPr>
              <w:pStyle w:val="TableContents"/>
              <w:spacing w:before="0" w:after="283"/>
              <w:rPr>
                <w:sz w:val="4"/>
                <w:szCs w:val="4"/>
              </w:rPr>
            </w:pPr>
            <w:r>
              <w:rPr>
                <w:sz w:val="4"/>
                <w:szCs w:val="4"/>
              </w:rPr>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hyperlink w:anchor="part_i">
              <w:r>
                <w:rPr>
                  <w:rStyle w:val="InternetLink"/>
                  <w:rFonts w:ascii="Times New Roman;serif" w:hAnsi="Times New Roman;serif"/>
                  <w:b/>
                  <w:sz w:val="20"/>
                  <w:u w:val="single"/>
                </w:rPr>
                <w:t>PART I</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business">
              <w:r>
                <w:rPr>
                  <w:rStyle w:val="InternetLink"/>
                  <w:rFonts w:ascii="Times New Roman;serif" w:hAnsi="Times New Roman;serif"/>
                  <w:b w:val="false"/>
                  <w:sz w:val="20"/>
                  <w:u w:val="single"/>
                </w:rPr>
                <w:t>Business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1B.</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unresolved_staff_comments">
              <w:r>
                <w:rPr>
                  <w:rStyle w:val="InternetLink"/>
                  <w:rFonts w:ascii="Times New Roman;serif" w:hAnsi="Times New Roman;serif"/>
                  <w:b w:val="false"/>
                  <w:sz w:val="20"/>
                  <w:u w:val="single"/>
                </w:rPr>
                <w:t>Unresolved Staff Comments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properties">
              <w:r>
                <w:rPr>
                  <w:rStyle w:val="InternetLink"/>
                  <w:rFonts w:ascii="Times New Roman;serif" w:hAnsi="Times New Roman;serif"/>
                  <w:b w:val="false"/>
                  <w:sz w:val="20"/>
                  <w:u w:val="single"/>
                </w:rPr>
                <w:t>Properties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mine_safety_disclosures">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hyperlink w:anchor="part_ii">
              <w:r>
                <w:rPr>
                  <w:rStyle w:val="InternetLink"/>
                  <w:rFonts w:ascii="Times New Roman;serif" w:hAnsi="Times New Roman;serif"/>
                  <w:b/>
                  <w:sz w:val="20"/>
                  <w:u w:val="single"/>
                </w:rPr>
                <w:t>PART II</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market_for_registrant">
              <w:r>
                <w:rPr>
                  <w:rStyle w:val="InternetLink"/>
                  <w:rFonts w:ascii="Times New Roman;serif" w:hAnsi="Times New Roman;serif"/>
                  <w:b w:val="false"/>
                  <w:sz w:val="20"/>
                  <w:u w:val="single"/>
                </w:rPr>
                <w:t>Market for Registrant’s Common Equity, Related Stockholder Matters and Issuer Purchases of Equity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selected_financial_data">
              <w:r>
                <w:rPr>
                  <w:rStyle w:val="InternetLink"/>
                  <w:rFonts w:ascii="Times New Roman;serif" w:hAnsi="Times New Roman;serif"/>
                  <w:b w:val="false"/>
                  <w:sz w:val="20"/>
                  <w:u w:val="single"/>
                </w:rPr>
                <w:t>[Reserved]</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7A.</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quantitative_and_qualitative">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8.</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financial_statements">
              <w:r>
                <w:rPr>
                  <w:rStyle w:val="InternetLink"/>
                  <w:rFonts w:ascii="Times New Roman;serif" w:hAnsi="Times New Roman;serif"/>
                  <w:b w:val="false"/>
                  <w:sz w:val="20"/>
                  <w:u w:val="single"/>
                </w:rPr>
                <w:t>Financial Statements and Supplementary Data</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changes_in_and_disagreements">
              <w:r>
                <w:rPr>
                  <w:rStyle w:val="InternetLink"/>
                  <w:rFonts w:ascii="Times New Roman;serif" w:hAnsi="Times New Roman;serif"/>
                  <w:b w:val="false"/>
                  <w:sz w:val="20"/>
                  <w:u w:val="single"/>
                </w:rPr>
                <w:t>Changes in and Disagreements With Accountants on Accounting and Financial Disclosure</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9A.</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controls_and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9B.</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othe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9C.</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item9c">
              <w:r>
                <w:rPr>
                  <w:rStyle w:val="InternetLink"/>
                  <w:rFonts w:ascii="Times New Roman;serif" w:hAnsi="Times New Roman;serif"/>
                  <w:b w:val="false"/>
                  <w:sz w:val="20"/>
                  <w:u w:val="single"/>
                </w:rPr>
                <w:t>Disclosure Regarding Foreign Jurisdictions that Prevent Inspections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hyperlink w:anchor="part_iii">
              <w:r>
                <w:rPr>
                  <w:rStyle w:val="InternetLink"/>
                  <w:rFonts w:ascii="Times New Roman;serif" w:hAnsi="Times New Roman;serif"/>
                  <w:b/>
                  <w:sz w:val="20"/>
                  <w:u w:val="single"/>
                </w:rPr>
                <w:t>PART III</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10.</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directors_executive">
              <w:r>
                <w:rPr>
                  <w:rStyle w:val="InternetLink"/>
                  <w:rFonts w:ascii="Times New Roman;serif" w:hAnsi="Times New Roman;serif"/>
                  <w:b w:val="false"/>
                  <w:sz w:val="20"/>
                  <w:u w:val="single"/>
                </w:rPr>
                <w:t>Directors, Executive Officers and Corporate Governance</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11.</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executive_compensation">
              <w:r>
                <w:rPr>
                  <w:rStyle w:val="InternetLink"/>
                  <w:rFonts w:ascii="Times New Roman;serif" w:hAnsi="Times New Roman;serif"/>
                  <w:b w:val="false"/>
                  <w:sz w:val="20"/>
                  <w:u w:val="single"/>
                </w:rPr>
                <w:t>Executive Compensation</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12.</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security_ownership">
              <w:r>
                <w:rPr>
                  <w:rStyle w:val="InternetLink"/>
                  <w:rFonts w:ascii="Times New Roman;serif" w:hAnsi="Times New Roman;serif"/>
                  <w:b w:val="false"/>
                  <w:sz w:val="20"/>
                  <w:u w:val="single"/>
                </w:rPr>
                <w:t>Security Ownership of Certain Beneficial Owners and Management and Related Stockholder Matters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13.</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certain_relationships">
              <w:r>
                <w:rPr>
                  <w:rStyle w:val="InternetLink"/>
                  <w:rFonts w:ascii="Times New Roman;serif" w:hAnsi="Times New Roman;serif"/>
                  <w:b w:val="false"/>
                  <w:sz w:val="20"/>
                  <w:u w:val="single"/>
                </w:rPr>
                <w:t>Certain Relationships and Related Transactions, and Director Independence</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14.</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principal_accountant">
              <w:r>
                <w:rPr>
                  <w:rStyle w:val="InternetLink"/>
                  <w:rFonts w:ascii="Times New Roman;serif" w:hAnsi="Times New Roman;serif"/>
                  <w:b w:val="false"/>
                  <w:sz w:val="20"/>
                  <w:u w:val="single"/>
                </w:rPr>
                <w:t>Principal Accountant Fees and Services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center"/>
              <w:rPr/>
            </w:pPr>
            <w:hyperlink w:anchor="part_iv">
              <w:r>
                <w:rPr>
                  <w:rStyle w:val="InternetLink"/>
                  <w:rFonts w:ascii="Times New Roman;serif" w:hAnsi="Times New Roman;serif"/>
                  <w:b/>
                  <w:sz w:val="20"/>
                  <w:u w:val="single"/>
                </w:rPr>
                <w:t>PART IV</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15.</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exhibits_and_financial">
              <w:r>
                <w:rPr>
                  <w:rStyle w:val="InternetLink"/>
                  <w:rFonts w:ascii="Times New Roman;serif" w:hAnsi="Times New Roman;serif"/>
                  <w:b w:val="false"/>
                  <w:sz w:val="20"/>
                  <w:u w:val="single"/>
                </w:rPr>
                <w:t>Exhibits and Financial Statement Schedules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r>
      <w:tr>
        <w:trPr/>
        <w:tc>
          <w:tcPr>
            <w:tcW w:w="7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16.</w:t>
            </w:r>
          </w:p>
        </w:tc>
        <w:tc>
          <w:tcPr>
            <w:tcW w:w="146" w:type="dxa"/>
            <w:tcBorders/>
            <w:shd w:fill="auto" w:val="clear"/>
            <w:vAlign w:val="center"/>
          </w:tcPr>
          <w:p>
            <w:pPr>
              <w:pStyle w:val="TableContents"/>
              <w:spacing w:before="0" w:after="0"/>
              <w:ind w:left="0" w:right="0" w:hanging="0"/>
              <w:jc w:val="left"/>
              <w:rPr/>
            </w:pPr>
            <w:r>
              <w:rPr/>
              <w:t> </w:t>
            </w:r>
          </w:p>
        </w:tc>
        <w:tc>
          <w:tcPr>
            <w:tcW w:w="8613" w:type="dxa"/>
            <w:tcBorders/>
            <w:shd w:fill="auto" w:val="clear"/>
            <w:vAlign w:val="center"/>
          </w:tcPr>
          <w:p>
            <w:pPr>
              <w:pStyle w:val="TableContents"/>
              <w:spacing w:before="0" w:after="0"/>
              <w:ind w:left="0" w:right="0" w:hanging="0"/>
              <w:jc w:val="left"/>
              <w:rPr/>
            </w:pPr>
            <w:hyperlink w:anchor="item16">
              <w:r>
                <w:rPr>
                  <w:rStyle w:val="InternetLink"/>
                  <w:rFonts w:ascii="Times New Roman;serif" w:hAnsi="Times New Roman;serif"/>
                  <w:b w:val="false"/>
                  <w:sz w:val="20"/>
                  <w:u w:val="single"/>
                </w:rPr>
                <w:t>Form 10-K Summary</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9547" w:type="dxa"/>
            <w:gridSpan w:val="3"/>
            <w:tcBorders/>
            <w:shd w:fill="auto" w:val="clear"/>
            <w:vAlign w:val="center"/>
          </w:tcPr>
          <w:p>
            <w:pPr>
              <w:pStyle w:val="TableContents"/>
              <w:spacing w:before="0" w:after="0"/>
              <w:ind w:left="0" w:right="0" w:hanging="0"/>
              <w:jc w:val="left"/>
              <w:rPr/>
            </w:pPr>
            <w:hyperlink w:anchor="exhibits_index">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9547" w:type="dxa"/>
            <w:gridSpan w:val="3"/>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r>
        <w:trPr/>
        <w:tc>
          <w:tcPr>
            <w:tcW w:w="9547" w:type="dxa"/>
            <w:gridSpan w:val="3"/>
            <w:tcBorders/>
            <w:shd w:fill="auto" w:val="clear"/>
            <w:vAlign w:val="center"/>
          </w:tcPr>
          <w:p>
            <w:pPr>
              <w:pStyle w:val="TableContents"/>
              <w:spacing w:before="0" w:after="0"/>
              <w:ind w:left="0" w:right="0" w:hanging="0"/>
              <w:jc w:val="left"/>
              <w:rPr/>
            </w:pPr>
            <w:hyperlink w:anchor="power_attorney">
              <w:r>
                <w:rPr>
                  <w:rStyle w:val="InternetLink"/>
                  <w:rFonts w:ascii="Times New Roman;serif" w:hAnsi="Times New Roman;serif"/>
                  <w:b w:val="false"/>
                  <w:sz w:val="20"/>
                  <w:u w:val="single"/>
                </w:rPr>
                <w:t>Power of Attorney</w:t>
              </w:r>
            </w:hyperlink>
          </w:p>
        </w:tc>
        <w:tc>
          <w:tcPr>
            <w:tcW w:w="146" w:type="dxa"/>
            <w:tcBorders/>
            <w:shd w:fill="auto" w:val="clear"/>
            <w:vAlign w:val="center"/>
          </w:tcPr>
          <w:p>
            <w:pPr>
              <w:pStyle w:val="TableContents"/>
              <w:spacing w:before="0" w:after="0"/>
              <w:ind w:left="0" w:right="0" w:hanging="0"/>
              <w:jc w:val="left"/>
              <w:rPr/>
            </w:pPr>
            <w:r>
              <w:rPr/>
              <w:t> </w:t>
            </w:r>
          </w:p>
        </w:tc>
        <w:tc>
          <w:tcPr>
            <w:tcW w:w="5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economic factors beyond our control, including risks associated with high inflation and recessionary concerns; geopolitical factors beyond our control, including tensions between the United States and China and the ongoing hostility between Russia and Ukraine; the potential impact of the COVID-19 pandemic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our ability to effectively generate and manage growth; our ability to retain key employees; the potential for intellectual property disputes or other litigation; the risks described under Item 1A of Part I—“Risk Factors,” Item 7 of Part II—“Management’s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For purposes of this Annual Report, the terms “Ambarella”, “the Company”, “we”, “us” and “our” refer to Ambarella, Inc. and its consolidated subsidiaries.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
      <w:bookmarkEnd w:id="2"/>
      <w:r>
        <w:rPr>
          <w:rFonts w:ascii="Times New Roman;serif" w:hAnsi="Times New Roman;serif"/>
          <w:b/>
          <w:sz w:val="20"/>
        </w:rPr>
        <w:t>PART I</w:t>
      </w:r>
      <w:r>
        <w:rPr>
          <w:rFonts w:ascii="Times New Roman" w:hAnsi="Times New Roman"/>
          <w:sz w:val="20"/>
        </w:rPr>
        <w:t xml:space="preserve"> </w:t>
      </w:r>
    </w:p>
    <w:p>
      <w:pPr>
        <w:pStyle w:val="TextBody"/>
        <w:spacing w:before="240" w:after="0"/>
        <w:jc w:val="left"/>
        <w:rPr>
          <w:rFonts w:ascii="Times New Roman" w:hAnsi="Times New Roman"/>
          <w:sz w:val="20"/>
        </w:rPr>
      </w:pPr>
      <w:bookmarkStart w:id="3" w:name="business"/>
      <w:bookmarkEnd w:id="3"/>
      <w:r>
        <w:rPr>
          <w:rFonts w:ascii="Times New Roman;serif" w:hAnsi="Times New Roman;serif"/>
          <w:b/>
          <w:sz w:val="20"/>
        </w:rPr>
        <w:t>ITEM 1.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Ambarella is a leading developer of low-power system-on-a-chip, or SoC, semiconductors and software for edge artificial intelligence, or AI, applications. Our technologies make electronic systems smarter, enabling features such as person detection, object classification, and analytics, in addition to performing complex data analysis in real time, delivering high quality imagery, and preserving vital system resources such as power and network bandwidth. We specialize in the development of deployable, scalable designs for intelligent electronic systems that utilize high-bandwidth sensors offering a proven path to mass production.</w:t>
      </w:r>
    </w:p>
    <w:p>
      <w:pPr>
        <w:pStyle w:val="TextBody"/>
        <w:spacing w:before="240" w:after="0"/>
        <w:jc w:val="left"/>
        <w:rPr>
          <w:rFonts w:ascii="Times New Roman" w:hAnsi="Times New Roman"/>
          <w:sz w:val="20"/>
        </w:rPr>
      </w:pPr>
      <w:r>
        <w:rPr>
          <w:rFonts w:ascii="Times New Roman;serif" w:hAnsi="Times New Roman;serif"/>
          <w:b w:val="false"/>
          <w:sz w:val="20"/>
        </w:rPr>
        <w:t>Incorporated in 2004, we have primarily served human-viewing applications with video and image processors for enterprise, public infrastructure and home applications, such as internet protocol, or IP, security cameras, sports cameras, wearables, aerial drones, and aftermarket automotive video recorders. We are now leveraging our human-viewing heritage to pursue the machine sensing market. Our recent development efforts have focused on creating advanced AI technology that enables edge devices to visually perceive the environment and make decisions based on the data collected from cameras and other types of sensors, such as 4D radar.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computer vision algorithms, including, object detection, classification and tracking, semantic and instance segmentation, image processing, stereo object detection, terrain mapping, and face recognition. In addition, CVflow can process other sensor modalities, including lidar, radar, time of flight, thermal and near infrared (NIR), and allows customers to differentiate their products by porting their own or third party neural networks and/or classical computer vision algorithms to our CVflow-based SoCs. Our CV technology is creating opportunities for us to address a broader range of markets and applications while also allowing us to capture more content per electronic system.</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new CV3 AI central domain controller family of SoCs is specifically architected for automated driving applications. In addition to offering our existing advanced camera perception processing, CV3 adds sensor fusion and planning layers that enable a broader set of fully-automated devices.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In November 2021, we acquired Oculii Corp., a developer of high definition radar technology. Oculii’s adaptive AI software algorithms are designed to enable radar perception using current production radar chips to achieve significantly higher resolution, longer range and greater accuracy. Oculii’s software can be deployed on our existing CVflow SoCs, operating in conjunction with leading radar RF solutions to significantly increase safety and reliability. We recently introduced a centralized radar architecture that synergistically leverages Oculii’s adaptive AI software algorithms together with our CV3 domain controller family, resulting in improved perception, lower power consumption and reduced bills-of-material for mobility applications compared to the current generation of radar systems utilized in the market today.</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As described below, Ambarella’s products are now used in a wide variety of human viewing and computer vision applications, including a variety of automotive camera systems, video security cameras, mobile and fixed robots, industrial applications, and consumer devices, such as action, drone and 360° cameras. For our fiscal years ended January 31, 2023, 2022 and 2021, we recorded revenue of $337.6 million, $331.9 million and $223.0 million, respectively. For the fiscal years ended January 31, 2023, 2022 and 2021, we incurred net losses of $65.4 million, $26.4 million and $59.8 million, respectively. We have generated cash from operations in each fiscal year starting from 2009.</w:t>
      </w:r>
    </w:p>
    <w:p>
      <w:pPr>
        <w:pStyle w:val="TextBody"/>
        <w:spacing w:before="120" w:after="0"/>
        <w:jc w:val="left"/>
        <w:rPr>
          <w:rFonts w:ascii="Times New Roman;serif" w:hAnsi="Times New Roman;serif"/>
          <w:b/>
          <w:sz w:val="20"/>
        </w:rPr>
      </w:pPr>
      <w:r>
        <w:rPr>
          <w:rFonts w:ascii="Times New Roman;serif" w:hAnsi="Times New Roman;serif"/>
          <w:b/>
          <w:sz w:val="20"/>
        </w:rPr>
        <w:t>Industry Background and Target Markets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Computer vision functionality has historically been executed with graphics processing units (GPU), field programmable gate-arrays (FPGA) or general purpose microprocessors (CPU) in servers or datacenters.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pPr>
      <w:r>
        <w:rPr/>
        <w:drawing>
          <wp:inline distT="0" distB="0" distL="0" distR="0">
            <wp:extent cx="6296025" cy="2771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296025" cy="2771775"/>
                    </a:xfrm>
                    <a:prstGeom prst="rect">
                      <a:avLst/>
                    </a:prstGeom>
                  </pic:spPr>
                </pic:pic>
              </a:graphicData>
            </a:graphic>
          </wp:inline>
        </w:drawing>
      </w:r>
      <w:r>
        <w:rPr/>
        <w:t> </w:t>
      </w:r>
    </w:p>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believe the CV end-point market, sometimes referred to as the system’s edge, requires a fundamentally different SoC architecture versus the GPU, FPGA and CPU approach commonly used in the datacenter. Our CV SoCs are optimized for the requirements of the end-point market to provide highly accurate results, significant processing power, small form factor and minimal latency while consuming very low amounts of power and simultaneously delivering both human viewing and computer vision functionality, often while supporting multiple cameras and multiple AI applications with a single SoC incorporated in an end-point device. In addition, privacy and security can be enhanced, as critical personal information may not need to enter the network infrastructure.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first CV SoC was introduced in 2018 and CV3 is our third generation computer vision chip in our SoC family. Our development efforts are now focused on SoCs that provide both human viewing and computer vision functionality. With the acquisition of Oculii, we also now complement our advanced camera perception capabilities with advanced radar perception to enable higher levels of autonomy.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focusing on the automotive and Internet-of-Things (IoT) end markets: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Automotive Applications</w:t>
      </w:r>
      <w:r>
        <w:rPr>
          <w:rFonts w:ascii="Times New Roman;serif" w:hAnsi="Times New Roman;serif"/>
          <w:b w:val="false"/>
          <w:sz w:val="20"/>
        </w:rPr>
        <w:t>. Cameras and other sensors, as well as high performance computing processors, are utilized for a variety of applications in the automotive market and our products are designed into both original equipment manufacturer (OEM) and aftermarket applications. We address the following automotive market applications: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Automotive Video Recorders (also known as data loggers).</w:t>
      </w:r>
      <w:r>
        <w:rPr/>
        <w:t xml:space="preserve"> </w:t>
      </w:r>
      <w:r>
        <w:rPr>
          <w:rFonts w:ascii="Times New Roman;serif" w:hAnsi="Times New Roman;serif"/>
          <w:b w:val="false"/>
          <w:sz w:val="20"/>
        </w:rPr>
        <w:t>These video cameras are pre-installed in vehicles or mounted (aftermarket) to record events for reconciliation, such as for insurance and liability, driver scoring or training, and security purposes. We offer solutions for both OEM and aftermarket drive recording devices, some of which include advanced driver assistance systems (ADAS) features.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Electronic Mirrors.</w:t>
      </w:r>
      <w:r>
        <w:rPr/>
        <w:t xml:space="preserve"> </w:t>
      </w:r>
      <w:r>
        <w:rPr>
          <w:rFonts w:ascii="Times New Roman;serif" w:hAnsi="Times New Roman;serif"/>
          <w:b w:val="false"/>
          <w:sz w:val="20"/>
        </w:rPr>
        <w:t>One or more cameras, in conjunction with an electronic display, are used to augment, or in some cases replace, reflective glass rear view and/or side view mirrors to provide a wider and unobstructed field of view. Smart electronic mirrors that incorporate our CV SoCs may also help with detecting objects in blind spots, overtaking vehicles and alerting for vulnerable road users, such as pedestrians and bicycles.</w:t>
      </w:r>
    </w:p>
    <w:p>
      <w:pPr>
        <w:pStyle w:val="TextBody"/>
        <w:spacing w:before="120" w:after="0"/>
        <w:jc w:val="left"/>
        <w:rPr/>
      </w:pPr>
      <w:r>
        <w:rPr/>
        <w:t>▪</w:t>
      </w:r>
    </w:p>
    <w:p>
      <w:pPr>
        <w:pStyle w:val="TextBody"/>
        <w:spacing w:before="120" w:after="283"/>
        <w:jc w:val="left"/>
        <w:rPr/>
      </w:pPr>
      <w:r>
        <w:rPr>
          <w:rFonts w:ascii="Times New Roman;serif" w:hAnsi="Times New Roman;serif"/>
          <w:b/>
          <w:i/>
          <w:sz w:val="20"/>
        </w:rPr>
        <w:t>Front Advanced Driver Assistance System (ADAS) Cameras.</w:t>
      </w:r>
      <w:r>
        <w:rPr/>
        <w:t xml:space="preserve"> </w:t>
      </w:r>
      <w:r>
        <w:rPr>
          <w:rFonts w:ascii="Times New Roman;serif" w:hAnsi="Times New Roman;serif"/>
          <w:b w:val="false"/>
          <w:sz w:val="20"/>
        </w:rPr>
        <w:t>These front-facing cameras are often positioned behind the rearview mirror, enabling functions such as automatic emergency braking, lane departure warning, forward collision warning, intelligent headlight control, and speed assistance functions, many of which are required by an increasing number of regional New Car Assessment Programs, or NCAP. The most advanced front ADAS cameras generally require ultra high-definition (UHD) resolution and advanced CV processing, which can be critical for long-distance object detection with a wide field-of-view, and extremely low power due to their inherently small form factor.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Cabin Monitoring System (CMS) and Driver Monitoring System (DMS) Cameras.</w:t>
      </w:r>
      <w:r>
        <w:rPr/>
        <w:t xml:space="preserve"> </w:t>
      </w:r>
      <w:r>
        <w:rPr>
          <w:rFonts w:ascii="Times New Roman;serif" w:hAnsi="Times New Roman;serif"/>
          <w:b w:val="false"/>
          <w:sz w:val="20"/>
        </w:rPr>
        <w:t>These interior mounted cameras track drivers and passengers to help prevent accidents by alerting a drowsy or distracted driver and assisting with the deployment of safety features, such as airbags. These interior cameras may also be utilized by service providers, in particular with autonomous vehicles, to create new business opportunities in which in-cabin information, collected through cameras, may be monetized. Our solutions process our customers’ interior-sensing algorithms at high speeds and with low power consumption, and are effective even at night via onboard RGB-infrared processing. Our DMS solutions can be integrated with supplementary camera applications, including electronic mirror, front ADAS, and high-resolution driver recording.</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 xml:space="preserve">Central domain controllers for L2+ to L4 Autonomous Vehicles. </w:t>
      </w:r>
      <w:r>
        <w:rPr>
          <w:rFonts w:ascii="Times New Roman;serif" w:hAnsi="Times New Roman;serif"/>
          <w:b w:val="false"/>
          <w:sz w:val="20"/>
        </w:rPr>
        <w:t xml:space="preserve">We continue to advance our research in critical areas of autonomous vehicle development, such as vehicle detection, obstacle detection, pedestrian detection, lane detection, traffic sign recognition, stereovision processing, and sensor fusion and planning, enabling us to design strong platforms for applications ranging from Level2+ autopilot to full autonomy. The CV3 family enables centralized, single-chip processing for multi-sensor perception, including high-resolution vision, radar, ultrasonic and lidar, as well as deep fusion for multiple sensor modalities and autonomous vehicle path planning. The central domain controller in autonomous vehicles is connected to the camera, radar and other sensor suites. Using neural network and traditional computer vision processing, the domain controller fuses the sensor data and perceives the vehicle’s surroundings. Based on this multi-sensor surround perception, the domain controller estimates a safe driving path for the vehicle. In addition, the domain controller can simultaneously process in-cabin sensing applications, including driver and occupant monitoring.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Security Cameras</w:t>
      </w:r>
      <w:r>
        <w:rPr>
          <w:rFonts w:ascii="Times New Roman;serif" w:hAnsi="Times New Roman;serif"/>
          <w:b w:val="false"/>
          <w:sz w:val="20"/>
        </w:rPr>
        <w:t>. We are a leader in enterprise and home security camera markets, with solutions that deliver exceptional computer vision performance, industry-leading compression efficiency, low power consumption, and outstanding image quality, including high dynamic range (HDR), low-light processing and fisheye lens dewarping. Our CV products enable higher levels of automation than our vision processors through advanced algorithms, such as object detection, classification and tracking, license plate recognition and facial recognition. We address the following security camera applications: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Enterprise and Public Class Security</w:t>
      </w:r>
      <w:r>
        <w:rPr>
          <w:rFonts w:ascii="Times New Roman;serif" w:hAnsi="Times New Roman;serif"/>
          <w:b w:val="false"/>
          <w:sz w:val="20"/>
        </w:rPr>
        <w:t xml:space="preserve">. These cameras are used for video monitoring and security surveillance in enterprise and public infrastructure applications. Our solutions enable the streaming of multiple video streams to enable remote monitoring at multiple locations. Embedded computer vision technology supports advanced analytics at the system’s edge, including people counting and tracking, facial recognition and retail behavior analysis.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Home Security</w:t>
      </w:r>
      <w:r>
        <w:rPr>
          <w:rFonts w:ascii="Times New Roman;serif" w:hAnsi="Times New Roman;serif"/>
          <w:b w:val="false"/>
          <w:sz w:val="20"/>
        </w:rPr>
        <w:t xml:space="preserve">. Home security cameras are designed for home or small business use and may be connected to cloud services and applications via home networks using WiFi. These cameras may require very low bitrate operation to support high-definition (HD) resolution over limited bandwidth connections, while their small form factors or battery powered design may require very low power operation. Form factors include smart video door-bells and video-enabled lights. Embedded computer vision technology supports advanced functions, including intruder and pet detection, face recognition and package monitoring.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Emerging Robotic and Industrial Applications</w:t>
      </w:r>
      <w:r>
        <w:rPr>
          <w:rFonts w:ascii="Times New Roman;serif" w:hAnsi="Times New Roman;serif"/>
          <w:b w:val="false"/>
          <w:sz w:val="20"/>
        </w:rPr>
        <w:t>. Our solutions can add intelligence to a range of partially or fully robotic applications, including access control, industrial/factory automation, sensing cameras, and a variety of industrial and home robotic applications. Our advanced CV SoCs handle an array of complex algorithms, from low-level perception functions and neural networks to higher-level autonomous software stacks, while our video processing pipeline enables operation in challenging lighting conditions such as high-contrast scenes and extremely low-light environments, all with low power consumption. We address the following industrial and robotic market applications: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Identification/Authentication Cameras.</w:t>
      </w:r>
      <w:r>
        <w:rPr/>
        <w:t xml:space="preserve"> </w:t>
      </w:r>
      <w:r>
        <w:rPr>
          <w:rFonts w:ascii="Times New Roman;serif" w:hAnsi="Times New Roman;serif"/>
          <w:b w:val="false"/>
          <w:sz w:val="20"/>
        </w:rPr>
        <w:t xml:space="preserve">Our video-based sensing solutions enable contactless access control for home, enterprise and public applications. Our CV SoCs are engineered to quickly extract input from the physical environment, fuse data from multiple sensors, analyze the incoming data and deliver the appropriate feedback, with low-latency and low-power responsiveness. Applications include enterprise access control panels, electronic locks and contactless mobile payment terminals.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 xml:space="preserve">Robotic Products. </w:t>
      </w:r>
      <w:r>
        <w:rPr>
          <w:rFonts w:ascii="Times New Roman;serif" w:hAnsi="Times New Roman;serif"/>
          <w:b w:val="false"/>
          <w:sz w:val="20"/>
        </w:rPr>
        <w:t>Our products and technology are well suited for a variety of smart home and enterprise robotic applications. With stereovision capabilities and convolutional neural network (CNN)-based object classification, our solutions are also suited for a variety of industrial machine vision systems, mobile robots for delivery or factory/warehouse applications, aerial drones, robotic vacuum cleaners, and other emerging robotic applications.</w:t>
      </w:r>
    </w:p>
    <w:p>
      <w:pPr>
        <w:pStyle w:val="TextBody"/>
        <w:spacing w:before="120" w:after="0"/>
        <w:jc w:val="left"/>
        <w:rPr/>
      </w:pPr>
      <w:r>
        <w:rPr/>
        <w:t>▪</w:t>
      </w:r>
    </w:p>
    <w:p>
      <w:pPr>
        <w:pStyle w:val="TextBody"/>
        <w:spacing w:before="120" w:after="283"/>
        <w:jc w:val="left"/>
        <w:rPr/>
      </w:pPr>
      <w:r>
        <w:rPr>
          <w:rFonts w:ascii="Times New Roman;serif" w:hAnsi="Times New Roman;serif"/>
          <w:b/>
          <w:i/>
          <w:sz w:val="20"/>
        </w:rPr>
        <w:t>Sensing Cameras.</w:t>
      </w:r>
      <w:r>
        <w:rPr/>
        <w:t xml:space="preserve"> </w:t>
      </w:r>
      <w:r>
        <w:rPr>
          <w:rFonts w:ascii="Times New Roman;serif" w:hAnsi="Times New Roman;serif"/>
          <w:b w:val="false"/>
          <w:sz w:val="20"/>
        </w:rPr>
        <w:t>Our CV SoCs enable sensing cameras that analyze video using AI-based algorithms running in the camera to provide remote users with updates, warnings or business data based on the analysis. Since no video, audio or image data needs to leave the camera, privacy can be prioritized. Applications for sensing cameras include elderly monitoring, building occupancy monitoring and retail store business analytics.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pPr>
      <w:r>
        <w:rPr>
          <w:rFonts w:ascii="Times New Roman;serif" w:hAnsi="Times New Roman;serif"/>
          <w:b/>
          <w:i/>
          <w:sz w:val="20"/>
        </w:rPr>
        <w:t xml:space="preserve">Other IoT Applications. </w:t>
      </w:r>
      <w:r>
        <w:rPr>
          <w:rFonts w:ascii="Times New Roman;serif" w:hAnsi="Times New Roman;serif"/>
          <w:b w:val="false"/>
          <w:sz w:val="20"/>
        </w:rPr>
        <w:t>Cameras for the home, public spaces and consumer leisure applications that provide HD video quality increasingly include embedded connectivity to share and display video. Our low power, high-resolution and connected solutions can be found in a variety of cameras, including wearable body cameras, sports action cameras, social media cameras, drones for capturing aerial video or photographs, video conferencing and virtual reality applications.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Our Competitive Strengths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platform technology solutions provide performance attributes that satisfy the stringent demands of the camera market, enable integration of HD video and image capture capabilities in portable devices, and provide computer vision capabilities that address the evolving needs of the automotive and IoT markets. We believe that our leadership is the result of our competitive strengths, including:</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Proprietary AI, Radar and Computer Vision Architecture.</w:t>
      </w:r>
      <w:r>
        <w:rPr/>
        <w:t xml:space="preserve"> </w:t>
      </w:r>
      <w:r>
        <w:rPr>
          <w:rFonts w:ascii="Times New Roman;serif" w:hAnsi="Times New Roman;serif"/>
          <w:b w:val="false"/>
          <w:sz w:val="20"/>
        </w:rPr>
        <w:t xml:space="preserve">Our proprietary AI and computer vision processing architecture, known as CVflow, uses a flexible hardware engine programmed with a high level algorithm description to achieve increased performance while minimizing die size and power consumption. The CVflow architecture specifies data flow connections between a set of optimized AI and computer vision operators, such as the convolution and matrix multiply functions that are specifically optimized for deep learning algorithms. The CVflow architecture supports a variety of AI, radar and computer vision algorithms, including object detection, classification and tracking, semantic and instance segmentation, image processing, and stereo object detection. CVflow also allows customers to differentiate their products by porting their own algorithms and neural networks to our SoCs. </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Deep Sensor Fusion</w:t>
      </w:r>
      <w:r>
        <w:rPr>
          <w:rFonts w:ascii="Times New Roman;serif" w:hAnsi="Times New Roman;serif"/>
          <w:b w:val="false"/>
          <w:sz w:val="20"/>
        </w:rPr>
        <w:t>. Ambarella provides AI perception processing for cameras, and with the acquisition of Oculii we provide software that enables efficient HD 4D radar perception. Our CV3 SoC family implements centralized camera and radar perception processing on the same SoC, allowing data from all camera and radar sensors in the sensor suite to be fused at a deeper data level, which we believe will facilitate improved levels of perception accuracy.</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High-Performance, Low Power, AI, Video and Image Algorithm Expertise</w:t>
      </w:r>
      <w:r>
        <w:rPr>
          <w:rFonts w:ascii="Times New Roman;serif" w:hAnsi="Times New Roman;serif"/>
          <w:b w:val="false"/>
          <w:sz w:val="20"/>
        </w:rPr>
        <w:t>. Our extensive algorithm expertise, which facilitates efficient AI, video and image compression, enables our solutions to achieve low power consumption without compromising performance. Our solutions provide Full HD and UHD video up to 32-megapixel resolution and 60 frames per second. Our solutions achieve high storage and transmission efficiencies through innovative and complex video and image compression algorithms that significantly reduce the output bitrate. This smaller storage footprint directly benefits the performance of our solutions in several ways, including lower memory storage requirements and reduced bandwidth needs for transmission, which both facilitate sharing content between devices. These benefits are particularly important in transcoding, the digital-to-digital conversion of one encoding format to another, and video cloud applications.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advanced de-warping capability enables cameras to use wide angle lenses, making it ideal for a variety of security camera applications, as well as 3D electronic image stabilization and surround view for automotive applications.</w:t>
      </w:r>
    </w:p>
    <w:p>
      <w:pPr>
        <w:pStyle w:val="TextBody"/>
        <w:spacing w:before="120" w:after="0"/>
        <w:jc w:val="left"/>
        <w:rPr/>
      </w:pPr>
      <w:r>
        <w:rPr/>
        <w:t>•</w:t>
      </w:r>
    </w:p>
    <w:p>
      <w:pPr>
        <w:pStyle w:val="TextBody"/>
        <w:spacing w:before="120" w:after="0"/>
        <w:jc w:val="left"/>
        <w:rPr/>
      </w:pPr>
      <w:r>
        <w:rPr>
          <w:rFonts w:ascii="Times New Roman;serif" w:hAnsi="Times New Roman;serif"/>
          <w:b/>
          <w:i/>
          <w:sz w:val="20"/>
        </w:rPr>
        <w:t>Highly Integrated SoC Solutions Based on a Scalable Platform</w:t>
      </w:r>
      <w:r>
        <w:rPr>
          <w:rFonts w:ascii="Times New Roman;serif" w:hAnsi="Times New Roman;serif"/>
          <w:b w:val="false"/>
          <w:sz w:val="20"/>
        </w:rPr>
        <w:t xml:space="preserve">. Our product families leverage a flexible and highly-scalable platform including our core high-performance AI and video processing architecture combined with an extensive set of integrated peripherals. Our flexible and highly-scalable platform enables our customers to address multiple applications and markets with reduced design cycles and costs. Our software compatible portfolio of products, with a broad range of performance and price points, allows our customers to develop a range of end products from a common software base. </w:t>
      </w:r>
    </w:p>
    <w:p>
      <w:pPr>
        <w:pStyle w:val="TextBody"/>
        <w:spacing w:before="120" w:after="0"/>
        <w:jc w:val="left"/>
        <w:rPr/>
      </w:pPr>
      <w:r>
        <w:rPr/>
        <w:t>•</w:t>
      </w:r>
    </w:p>
    <w:p>
      <w:pPr>
        <w:pStyle w:val="TextBody"/>
        <w:spacing w:before="120" w:after="283"/>
        <w:jc w:val="left"/>
        <w:rPr/>
      </w:pPr>
      <w:r>
        <w:rPr>
          <w:rFonts w:ascii="Times New Roman;serif" w:hAnsi="Times New Roman;serif"/>
          <w:b/>
          <w:i/>
          <w:sz w:val="20"/>
        </w:rPr>
        <w:t>Comprehensive and Flexible Software</w:t>
      </w:r>
      <w:r>
        <w:rPr>
          <w:rFonts w:ascii="Times New Roman;serif" w:hAnsi="Times New Roman;serif"/>
          <w:b w:val="false"/>
          <w:sz w:val="20"/>
        </w:rPr>
        <w:t xml:space="preserve">. Our years of investment in developing and optimizing our comprehensive and flexible software serve as the foundation of our high-performance video application solutions. Key components of our software include highly customized middleware that integrates many unique features for efficient scheduling and other system-level functions, and firmware that is optimized to reduce power requirements and improve performance. In addition, we provide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extensive software tools to map algorithms from commonly-used AI frameworks such as PyTorch or TensorFlow into our proprietary CVflow architecture. Our software development kits (SDKs) contain reference code for specific features that customers can quickly deploy.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Products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computer vision functionality, simultaneous video and image capture, multiple-stream video capture, image stabilization and wireless connectivity.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Central Domain Controller.</w:t>
      </w:r>
      <w:r>
        <w:rPr>
          <w:rFonts w:ascii="Times New Roman" w:hAnsi="Times New Roman"/>
          <w:sz w:val="20"/>
        </w:rPr>
        <w:t xml:space="preserve"> </w:t>
      </w:r>
      <w:r>
        <w:rPr>
          <w:rFonts w:ascii="Times New Roman;serif" w:hAnsi="Times New Roman;serif"/>
          <w:b w:val="false"/>
          <w:sz w:val="20"/>
        </w:rPr>
        <w:t>Our new CV3-AD685, the first production version of the CV3 family of automotive AI domain controllers, targets L2+ to L4 autonomous vehicles. Its next-generation CVflow® AI engine includes neural network processing that is 20x faster than the previous generation of CV2 SoCs, along with additional general vector processing capabilities to provide the overall performance required for full autonomous driving (AD) stack processing, including computer vision, HD radar, deep fusion and planning. It also integrates advanced image processing, a dense stereo and optical flow engine, Arm® Cortex® A78AE and R52 CPUs, an automotive GPU for visualizations, and a hardware security module (HSM). The CV3-AD685 is an “algorithm first” architecture that provides support for the entire AD software stack.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CVflow SoCs.</w:t>
      </w:r>
      <w:r>
        <w:rPr>
          <w:rFonts w:ascii="Times New Roman" w:hAnsi="Times New Roman"/>
          <w:sz w:val="20"/>
        </w:rPr>
        <w:t xml:space="preserve"> </w:t>
      </w:r>
      <w:r>
        <w:rPr>
          <w:rFonts w:ascii="Times New Roman;serif" w:hAnsi="Times New Roman;serif"/>
          <w:b w:val="false"/>
          <w:sz w:val="20"/>
        </w:rPr>
        <w:t>Our AI architecture, incorporated into our CV family of SoCs, extracts and processes data from video streams, enabling our customers to develop intelligent camera systems. These SoCs combine advanced image processing, high-resolution video encoding and CVflow AI processing in a single, low-power design to enable a new class of smart edge devices for applications including smart home security, retail monitoring, consumer robotics, and occupancy monitoring. Some of our CVflow SoCs are manufactured to satisfy the functional safety requirements of the automotive market.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Vision Processor SoCs.</w:t>
      </w:r>
      <w:r>
        <w:rPr>
          <w:rFonts w:ascii="Times New Roman" w:hAnsi="Times New Roman"/>
          <w:sz w:val="20"/>
        </w:rPr>
        <w:t xml:space="preserve"> </w:t>
      </w:r>
      <w:r>
        <w:rPr>
          <w:rFonts w:ascii="Times New Roman;serif" w:hAnsi="Times New Roman;serif"/>
          <w:b w:val="false"/>
          <w:sz w:val="20"/>
        </w:rPr>
        <w:t>Our video and image processing SoCs, based on our proprietary architecture, integrate an advanced image sensor pipeline (ISP), H.264 and/or H.265 encoders, and a powerful ARM CPU for advanced analytics, flight control, WiFi streaming, and other user applications. Our unique architecture and advanced process node technology lower power consumption while maintaining high performance for security camera and consumer applications such as connected drones, sports cameras, and 360º (VR) cameras.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High Definition Radar</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Through our acquisition of Oculii, we offer adaptive AI software algorithms designed to enable radar perception using current production radar chips to achieve significantly higher resolution, longer range and greater accuracy. These improvements eliminate the need for specialized high-resolution radar chips, which have significantly higher power consumption and cost than conventional radar solutions. Oculii’s software can be deployed on Ambarella’s existing CVflow SoCs, operating in conjunction with leading radar RF solutions to increase safety and reliability. In addition, we recently introduced a centralized radar architecture that leverages Oculii’s adaptive AI software algorithms together with our CV3 processor family to enable both central processing of raw radar data and deep, low-level fusion with other sensor inputs, including cameras, lidar and ultrasonics.</w:t>
      </w:r>
    </w:p>
    <w:p>
      <w:pPr>
        <w:pStyle w:val="TextBody"/>
        <w:spacing w:before="240" w:after="0"/>
        <w:jc w:val="left"/>
        <w:rPr>
          <w:rFonts w:ascii="Times New Roman" w:hAnsi="Times New Roman"/>
          <w:sz w:val="20"/>
        </w:rPr>
      </w:pPr>
      <w:r>
        <w:rPr>
          <w:rFonts w:ascii="Times New Roman;serif" w:hAnsi="Times New Roman;serif"/>
          <w:b/>
          <w:i/>
          <w:sz w:val="20"/>
        </w:rPr>
        <w:t>Serializer/Deserializers</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Our B6 and B8 SerDes (Serializer/Deserializer) products are mixed-signal (analog and digital) semiconductors used to transport data short distances (up to 10 meters) from a CMOS image sensor, often in a remote camera location, to our video and CV SoCs. The SerDes chips are used to add additional camera(s) to an automotive application, as well as used as a bridge chip for other automotive applications, such as a MIPI combiner, splitter or display driver. Our SerDes chips are also used in security applications such as ATMs that can use a single B8 chip for connecting multiple remote cameras to a single video processor SoC.</w:t>
      </w:r>
    </w:p>
    <w:p>
      <w:pPr>
        <w:pStyle w:val="TextBody"/>
        <w:spacing w:before="240" w:after="0"/>
        <w:jc w:val="left"/>
        <w:rPr>
          <w:rFonts w:ascii="Times New Roman" w:hAnsi="Times New Roman"/>
          <w:sz w:val="20"/>
        </w:rPr>
      </w:pPr>
      <w:r>
        <w:rPr>
          <w:rFonts w:ascii="Times New Roman;serif" w:hAnsi="Times New Roman;serif"/>
          <w:b/>
          <w:i/>
          <w:sz w:val="20"/>
        </w:rPr>
        <w:t>Software Modules</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In the future, we may separately license proprietary software modules that can be used in conjunction with a customer’s internally developed software and/or with third-party software. Features that may be licensed include functionality for a variety of automotive applications, including dataloggers, ADAS and autonomous driving systems, eMirrors and in-cabin applications. Additionally, our neural-network image signal processing (NN-ISP) software module improves low light imaging in security camera applications.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chart below describes our current product lines: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pPr>
      <w:r>
        <w:rPr/>
        <w:drawing>
          <wp:inline distT="0" distB="0" distL="0" distR="0">
            <wp:extent cx="3686175" cy="771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86175" cy="7715250"/>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sz w:val="20"/>
        </w:rPr>
        <w:t>Technology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Our semiconductor processing solutions enable artificial intelligence and computer vision processing, HD, UHD and 8K UHD (up to 7680 x 4320p60) video and image processing, and video compression, sharing and display while offering exceptional power, size, and performance characteristics.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Key differentiators of our technology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flexible and scalable CVflow processors for deep learning, HD radar processing and other CV algorithms that cover a broad range of consumer, professional and automotive requirements with power and die size efficiency;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stereo/optical flow processing engines for robust CV processing with high performance and power efficiency;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scalable image processing and video compression engines that cover consumer, professional and automotive requirements from Full HD to 8K video performance levels as well as multiple image sensors simultaneously to support multiple viewpoints, including surround view and virtual reality applications;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algorithms for image processing including deep learning augmented processing for challenging low light and high dynamic range conditions for robust CV and human viewing with high power efficiency.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algorithms and software for scalable and robust HD 4D radar processing using sparse antenna arrays using machine learning and adaptive transmit waveforms for lower cost and better power efficiency;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deep learning algorithms and software for multi class 2D/3D object detection and segmentation, including vehicles, pedestrians, cycles, road markings, traffic signs and traffic lights optimized for our CV2 and CV3 SoC families;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algorithms and software for stereo obstacle detection to provide robust safety in the event of obstacles that are not in the training data;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autonomous driving stack modules optimized for our CV3 SoC family, including fusion for multiple cameras and sensor modalities, mapping and localization algorithms and planning;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algorithms to compress video signals with high compression and power efficiency at multiple operating points;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software development kit comprised of application programming interfaces, or APIs, to facilitate integration into customers’ products; and tools for porting and optimizing customer deep neural networks, or DNNs, developed in industry standard training frameworks;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low-power architecture with minimal system memory footprint;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programmable architecture that balances flexibility, quality, power and die size with powerful CPUs and optimized hardware acceleration to support advanced processing functions.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technology platform is based on a high-performance, low-power architecture supported by a high level of system integration. The building blocks of our platform are illustrated below:</w:t>
      </w:r>
      <w:r>
        <w:rPr>
          <w:rFonts w:ascii="Times New Roman" w:hAnsi="Times New Roman"/>
          <w:sz w:val="20"/>
        </w:rPr>
        <w:t xml:space="preserve"> </w:t>
      </w:r>
    </w:p>
    <w:p>
      <w:pPr>
        <w:pStyle w:val="TextBody"/>
        <w:spacing w:before="0" w:after="0"/>
        <w:jc w:val="left"/>
        <w:rPr/>
      </w:pPr>
      <w:r>
        <w:rPr/>
        <w:t> </w:t>
      </w:r>
    </w:p>
    <w:tbl>
      <w:tblPr>
        <w:tblW w:w="9401" w:type="dxa"/>
        <w:jc w:val="left"/>
        <w:tblInd w:w="0" w:type="dxa"/>
        <w:tblCellMar>
          <w:top w:w="28" w:type="dxa"/>
          <w:left w:w="28" w:type="dxa"/>
          <w:bottom w:w="28" w:type="dxa"/>
          <w:right w:w="28" w:type="dxa"/>
        </w:tblCellMar>
      </w:tblPr>
      <w:tblGrid>
        <w:gridCol w:w="9401"/>
      </w:tblGrid>
      <w:tr>
        <w:trPr/>
        <w:tc>
          <w:tcPr>
            <w:tcW w:w="9401" w:type="dxa"/>
            <w:tcBorders/>
            <w:shd w:fill="auto" w:val="clear"/>
            <w:vAlign w:val="center"/>
          </w:tcPr>
          <w:p>
            <w:pPr>
              <w:pStyle w:val="TableContents"/>
              <w:spacing w:before="0" w:after="283"/>
              <w:rPr>
                <w:sz w:val="4"/>
                <w:szCs w:val="4"/>
              </w:rPr>
            </w:pPr>
            <w:r>
              <w:rPr>
                <w:sz w:val="4"/>
                <w:szCs w:val="4"/>
              </w:rPr>
            </w:r>
          </w:p>
        </w:tc>
      </w:tr>
      <w:tr>
        <w:trPr/>
        <w:tc>
          <w:tcPr>
            <w:tcW w:w="9401" w:type="dxa"/>
            <w:tcBorders/>
            <w:shd w:fill="auto" w:val="clear"/>
            <w:vAlign w:val="center"/>
          </w:tcPr>
          <w:p>
            <w:pPr>
              <w:pStyle w:val="TableContents"/>
              <w:spacing w:before="0" w:after="0"/>
              <w:ind w:left="0" w:right="0" w:hanging="0"/>
              <w:jc w:val="center"/>
              <w:rPr/>
            </w:pPr>
            <w:r>
              <w:rPr/>
              <w:drawing>
                <wp:inline distT="0" distB="0" distL="0" distR="0">
                  <wp:extent cx="5838825" cy="393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38825" cy="3933825"/>
                          </a:xfrm>
                          <a:prstGeom prst="rect">
                            <a:avLst/>
                          </a:prstGeom>
                        </pic:spPr>
                      </pic:pic>
                    </a:graphicData>
                  </a:graphic>
                </wp:inline>
              </w:drawing>
            </w: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technology platform enables the capture of high-resolution still images and UHD video while simultaneously performing CV processing and encoding for high-quality storage and lower resolution real time streaming.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CVflow</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proprietary AI computer vision processing architecture, known as CVflow®, uses a flexible hardware engine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The CVflow architecture also supports a variety of other algorithms, including radar processing, stereo obstacle detection and sensor fusion. Our platform allows customers to differentiate their products by porting and optimizing their own algorithms and neural networks to our CVflow-based chips using industry-standard training tools and APIs.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Computer Vision and Radar Technology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Computer vision is a core technology that complements our proprietary image processing and video compression technology. We have developed efficient deep learning algorithms for object detection and segmentation leveraging our deep understanding of the CVflow processor. A significant feature of our third generation CVflow SoCs is support for HD stereo and HD radar based depth and velocity sensing. We believe HD stereo and HD radar are complementary sensor modalities that provide robust depth information after fusion. This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and radar detect obstacles without relying on training for specific obstacle categories because the depth information is used to directly construct a three-dimensional model of the camera’s surroundings, including any obstacles. This allows more robust decisions to be made in applications such as autonomous driving.</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Compatible Family of SoC Solutions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current SoC designs integrate our fully-programmable and highly-efficient CVflow architecture, UHD image processing and video compression, applications processing and system functions onto a single chip, delivering exceptional performance, quality and power efficiency with differentiated features. Our multi-core DSP architecture is highly scalable and balances software programmability with hardware-accelerated performance to achieve extremely low power consumption and maximized camera battery life. We have used this scalability to develop an extensive family of software compatible SoCs with a wide range of performance and price points (CV28, CV25, CV22, CV2, CV2FS, CV5, CV3 AD685, and CV-3 High Dev). This scalable, programmable architecture provides our customers with the flexibility they need to quickly develop a wide range of differentiated products. Additionally, our SoCs integrate mixed signal (analog/digital) functionality and high speed interfaces required for interfacing to advanced high-speed CMOS sensors and industry standard interfaces such as PCI-E, USB 3.2 and HDMI 2.0. Our next generation CV3 family extends our CVflow architecture to cover L2+/L3/L4 autonomous driving and other high performance safety critical applications. The CV3 family will cover multiple performance and price points with a software compatible SDK.</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Software Development Kits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provide to our customers fully-functional software development kits with a suite of APIs which allow customers to rapidly integrate our solution, adjust product specifications and provide additional functionality to their systems, thereby enabling them to differentiate their product offerings and reduce time to market. We have software development kits for all of our core markets.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also provide a toolkit to accelerate the development of computer vision algorithms onto our hardware. We provide tools to map and optimize algorithms developed in commonly used computer vision frameworks such as PyTorch or TensorFlow into our proprietary CVflow architecture. We also provide a framework for development of higher-level computer vision tasks. This enables our customers to write complex computer vision algorithms with multiple tasks running in parallel on multiple processing engines, as would be required in applications such as autonomous driving.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Software Modules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developing optimized software modules to give customers the option to leverage our expertise and reduce development time and expense. These modules include HD radar processing for standalone and central radar processing, DL based low light and HDR image processing, monocular and stereo camera perception, and autonomous driving stack modules optimized for the CV3 family, including fusion for multiple cameras and sensor modalities, mapping and localization algorithms and planning.</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AmbaClear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proprietary image signal processing architecture, known as AmbaClear, incorporates advanced algorithms to convert raw sensor data to UHD video and/or still images. Image processing algorithms include sensor, lens and color correction, HDR tone mapping, color processing and de-mosaicing to reconstruct a full color image from incomplete color samples and specialized color filters, noise filtering, detail enhancement and image format conversion. For example, raw sensor data can be captured at up to 32-megapixel (8K) resolution at 60 frames per second. This image processing reduces noise in the sensor data and improves color, contrast and sharpness resulting in improved computer vision performance, enhanced human viewing and enhanced storage and transmission efficiencies. Our WDR and HDR processing capabilities handle greater dynamic range between the lightest and darkest areas of an image, permitting video images to reveal details that would otherwise be lost against a bright background. We have developed efficient scalable deep learning algorithms for advanced low light processing and HDR tone mapping that augment our image processing hardware. These algorithms provide significant image quality improvements over our standard image processing while running in real time at HD and higher resolutions. Our advanced de-warping capability enables cameras to use wide angle lenses to capture images from a wide area, making it ideal for a variety of IP security camera and surround view applications. Our RGB- infrared fusion capability allows a single sensor to produce simultaneous RGB and infrared images for sensing and improved low light performance.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AmbaCast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proprietary UHD video compression architecture, known as AmbaCast, incorporates advanced algorithms for motion estimation, motion-compensated 3D temporal filtering, mode decision and AI based rate control. Successful implementation of these computationally intensive steps has helped us maximize compression efficiency. We support H.264 and H.265 video compression standard with our H.265 providing up to 2x better compression efficiency compared to our H.264 video compression technology.</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Design Methodology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success of our technology platform stems from our algorithm driven design methodology. We do extensive algorithm studies in deep learning AI, image processing and compression including our internally developed and public external algorithms. We use these studies to develop high power and die area efficient processing engines compared with general purpose processors like CPUs and GPUs. We also include a high degree of programmability to provide flexibility in supporting new algorithms that we and our customers develop. We test and verify our algorithms on our proprietary architectural model prior to implementing our processor engines in hardware. Our advanced verification methodology validates our approach through simultaneous modeling of architecture, algorithms, and the hardware itself. This redundant approach enables us to identify and remediate any weaknesses early in the development cycle, providing a solid foundation on which we build our hardware implementation, and enhances our ability to achieve first-pass silicon success. We possess extensive expertise in AI deep learning, video and imaging algorithms, as well as deep sub-micron digital and mixed-signal design experience.</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Customers</w:t>
      </w:r>
    </w:p>
    <w:p>
      <w:pPr>
        <w:pStyle w:val="TextBody"/>
        <w:spacing w:before="120" w:after="0"/>
        <w:jc w:val="left"/>
        <w:rPr>
          <w:rFonts w:ascii="Times New Roman" w:hAnsi="Times New Roman"/>
          <w:sz w:val="20"/>
        </w:rPr>
      </w:pPr>
      <w:r>
        <w:rPr>
          <w:rFonts w:ascii="Times New Roman;serif" w:hAnsi="Times New Roman;serif"/>
          <w:b w:val="false"/>
          <w:sz w:val="20"/>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Sales to customers in Asia accounted for approximately 82%, 88%, and 88% of our total revenue in the fiscal years ended January 31, 2023, 2022, and 2021,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work closely with our end customer OEMs and ODMs throughout their product design cycles that often last nine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continue to develop next-generation HD video and image processing solutions for their future products.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product life cycles in many of our target markets typically range from twelve to 24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fiscal year 2023, the customers representing 10% or more of revenue were Wintech Microelectronics Co., Ltd., or WT, our Asia-based distributor, and Chicony Electronics Co., Ltd., or Chicony, a direct ODM customer that manufactures products for multiple end-customers, which accounted for approximately 57% and 12% of total revenue, respectively. We currently rely, and expect to continue to rely, on a limited number of customers for a significant portion of our revenue.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Sales and Marketing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sell our solutions worldwide using our direct sales force and our distributors. We have direct sales personnel covering the United States, Asia and Europe, and we operate sales offices in Santa Clara, California and Hong Kong, and business development offices in China, Germany, Japan, South Korea, and Taiwan. In addition, in each of these locations we employ a staff of field applications engineers to provide direct engineering support locally to our customers.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computer vision and video and image processing solution, but the eventual design and incorporation of our SoC into the product may be handled by an ODM or Tier-1 supplier on behalf of the OEM. Volume production may begin within nine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sales are generally made pursuant to purchase orders received approximately four to 30 weeks prior to the scheduled product delivery date, depending upon agreed terms with our customers and the current manufacturing lead time at the time the purchase order is received. These purchase orders may be cancelled without charge upon notification within an agreed period of time in advance of the delivery date.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sales are primarily made through standard purchase orders for delivery of products. Our manufacturing production is based on estimates and advance non-binding commitments from customers as to future purchases. We follow industry practice that allows customers to cancel, change or defer orders with limited advance notice prior to shipment. Given this practice, we do not believe that backlog is a reliable indicator of future revenue levels.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Manufacturing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Wafer Fabrication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a history of using several process nodes from 130 nm through 5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efficiency. We believe this strategy will help us remain competitive. While we currently manufacture the majority of our solutions in the 28 nm, 14 nm and 10 nm process nodes, our most recent products are manufactured in the 5 nm process node. Currently, the substantial majority of our SoCs are supplied by Samsung in facilities located in Austin, Texas and South Korea, from whom we have the option to purchase both fully-assembled and tested products as well as tested die in wafer form for assembly. We also have small volumes of some products supplied by GlobalFoundries Inc. Our foundry vendors are ISO 9001 certified.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Assembly and Testing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Samsung subcontracts the assembly and initial testing of the assembled chips it supplies to us to Signetics Corporation and STATS ChipPAC Ltd. In the case of purchases of tested die from Samsung, we contract the assembly to Advanced Semiconductor Engineering, Inc., or ASE. We contract the assembly of products supplied by Global Foundries Inc. to ASE. Final testing of our products is handled primarily by Sigurd Corporation or King Yuan Electronics Co., Ltd. under the supervision of our engineers. All test software and related processes for our products are developed by our engineers. We continually monitor the results of testing at all of our test contractors to ensure that our testing procedures are properly implemented.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part of our total quality assurance program, our quality management system has been certified to ISO 9001:2015 standards. Our assembly and testing vendors are also ISO 9001 certified.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Due to the scheduling requirements of our foundry, assembly and test contractors, we generally provide our contractors with our production forecasts and place firm orders for products with our suppliers up to 36 weeks prior to the anticipated delivery date, or potentially longer during times of acute capacity shortages, usually without a purchase order from our own customers.</w:t>
      </w:r>
    </w:p>
    <w:p>
      <w:pPr>
        <w:pStyle w:val="TextBody"/>
        <w:spacing w:before="360" w:after="0"/>
        <w:jc w:val="left"/>
        <w:rPr>
          <w:rFonts w:ascii="Times New Roman" w:hAnsi="Times New Roman"/>
          <w:sz w:val="20"/>
        </w:rPr>
      </w:pPr>
      <w:r>
        <w:rPr>
          <w:rFonts w:ascii="Times New Roman;serif" w:hAnsi="Times New Roman;serif"/>
          <w:b/>
          <w:sz w:val="20"/>
        </w:rPr>
        <w:t>Research and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believe our technology is a competitive advantage and we engage in substantial research and development efforts to develop new products and integrate AI computer vision capabilities into our HD and UHD video processing solutions. We believe that our continued success depends on our ability to both introduce improved versions of our existing solutions and to develop new solutions for the markets that we serve. As of January 31, 2023, approximately 74%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software for the HD video market.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assembled a core team of experienced engineers and systems designers in four research and development design centers located in the United States, China, Italy, and Taiwan.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Competition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competitors range from large, international companies offering a wide range of semiconductor products to smaller companies specializing in narrow markets. In the IoT market, our primary competitors include AMLogic Inc., Fuzhou Rockchip Electronics Co., Ltd., HiSilicon Technologies Co., Ltd., or HiSilicon, which is owned by Huawei Technologies Co., Ingenic Semiconductor Co., Ltd.,</w:t>
      </w:r>
      <w:r>
        <w:rPr>
          <w:rFonts w:ascii="Times New Roman" w:hAnsi="Times New Roman"/>
          <w:sz w:val="20"/>
        </w:rPr>
        <w:t xml:space="preserve"> </w:t>
      </w:r>
      <w:r>
        <w:rPr>
          <w:rFonts w:ascii="Times New Roman;serif" w:hAnsi="Times New Roman;serif"/>
          <w:b w:val="false"/>
          <w:sz w:val="20"/>
        </w:rPr>
        <w:t>Novatek Microelectronics Corp., or Novatek, NVIDIA Corporation, or NVIDIA, OmniVision Technologies, Inc., Qualcomm Incorporated, or Qualcomm, Sigmastar Technology Ltd.,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that compete with ours.</w:t>
      </w:r>
    </w:p>
    <w:p>
      <w:pPr>
        <w:pStyle w:val="TextBody"/>
        <w:spacing w:before="240" w:after="0"/>
        <w:jc w:val="left"/>
        <w:rPr>
          <w:rFonts w:ascii="Times New Roman" w:hAnsi="Times New Roman"/>
          <w:sz w:val="20"/>
        </w:rPr>
      </w:pPr>
      <w:r>
        <w:rPr>
          <w:rFonts w:ascii="Times New Roman;serif" w:hAnsi="Times New Roman;serif"/>
          <w:b w:val="false"/>
          <w:sz w:val="20"/>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sz w:val="20"/>
        </w:rPr>
        <w:t>Our ability to compete successfully in the rapidly evolving camera markets depends on several factors,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design and manufacturing of new solutions, including software, that anticipate the video processing and integration needs of our customers’ next-generation products and applications;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performance of our computer vision solutions, as measured by convolutional neural network performance, video and still picture image quality, resolution and frame processing rates;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power consumption efficiency of our solutions;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ease of implementation of our products by customers;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strength of our customer relationships;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selection of the foundry process technology and architecture tradeoffs to meet customers’ product requirements in a timely manner;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reputation and reliability;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customer support;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cost of the total solution. </w:t>
      </w:r>
    </w:p>
    <w:p>
      <w:pPr>
        <w:pStyle w:val="TextBody"/>
        <w:spacing w:before="240" w:after="0"/>
        <w:jc w:val="left"/>
        <w:rPr>
          <w:rFonts w:ascii="Times New Roman" w:hAnsi="Times New Roman"/>
          <w:sz w:val="20"/>
        </w:rPr>
      </w:pPr>
      <w:r>
        <w:rPr>
          <w:rFonts w:ascii="Times New Roman;serif" w:hAnsi="Times New Roman;serif"/>
          <w:b w:val="false"/>
          <w:sz w:val="20"/>
        </w:rPr>
        <w:t>We believe we compete favorably with respect to these factors, particularly because our solutions typically provide high-performance and low power consumption video, CNN performance, efficient integration of our advanced algorithms, exceptional storage and transmission efficiencies at lower power,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Intellectual Property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rely on a combination of intellectual property rights, including patents, trade secrets, copyrights and trademarks, and contractual protections, to protect our core technology and intellectual property. As of January 31, 2023, we had 300 issued patents in the United States, 109 of which were continuation or divisional patents, 10 issued patents in Europe, 7 issued patents in China, 7 issued patents in Japan and 86 pending patent applications in the United States. The issued patents in the United States expire beginning in 2024 through 2042. Our issued patents and pending patent applications primarily relate to image and video processing and HD video compression, AI processing, system level camera, and radar perception applications spanning multiple market segments</w:t>
      </w:r>
      <w:r>
        <w:rPr>
          <w:rFonts w:ascii="Times New Roman;serif" w:hAnsi="Times New Roman;serif"/>
          <w:b/>
          <w:sz w:val="20"/>
        </w:rPr>
        <w: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Seasonality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due in part to the Asia-based portion of the security camera market as a result of industry seasonality and the impact of ODM and OEM factory closures associated with the Chinese New Year holiday. These seasonal fluctuations may diminish if our revenue diversifies and becomes less dependent on sales of our customers’ consumer products.</w:t>
      </w:r>
    </w:p>
    <w:p>
      <w:pPr>
        <w:pStyle w:val="TextBody"/>
        <w:spacing w:before="360" w:after="0"/>
        <w:jc w:val="left"/>
        <w:rPr>
          <w:rFonts w:ascii="Times New Roman;serif" w:hAnsi="Times New Roman;serif"/>
          <w:b/>
          <w:sz w:val="20"/>
        </w:rPr>
      </w:pPr>
      <w:r>
        <w:rPr>
          <w:rFonts w:ascii="Times New Roman;serif" w:hAnsi="Times New Roman;serif"/>
          <w:b/>
          <w:sz w:val="20"/>
        </w:rPr>
        <w:t>Governmental Regulation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These laboratories may maintain small quantities of hazardous materials. While we believe we are in material compliance with applicable law concerning the safeguarding of these materials and with respect to other matters relating to health, safety and the environment, the risk of liability relating to hazardous conditions or materials cannot be eliminated completely. To date, we have not incurred significant expenditures relating to environmental compliance at our facilities nor have we experienced any material issues relating to employee health and safety.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For example, certain of our Chinese customers, or their affiliated entities, have been added to the BIS Entity List in the last couple of years, which limits our ability to ship certain products to these customers.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pStyle w:val="TextBody"/>
        <w:spacing w:before="360" w:after="0"/>
        <w:jc w:val="left"/>
        <w:rPr>
          <w:rFonts w:ascii="Times New Roman;serif" w:hAnsi="Times New Roman;serif"/>
          <w:b/>
          <w:sz w:val="20"/>
        </w:rPr>
      </w:pPr>
      <w:r>
        <w:rPr>
          <w:rFonts w:ascii="Times New Roman;serif" w:hAnsi="Times New Roman;serif"/>
          <w:b/>
          <w:sz w:val="20"/>
        </w:rPr>
        <w:t>Human Capital Resources</w:t>
      </w:r>
    </w:p>
    <w:p>
      <w:pPr>
        <w:pStyle w:val="TextBody"/>
        <w:spacing w:before="120" w:after="0"/>
        <w:jc w:val="left"/>
        <w:rPr>
          <w:rFonts w:ascii="Times New Roman" w:hAnsi="Times New Roman"/>
          <w:sz w:val="20"/>
        </w:rPr>
      </w:pPr>
      <w:r>
        <w:rPr>
          <w:rFonts w:ascii="Times New Roman;serif" w:hAnsi="Times New Roman;serif"/>
          <w:b w:val="false"/>
          <w:sz w:val="20"/>
        </w:rPr>
        <w:t>Innovation has been the lifeblood of our company since our founding in 2004. We continually strive to develop leading-edge image and video, and now AI, processors using the most advanced semiconductor processes available to create high performance, power efficient SoCs. We depend on our people to sustain our competitive advantages.</w:t>
      </w:r>
      <w:r>
        <w:rPr>
          <w:rFonts w:ascii="Times New Roman" w:hAnsi="Times New Roman"/>
          <w:sz w:val="20"/>
        </w:rPr>
        <w:t xml:space="preserve"> </w:t>
      </w:r>
    </w:p>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January 31, 2023, we employed a total of 937 people, including 260 in the United States, 595 in Asia, primarily 355 in Taiwan and 223 in China, and 82 in Europe. Approximately 74% of our employees are engaged in research and development, 2% in operations, and 24% in sales, marketing and administration. As of January 31, 2023, females represented 29% of our independent directors, 21% of senior management, 16% of our technical roles, and 20% of our total workforce. Of our total employee workforce, 38%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of our offices to keep employees apprised of company activities and objectives and to provide an opportunity for all employees to meet and ask questions. All employees receive training in the prevention of sexual harassment and abusive conduct in the workplace.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the success of our company by motivating such individuals to perform to the best of their abilities and achieve both our short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 Approximately 81% of eligible U.S. employees participate in our 401(k) plan, and 89% of eligible employees participated in the most recent offering period of our employee stock purchase plan.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average tenure of our employees is approximately 7.4 years and approximately 30%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2023 was approximately 7.4%.</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primary focus during the COVID-19 pandemic has been protecting the health and safety of our employees and the communities in which we operate. In our locations that have experienced high rates of infection, employees have worked remotely to reduce spread of the virus.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Corporate Information</w:t>
      </w:r>
    </w:p>
    <w:p>
      <w:pPr>
        <w:pStyle w:val="TextBody"/>
        <w:spacing w:before="240" w:after="0"/>
        <w:jc w:val="left"/>
        <w:rPr>
          <w:rFonts w:ascii="Times New Roman" w:hAnsi="Times New Roman"/>
          <w:sz w:val="20"/>
        </w:rPr>
      </w:pPr>
      <w:r>
        <w:rPr>
          <w:rFonts w:ascii="Times New Roman;serif" w:hAnsi="Times New Roman;serif"/>
          <w:b w:val="false"/>
          <w:sz w:val="20"/>
        </w:rPr>
        <w:t>Ambarella was founded and incorporated in the Cayman Islands in January 2004. Our registered address is PO Box 309GT, Ugland House, South Church Street, George Town, Grand Cayman, Cayman Islands. The address of our U.S. operating subsidiary is Ambarella Corporation, 3101 Jay Street, Santa Clara, California. The Securities and Exchange Commission, or SEC, maintains a website at www.sec.gov that contains reports, proxy, and information statements, and other information regarding registrants that file electronically. You may also obtain copies of our Forms 10-K, 10-Q, 8-K, and other filings with the SEC, and all amendments to these filings, free of charge, by visiting the Investor Relations page on our website (http://investor.ambarella.com</w:t>
      </w:r>
      <w:r>
        <w:rPr>
          <w:rFonts w:ascii="Times New Roman;serif" w:hAnsi="Times New Roman;serif"/>
          <w:b w:val="false"/>
          <w:sz w:val="20"/>
          <w:u w:val="single"/>
        </w:rPr>
        <w:t>)</w:t>
      </w:r>
      <w:r>
        <w:rPr>
          <w:rFonts w:ascii="Times New Roman" w:hAnsi="Times New Roman"/>
          <w:sz w:val="20"/>
        </w:rPr>
        <w:t xml:space="preserve"> </w:t>
      </w:r>
      <w:r>
        <w:rPr>
          <w:rFonts w:ascii="Times New Roman;serif" w:hAnsi="Times New Roman;serif"/>
          <w:b w:val="false"/>
          <w:sz w:val="20"/>
        </w:rPr>
        <w:t>as soon as reasonably practicable following our filing of any of these reports with the SEC. Information on our website is not incorporated into this Annual Report on Form 10-K or our other securities filings and is not a part of such filings.</w:t>
      </w:r>
    </w:p>
    <w:p>
      <w:pPr>
        <w:pStyle w:val="TextBody"/>
        <w:spacing w:before="240" w:after="0"/>
        <w:jc w:val="left"/>
        <w:rPr/>
      </w:pPr>
      <w:r>
        <w:rPr/>
        <w:t> </w:t>
      </w:r>
    </w:p>
    <w:p>
      <w:pPr>
        <w:pStyle w:val="TextBody"/>
        <w:spacing w:before="0" w:after="0"/>
        <w:jc w:val="left"/>
        <w:rPr>
          <w:rFonts w:ascii="Times New Roman;serif" w:hAnsi="Times New Roman;serif"/>
          <w:b/>
          <w:sz w:val="20"/>
        </w:rPr>
      </w:pPr>
      <w:bookmarkStart w:id="4" w:name="risk_factors"/>
      <w:bookmarkEnd w:id="4"/>
      <w:r>
        <w:rPr>
          <w:rFonts w:ascii="Times New Roman;serif" w:hAnsi="Times New Roman;serif"/>
          <w:b/>
          <w:sz w:val="20"/>
        </w:rPr>
        <w:t>ITEM 1A. Risk Factors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Summary of Risk Factors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business and our industry is subject to numerous risks and uncertainties, including those described in the following Risk Factors. These risks include, but are not limited to,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Risks related to the global semiconductor supply shortage, high inflation and weak economic conditions could adversely affect our business, financial condition, and results of operations.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fail to penetrate new markets, including the automotive original equipment manufacturer, or OEM, advanced driver assistance systems (ADAS) market, our revenue and financial condition could be harmed.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our customers do not design our solutions into their product offerings, or if our customers’ product offerings are not commercially successful, our business would suffer.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fail to develop and introduce new or enhanced solutions that meet market requirements on a timely basis, our ability to attract and retain customers could be impaired and our competitive position could be harmed.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Shortages in, or increased costs of, wafers and materials could adversely impact our gross margins and lead to reduced revenues.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primary inventory warehouse is located in Hong Kong and may be affected by political, social and economic conditions in Hong Kong.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Our target markets may not grow or develop as we currently expect and are subject to market risks, any of which could harm our business, revenue and operating results.</w:t>
      </w:r>
      <w:r>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COVID-19 pandemic has adversely affected our business and could materially and adversely affect our business in the future.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customers may cancel their orders, change production quantities or delay production. If we fail to accurately forecast demand for our solutions, revenue shortfalls or excess, obsolete or insufficient inventory could result.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depend on a limited number of customers and end customers for a significant portion of our revenue. If we fail to retain or expand our customer relationships, our revenue could decline.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Achieving design wins is subject to lengthy competitive selection processes that require us to incur significant costs. Even if we begin a product design, a customer may decide to cancel or change its product plans, resulting in no revenue from such expenditures.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competition to increase in the future, which could have an adverse effect on our revenue and market share.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 breach of our security systems may have a material adverse effect on our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While we intend to continue to invest in research and development, we may be unable to make the substantial investments that are required to remain competitive in our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rely on highly skilled personnel and, if we are unable to hire, retain or motivate key personnel, we may not be able to grow effectively. Similarly, the loss of any of our key personnel could seriously harm our business.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average selling prices of semiconductor solutions in our target markets have typically decreased over time and will likely do so in the future, which could harm our revenue and gross margins.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we are unable to manage any future growth, we may not be able to execute our business plan and our operating results could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Deterioration of the financial conditions of our customers could adversely affect our operating results.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subject to the cyclical nature of the semiconductor industry. We may have difficulty accurately predicting our future revenue and appropriately budgeting our expenses.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difficulties transitioning to new wafer fabrication process technologies or achieving higher levels of design integration, which may result in reduced manufacturing yields, delays in product deliveries and increased costs.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Rapidly changing industry standards could make our video and image processing solutions obsolete, which would cause our operating results to suffer.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Some of our operations and a significant portion of our customers and our subcontractors are located outside of the United States, which subjects us to additional risks, including increased complexity and costs of managing international operations and geopolitical instability.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integration risks relating to our acquisition of Oculii Corp. Any acquisitions we may make in the future could disrupt our business, cause dilution to our shareholders, reduce our financial resources and harm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face tax risks, including relating to the complexity of calculating our tax provision, changes in effective tax rates, or unfavorable tax law changes.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Fluctuations in our operating results on a quarterly and annual basis could cause the market price of our ordinary shares to decline.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If we do not generate revenue growth, we may not be able to execute our business plan and our operating results could suffer.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do not have long-term supply contracts with our third-party manufacturing vendors, and they may not allocate sufficient capacity to us at reasonable prices to meet future demands for our solutions.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customers incorporate components supplied by multiple third parties, and a supply shortage or delay in delivery of these components could delay orders for our solutions by our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 substantial portion of our revenue is processed through a single distributor and the loss of this distributor may cause disruptions in our shipments, which may adversely affect our operations and financial condition.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are subject to risks associated with our distributors' product inventories.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rely on various third party vendors, service providers and contractors in the operation of our business.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sell our products to certain China customers has been restricted. In addition, we are subject to governmental export and import controls that could subject us to liability or impair our ability to compete in international markets, including China.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Global economic and political conditions, including high inflation and trade restrictions, may impact our business and financial condition in ways that we currently cannot predict.</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are subject to warranty and product liability claims and to product recalls.</w:t>
      </w:r>
      <w:r>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subject to numerous regulatory compliance requirements, which are costly to comply with, and our failure to comply with these requirements could harm our business and operating results.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Business and Our Industry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Impacts of the global semiconductor supply shortage and high inflation could adversely affect our business, financial condition, and results of operations.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With respect to our suppliers, we have in the past experienced supply constraints for certain chips from Samsung and we may in the future experience similar issues. With respect to our customers, to the extent customers face supply chain issues with respect to other components needed to pair with our products in order to produce their end products, such customers may delay future orders of our products or hold inventory of our products for longer periods of time. While we are continuing to work closely with our suppliers and customers to minimize the potential adverse impacts of the supply shortage and longer lead times, we have experienced increased volatility in our business. Recently, some customers have indicated they are reducing their inventory levels as lead times for semiconductor chips and other components used by customers begin to shrink, which may reduce such customers’ demand for our products in future periods and harm our financial results. The global supply shortages and uncertainty in customer demand and the worldwide economy in general may be exacerbated by the impacts of high inflation and global banking concerns, and we may experience increased volatility in sales and revenues as a result.</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customers do not design our solutions into their product offerings, or if our customers’ product offerings are not commercially successful, our business would suffer.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may make it more difficult to secure future design wins with China customers.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penetrate new markets, including the automotive OEM ADAS market, our revenue and financial condition could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our future revenue growth, if any, will significantly depend on our ability to expand within the Intelligence of Things, or IoT, camera markets with our new artificial intelligence, or AI, computer vision SoC solutions, and the OEM automotive, robotics and industrial markets.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fail to develop and introduce new or enhanced solutions that meet market requirements on a timely basis, our ability to attract and retain customers could be impaired and our competitive position could be harmed.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Shortages in, or increased costs of, wafers and materials could adversely impact our gross margins and lead to reduced revenues.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has recently experienced significant shortages of manufacturing capacity, which resulted in a lengthening of the manufacturing lead time for our products and which has at times harmed our revenue. While this capacity shortage has improved, lead times for our products remain longer than normal, which could negatively impact our ability to meet our customer’s demand for our products and have an adverse impact on our revenue, results of operations and customer relationships.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our customers having excess inventory. Recently, some customers have indicated they are reducing their inventory levels as lead times for semiconductor chips and other components used by customers begin to shrink, which may reduce such customers’ demand for our products in future periods and harm our financial results.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primary inventory warehouse is located in Hong Kong and may be affected by continued political, social, health and economic conditions in Hong Kong.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operate a warehouse facility in Hong Kong through which the substantial majority of our finished SoCs are shipped to customers or our logistic partners. Hong Kong has experienced, and continues to experience, political unrest and social strife in addition to the impact of ongoing COVID-19 pandemic and measures to control spread of the virus. The Bureau of Industry and Security, or BIS, has imposed restrictions on exports and reexports of U.S.-controlled items to Hong Kong by imposing stringent licensing requirements similar to those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target markets may not grow or develop as we currently expect and are subject to market risks, any of which could harm our business, revenue and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computer vision technology in automotive or IP security camera applications could slow the demand for our new solutions. If our key target markets do not grow, grow slower, or do not develop in ways that we currently expect, demand for our SoCs may not materialize as expected, and our business and operating results could suffer.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COVID-19 pandemic has adversely affected our business and could materially and adversely affect our business in the future.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caused, and are expected to continue to cause, disruption to our operations. We have had to impose remote or work from home conditions at different times for varying periods of time in most of our offices. Approximately 360 of our employees are located in Taiwan and approximately 220 employees are located in China, and lengthy closures of these offices could significantly disrupt our software engineering and customer support operations. In addition, we and our suppliers, third-party distributors and customers have been, and may in the future again be, disrupted by quarantines and restrictions on certain employees’ ability to perform their jobs, office closures or restrictions, disruptions to shipping infrastructure, or other travel or health-related restrictions. Moreover, if there is a significant COVID-19 outbreak that impacts Samsung’s ability to manufacture our SoCs or our third-party contractors’ ability to assemble, test and ship our products, we could experience delays or reductions in our ability to ship products to our customers.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fiscal year 2023, we experienced, and we expect to continue to experience, a significant disruption of orders by customers, due in part to impacts of the COVID-19 pandemic. During the first half of fiscal year 2023, we experienced a significant increase in the manufacturing lead time for our products, including supply constraints for certain chips from Samsung Electronics Corporation (Samsung), which disrupted the normal ordering patterns of our customers and harmed our revenue, but which may have in turn led to increased customer demand for our products in order to increase their inventory levels. Recently, customers have indicated they are reducing their inventory levels as lead times for semiconductor chips and other components used by customers shrink, which has reduced, and may continue to reduce, such customers’ demand for our products in future periods. High inflation may exacerbate these risks. In addition, decreased consumer demand from the impact of pandemic lockdowns in China contributed to, and could in the future contribute to, decreased revenue in consumer-related markets. There can be no assurance that any decrease in sales resulting from the impacts of the COVID-19 pandemic will be offset by increased sales in subsequent periods.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customers may cancel their orders, change production quantities or delay production. If we fail to accurately forecast demand for our solutions, revenue shortfalls or excess, obsolete or insufficient inventory could result.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have increased our inventory levels in the near term. Recently, some customers have indicated they are reducing their inventory levels of our products, which may reduce such customers’ demand for our products in future quarters.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depend on a limited number of customers and end customers for a significant portion of our revenue. If we fail to retain or expand our customer relationships, our revenue could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2023, the customers representing 10% or more of our revenue were WT Microelectronics Co., Ltd., or WT, our distributor, and Chicony Electronics Co., Ltd., or Chicony, a direct ODM customer, which accounted for approximately 57% and 12% of total revenue, respectively. In addition, we believe that revenue from our top 10 OEM customers, either directly or through a distributor or an ODM on behalf of it, accounted for approximately 47% of our total revenue in fiscal year 2023.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expect competition to increase in the future, which could have an adverse effect on our revenue and market share.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w:t>
      </w:r>
      <w:r>
        <w:rPr>
          <w:rFonts w:ascii="Times New Roman" w:hAnsi="Times New Roman"/>
          <w:sz w:val="20"/>
        </w:rPr>
        <w:t xml:space="preserve"> </w:t>
      </w:r>
      <w:r>
        <w:rPr>
          <w:rFonts w:ascii="Times New Roman;serif" w:hAnsi="Times New Roman;serif"/>
          <w:b w:val="false"/>
          <w:sz w:val="20"/>
        </w:rPr>
        <w:t>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anticipate market and technology trends and successfully develop solutions that meet market needs;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understand the price points and performance metrics of competing products in the marketplace;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solutions’ performance and cost-effectiveness relative to that of competing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success in identifying and penetrating new markets, applications and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gain access to leading design tools and product specifications at the same time as our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develop and maintain relationships with key OEMs and ODMs;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products’ effective implementation of video processing or radar standards;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protect our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expand international operations in a timely and cost-efficient manner;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deliver products in volume on a timely basis at competitive prices;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support our customers’ incorporation of our solutions into their products;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recruit design and application engineers with expertise in computer vision, video and image processing technologies and sales and marketing personnel.</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 breach of our security systems may have a material adverse effect on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security systems are designed to maintain the physical security of our facilities and information systems and protect our customers’, suppliers’ and employees’ confidential information. Accidental or willful security breaches or incidents or other unauthorized access by third parties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The costs to us to eliminate or alleviate cyber or other security problems, bugs, viruses, ransomware and other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Security breaches and incidents, computer malware and computer hacking attacks have become more prevalent and sophisticated. These threats are constantly evolving, making it increasingly difficult to successfully defend against or implement adequate preventive measures, and we may face difficulties or delays in identifying and otherwise responding to any security breach or incident. Moreover, remote work by our personnel and remote access to our systems have increased significantly, which also increases our cybersecurity risk profile. We expect to incur significant costs in an effort to detect and prevent security breaches and incidents, and we may face increased costs and requirements to expend substantial resources in the event of an actual or perceived security breach or incident. Experienced computer programmers and hackers may be able to penetrate our security controls and misappropriate or compromise our confidential information or that of third parties or create system disruptions. Computer programmers and hackers also may be able to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incidents, and attacks compromising or otherwise impacting their products, and their products may contain security vulnerabilities, each of which could impact our systems. Data security breaches and incidents may also result from non-technical means, including, for example, intentional malfeasance or negligence by an employee or contractor. Any data security breach or incident or theft, misuse, loss, unavailability or other unauthorized processing of this information, or the perception that any of these matters has occurred, could result in, among other things, damage to our reputation, allegations by our customers that we have not performed our contractual obligations, regulatory investigations and other proceedings, litigation by affected parties and possible penalties, damages, and other liabilities, any of which could have a material adverse effect on our business, financial condition, our reputation, and our relationships with our customers and partners. We may also encounter errors resulting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 Due to political uncertainty and military actions associated with the ongoing hostility between Russia and Ukraine, we and our vendors, contractors, and other third parties we work with are vulnerable to a heightened risk of cybersecurity attacks, phishing attacks, viruses, malware, ransomware, hacking or similar breaches and incidents from nation-state and affiliated actors, including attacks that could materially disrupt our supply chain and our systems and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third-party service providers also are subject to similar, and in certain cases greater, security threats. Any unauthorized access by third parties to the systems of our cloud-based service providers, any other security breaches or incidents impacting such systems, or the existence of computer viruses, ransomware or other malicious code in their data or software could expose us to a risk of loss, misappropriation, unavailability and other unauthorized processing of information.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While we intend to continue to invest in research and development, we may be unable to make the substantial investments that are required to remain competitive in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requires substantial investment in research and development in order to bring to market new and enhanced solutions. Our research and development expense was $204.9 million, $167.3 million and $140.8 million in fiscal years 2023, 2022 and 2021, respectively.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loss of any of our key personnel could seriously harm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rely on highly skilled personnel and, if we are unable to hire, retain or motivate key personnel, we may not be able to grow effectively.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average selling prices of semiconductor solutions in our target markets have typically decreased over time and will likely do so in the future, which could harm our revenue and gross margins.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are unable to manage any future growth, we may not be able to execute our business plan and our operating results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recruit, hire, train and manage additional qualified engineers for our research and development activities, particularly for the positions of semiconductor design and systems, AI computer vision development and applications engineering;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 additional sales and business development personnel;</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maintain and improve our administrative, financial and operational systems, procedures and controls;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enhance our information technology support for enterprise resource planning and design engineering by adapting and expanding our systems and tool capabilities, and properly training new hires as to their use;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be able to secure sufficient manufacturing capacity.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Deterioration of the financial conditions of our customers could adversely affect our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Deterioration of the financial condition of our distributors or customers could adversely impact our collection of accounts receivable. For the fiscal year ended January 31, 2023, the customers representing 10% or more of revenue were WT and Chicony, which accounted for approximately 57% and 12% of total revenue, respectively. As of January 31, 2023, accounts receivable with WT and Chicony were approximately $21.0 million and $9.4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the cyclical nature of the semiconductor industry.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Most recently, some customers have indicated their intent to reduce their inventory levels as capacity shortages improve, which may decrease such customers’ demand for our solutions in future periods and, in turn, harm our financial results.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nodes,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Rapidly changing industry standards could make our video and image processing solutions obsolete, which would cause our operating results to suffer.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increased complexity and costs of managing international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longer and more difficult collection of receivables from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difficulties in enforcing contracts generally;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regional economic instability;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geopolitical instability and military conflicts, including the ongoing conflict in Ukraine;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limited protection of our intellectual property and other assets;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compliance with local laws and regulations and unanticipated changes in local laws and regulations, including tax laws and regulations;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trade and foreign exchange restrictions and higher tariffs;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travel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timing and availability of import and export licenses and other governmental approvals, permits and licenses, including export classification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exchange fluctuations relating to our international operating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restrictions imposed by the U.S. government on our ability to do business with certain companies or in certain countries as a result of international political conflicts;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transportation delays and other consequences of limited local infrastructure, and disruptions, such as large-scale outages or interruptions of service from utilities or telecommunications providers;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heightened risk of terrorist acts;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local business and cultural factors that differ from standards and practices in the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differing employment practices and labor relations;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regional health issues, pandemics, and natural disasters;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work stoppages.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face integration risks relating to our acquisition of Oculii Corp.</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November 2021, we completed our acquisition of Oculii Corp. The benefits we expect to realize from this acquisition will depend, in part, on our ability to integrate the businesses successfully and efficiently.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acquired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This integration has been complex and time consuming and requires substantial resources and effort. If the businesses or technology are not successfully integrated, the anticipated benefits of the merger may not be realized fully or at all or may take longer to realize than expected. In addition, the acquisition may also result in significant charges or other liabilities, including taxes, that could adversely affect our results of operations.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Any acquisitions we may make in the future could disrupt our business, cause dilution to our shareholders, reduce our financial resources and harm our business.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Prior to our acquisition of Oculii in 2021, we had not made any acquisitions since our acquisition of VisLab S.r.l. in 2015. Our ability to make and successfully integrate acquisitions is largely unproven.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complexity of calculating our tax provision may result in errors that could result in restatements of our financial statements.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Financial Performance or Results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Fluctuations in our operating results on a quarterly and annual basis could cause the market price of our ordinary shares to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effects of the COVID-19 pandemic, recent supply chain disruptions and semiconductor capacity shortages, and high inflation. In future periods, our forecasted or actual revenue and results of operations may be below the expectations of analysts and investors, which could cause the market price of our ordinary shares to decline.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Factors that may affect our operating results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demand, sales cycles, product mix, and prices for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forecasting, scheduling, rescheduling or cancellation of orders by our customers;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shifts in consumer or manufacturer preferences and any resultant change in demand for our customers’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the competitive dynamics of our markets, including new entrants or pricing pressures;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delays in our customers’ ability to manufacture and ship products that incorporate our solutions caused by internal and external factors beyond our control;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successfully define, design and release new solutions in a timely manner that meet our customers’ needs;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timely availability of adequate manufacturing capacity from our manufacturing subcontractors;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manufacturing costs, including wafer, test and assembly costs, mask costs, manufacturing yields and product quality and reliability;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timing of product announcements by our competitors or by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incurrence of research and development and related new products expenditures;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write-downs of inventory for excess quantities and technological obsolescence;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impairment of investment or other asset values;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accounting pronouncements and changes in accounting policies;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volatility in our share price, which may lead to higher stock-based compensation expense;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volatility in our effective tax rate;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socioeconomic and political conditions in the countries where we operate or where our products are sold or used, including recent macroeconomic volatility, the COVID-19 pandemic, U.S.-China relations and the conditions in Hong Kong;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costs associated with litigation, especially related to intellectual property.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Most recently, some customers have indicated their intent to reduce their inventory levels as capacity shortages improve, which may decrease such customers’ demand for our products in future periods, which could harm our financial results.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we do not generate revenue growth, we may not be able to execute our business plan and our operating results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have difficulty accurately predicting our future revenue and appropriately budgeting our expenses.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In the recent years, we expanded our staffing and increased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to financial accounting standards may affect our results of operations and could cause us to change our business practices.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Fluctuations in exchange rates between and among the currencies of the countries in which we do business may adversely affect our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Sales to customers in Asia accounted for approximately 82%, 88% and 88% of our total revenue in fiscal years 2023, 2022 and 2021, respectively.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cannot predict our future capital needs, and we may not be able to obtain additional financing to fund our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marketable securities portfolio could experience a decline in market value or otherwise become illiquid, which could materially and adversely affect our financial results.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 of January 31, 2023, we had approximately $101.2 million in money market funds and debt security investments. The debt security investments consisted of commercial paper, debt securities of corporations or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For example, in March 2023, Silicon Valley Bank (SVB) was closed and the Federal Deposit Insurance Corporation (FDIC) was appointed as receiver. At the time of closing on March 10, 2023, we had cash deposits with SVB of approximately $17.0 million. We also had cash equivalents and marketable debt security investments residing in custodial accounts held by U.S. Bank for which SVB Asset Management was the investment advisor until March 15, 2023. While we were able to recover all deposited amounts from SVB, there can be no assurance that our current or future banks will not face similar risks as SVB or that we will be able to recover in full our deposits in the event of similar closures. We regularly maintain cash balances that are not insured or are in excess of the FDIC’s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Dependence on Third Parties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do not have long-term supply contracts with our third-party manufacturing vendors, and they may not allocate sufficient capacity to us at reasonable prices to meet future demands for our solutions.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customers incorporate components supplied by multiple third parties, and a supply shortage or delay in delivery of these components could delay orders for our solutions by our customers.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the semiconductor industry recently experienced shortages of certain devices, including microcontrollers, PMICs, Wi-Fi chips, which impacted our customers’ ability to build their products and negatively impact our customers’ demand for our solutions. We believe these shortages were exacerbated by the COVID-19 pandemic.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Availability of capacity within our supply chain tightened during fiscal year 2023, which at times limited the volume of products we can produce, negatively impacting our business and operations, and similar capacity constraints may adversely affect our business in the future.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 substantial portion of our revenue is processed through a single distributor and the loss of this distributor may cause disruptions in our shipments, which may adversely affect our operations and financial condition.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sell a significant percentage of our solutions through a single distributor, WT, which serves as our non-exclusive sales representative in Asia, other than Japan. Approximately 57%, 62% and 63% of our revenue was derived from sales through WT for the fiscal years ended January 31, 2023, 2022 and 2021, respectively.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risks associated with our distributors' product inventories.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Recently, some end customers have indicated they are seeking to reduce their inventory levels, which may reduce such customers’ demand for our products, including products purchased through our distributors, in future periods and harm our financial results.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foundry vendors do not achieve satisfactory yields or quality, our reputation and customer relationships could be harmed.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rely on third-party vendors to supply software development tools to us for the development of our new products, and we may be unable to obtain the tools necessary to develop or enhance new or existing products.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rely on third parties to provide services and technology necessary for the operation of our business. Any failure of one or more of our vendors, suppliers or licensors to provide such services or technology could harm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Any disruption to the operations of our third-party contractors and their suppliers could cause significant delays in the production or shipment of our products.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Legal and Regulatory Environment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Global economic and political conditions, including high inflation, recessionary concerns and trade restrictions, may have an impact on our business and financial condition in ways that we currently cannot predict.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General trade tensions between the United States and China have been escalating, which has, in our view, created and will perpetuate an uncertain business environment. Additionally, the U.S. government announced new controls restricting the ability to send certain products and technology related to semiconductors, semiconductor manufacturing, advanced computing, and supercomputing to China without an export license. In many cases, these licenses are subject to a policy of denial and will not be issued. While our current products are not restricted by these controls, such controls could impact our ability to export products to China in the future. It also is possible that the Chinese government will retaliate in ways that could impact our business.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Russia’s ongoing conflict with Ukraine has triggered significant sanctions from U.S. and European leaders. Resulting changes in U.S. trade policy could trigger retaliatory actions by Russia, its allies and other affected countries, including China, resulting in a trade war. For example, in addition to controls imposed on China discussed above, following Russia’s invasion of Ukraine, the United States and other countries imposed certain economic sanctions and severe export control restrictions against Russia and Belarus, as well as certain Russian nationals, which caused us to terminate certain business relationships in those countries.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significant business operations in Taiwan, including approximately 360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ability to sell our products to several China customers has been restricted.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Several of our customers, including Hangzhou Hikvision Digital Technology Co., Ltd, or Hikvision, Zhejiang Dahua Technology Co., Ltd., or Dahua, and affiliates of Shenzhen Dajiang Baiwang Technology Co., Ltd., have been added to the Entity List of the Bureau of Industry and Security, or BIS, of the U.S. Department of Commerce, or Commerce, which imposes limitations on the supply of certain U.S. items to the listed entities. In October 2022, BIS imposed additional restrictions on transactions with Dahua involving items subject to BIS export regulations. These export regulations negatively impact our ability to ship items subject to BIS regulations to these listed entities. Notwithstanding our ability to continue to supply some SoC products to some affiliates of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governmental export and import controls that could subject us to liability or impair our ability to compete in international markets.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warranty and product liability claims and to product recalls.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We are subject to governmental laws, regulations and other legal obligations related to privacy, data protection and cybersecurity.</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legislative and regulatory framework for privacy, data protection and cybersecurity issues worldwide is rapidly evolving and is likely to remain uncertain for the foreseeable future. We collect and otherwise process personal information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use and other processing of personal information and other data obtained from their residents or by businesses operating within their jurisdictions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California has adopted a new law, the California Privacy Rights Act of 2020, or CPRA, that substantially expanded the CCPA as of January 1, 2023. The CCPA, as amended and modified by the CPRA, gives California residents the right to access, delete and opt out of certain sharing of their information, and imposes penalties for failure to comply. Other U.S. states have proposed, and in certain cases enacted, similar general privacy legislation.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Significant uncertainty remains regarding how regulators will interpret and enforce these laws, but the Data Security Law contains provisions that allow substantial government oversight and include fines for failure to obtain required approval from China’s cyber and data protection regulators for cross-border personal information-related data transfers. PIPL authorizes enforcement by cybersecurity authorities and other regulators, and provides for fines and other remedies for noncompliance.</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Aspects of these laws remain unclear, resulting in further uncertainty and potentially requiring us to modify our data practices and policies and to incur substantial additional costs and expenses in an effort to comply. Because the interpretation and application of many laws and regulations relating to privacy, data protection, and data security, along with industry standards, are uncertain, it is possible that these laws and regulations may be interpreted and applied in a manner that is inconsistent with our data management practices or the features of our products or solutions, and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privacy and data protection concerns, or to comply with applicable laws, regulations, policies, industry standards, contractual obligations or other legal obligations, even if unfounded, could result in additional cost and liability to us, inhibit sales, damage our reputation and adversely affect our business.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Failure to comply with the U.S. Foreign Corrupt Practices Act, or FCPA, and similar laws associated with our activities outside of the United States could subject us to penalties and other adverse consequences.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our customers and third-party contractors are subject to increasingly complex environmental regulations and compliance with these regulations may delay or interrupt our operations and adversely affect our business.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Regulations related to “conflict minerals” may force us to incur additional expenses, may make our supply chain more complex and may result in damage to our reputation with customers.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are subject to regulatory compliance requirements, including Section 404 of the Sarbanes-Oxley Act of 2002, which are costly to comply with, and our failure to comply with these requirements could harm our business and operating results.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in effective tax rates or adverse outcomes resulting from examination of our income tax returns could adversely affect our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 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In August 2022, the U.S. enacted the Inflation Reduction Act of 2022 (IRA) which includes a new 15% corporate minimum tax as well as a 1% excise tax on the fair value of corporate stock repurchases made by U.S. corporations and certain foreign corporations after December 31, 2022. We do not expect the IRA to have a material impact on our financial statements.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Unfavorable tax law changes, an unfavorable governmental review of our tax returns, changes in our geographical earnings mix or imposition of withholding taxes on repatriated earnings could adversely affect our effective tax rate and our operating results.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operations are subject to certain taxes, such as income and transaction taxes, in the Cayman Islands, the United States, China, Hong Kong, Japan, Italy, Germany,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over the last several years, the Organization for Economic Co-operation and Development (OECD)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In 2021, more than 140 countries tentatively signed on to a framework that imposes a global minimum tax of 15%. The Council of the European Union has adopted this initiative for enactment by European Union member states by December 31, 2023, with implementation into the domestic laws of those states by the end of 2023, with the rules to be applicable for fiscal years starting on or after December 31, 2023 for multinationals that meet the annual threshold of at least EUR 750 million of consolidated revenues. Additional changes to global tax laws are likely to occur, and such changes may adversely affect our effective tax rate, operating results, and cash flow.</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may be classified as a passive foreign investment company which could result in adverse U.S. federal income tax consequences for U.S. holders of our ordinary shares.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Based on the current and anticipated valuation of our assets and the composition of our income and assets, we do not expect to be considered a passive foreign investment company, or PFIC, for U.S. federal income tax purposes for our 2023 fiscal year or the foreseeable future. However, a separate determination must be made at the close of each taxable year as to whether we are a PFIC for that taxable year, and we cannot assure you that we will not be a PFIC for our 2024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Changes in our United States federal income tax classification, or that of our subsidiaries, could result in adverse tax consequences to our 10% or greater U.S. shareholders.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Tax Act may have changed the consequences to U.S. shareholders that own, or are considered to own, as a result of the attribution rules, 10% or more of the voting power or value of the stock of a non-U.S. corporation (a 10% U.S. shareholder) under the U.S. federal income tax law applicable to owners of U.S. controlled foreign corporations, or CFCs.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Prior to the Tax Act, we did not believe that we, or any of our non-U.S. subsidiaries, were considered a CFC, which is a determination made daily based on whether the 10% U.S. shareholders together own, or are considered to own under the attribution rules, more than 50% of the voting power or value of a non-U.S. corporation. Under the Tax Act, however, because our group includes one or more U.S. subsidiaries, certain of our non-U.S. subsidiaries may be classified as CFCs with respect to any single 10% U.S. shareholder, even without regard to whether 10% U.S. shareholders together own, directly or indirectly, more than 50% of the voting power or value of the Company. Our 10% or greater U.S. shareholders should consult their individual tax advisors for advice regarding the 2017 Act revision to the U.S. federal income tax law applicable to owners of CFCs.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Third parties’ assertions of infringement of their intellectual property rights could result in our having to incur significant costs and cause our operating results to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stop selling products or using technology that contain the allegedly infringing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incur significant legal expenses;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 substantial damages to the party whose intellectual property rights we may be found to be infringing;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redesign those products that contain the allegedly infringing intellectual property;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attempt to obtain a license to the relevant intellectual property from third parties, which may not be available on reasonable terms or at all; or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lose the opportunity to license our technology to others or to collect royalty payments based upon successful protection and assertion of our intellectual property against others.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significant impairment of our intellectual property rights from any litigation we face could harm our business and our ability to compete.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Any potential dispute involving our patents or other intellectual property could affect our customers, which could trigger our indemnification obligations to them and result in substantial expense to us.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use of open source software in our products, processes and technology may expose us to additional risks and compromise our proprietary intellectual property.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Risks Related to Ownership of Our Ordinary Shares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market price of our ordinary shares may be volatile, which could cause the value of your investment to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market price of our ordinary shares has historically been highly volatile, and has been particularly volatile in recent years. For example, since February 1, 2020, the trading price of our common stock ranged from a low of $36.02 to a high of $227.59 and was $89.84 at the close of trading on January 31, 2023. The trading price of our ordinary shares is likely to remain volatile and could be subject to wide fluctuations in price in response to various factors, some of which are beyond our control. These factors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financial estimates, including our ability to meet our future revenue and operating profit or loss projections;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our operating results or those of other semiconductor or comparable companies;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fluctuations in the economic performance or market valuations of companies perceived by investors to be comparable to 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economic developments in the semiconductor industry as a whole;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economic conditions, including conditions related to the banking industry or caused by pandemics and high inflation, and slow or negative market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trade and other geopolitical activities affecting markets we address;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announcements by us or our competitors of acquisitions, new products, significant contracts or orders, commercial relationships or capital commitments;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ability to develop and market new and enhanced solutions on a timely basis;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changes in the demand for our customers’ products;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commencement of or our involvement in litigation;</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disruption to our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any major change in our board of directors or management;</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political or social conditions in the markets where we sell our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governmental regulations;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changes in earnings estimates or recommendations by securities analysts.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Our actual operating results may not meet or exceed our guidance and investor expectations, which would likely cause our stock price to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 Similarly, if our guidance does not meet or exceed expectations of investors or securities analysts, the trading price of our ordinary shares is likely to decline.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The price of our ordinary shares could decrease as a result of shares being sold in the market.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We do not intend to pay dividends on our ordinary shares and, consequently, a shareholder’s ability to achieve a return on its investment will depend on appreciation in the price of our ordinary shares.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Provisions of our memorandum and articles of association and Cayman Islands corporate law may discourage or prevent an acquisition of us which could adversely affect the value of our ordinary shares.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Provisions of our memorandum and articles of association and Cayman Islands law may have the effect of delaying or preventing a change of control or changes in our management. These provisions include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division of our board of directors into three classes;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right of our board of directors to elect a director to fill a vacancy created by the expansion of our board of directors or due to the resignation or departure of an existing board member;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prohibition of cumulative voting in the election of directors which would otherwise allow less than a majority of shareholders to elect director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requirement for the advance notice of nominations for election to our board of directors or for proposing matters that can be acted upon at a shareholders’ meeting;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elimination of the rights of shareholders to call a special meeting of shareholders and to take action by written consent in lieu of a meeting;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Holders of our ordinary shares may face difficulties in protecting their interests because we are incorporated under Cayman Islands law.</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Subject to limited exceptions, under Cayman Islands law, a minority shareholder may not bring a derivative action against the board of directors.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Holders of our ordinary shares may have difficulty obtaining or enforcing a judgment against us because we are incorporated under the laws of the Cayman Islands.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General Risk Factors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our operations are interrupted, our business and reputation could suffer.</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operations and those of our manufacturers are vulnerable to interruption caused by technical breakdowns, computer hardware and software malfunctions, software viruses, infrastructure failures, pandemics, including the COVID-19 pandemic and regional health issues, earthquakes, fires, severe storms, floods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If securities analysts or industry analysts downgrade our ordinary shares, publish negative research or reports or fail to publish reports about our business, our stock price and trading volume could decline.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5" w:name="unresolved_staff_comments"/>
      <w:bookmarkEnd w:id="5"/>
      <w:r>
        <w:rPr>
          <w:rFonts w:ascii="Times New Roman;serif" w:hAnsi="Times New Roman;serif"/>
          <w:b/>
          <w:sz w:val="20"/>
        </w:rPr>
        <w:t>ITEM 1B. UNRESOLVED STAFF COMMENTS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bookmarkStart w:id="6" w:name="properties"/>
      <w:bookmarkEnd w:id="6"/>
      <w:r>
        <w:rPr>
          <w:rFonts w:ascii="Times New Roman;serif" w:hAnsi="Times New Roman;serif"/>
          <w:b/>
          <w:sz w:val="20"/>
        </w:rPr>
        <w:t>ITEM 2. PROPERTIES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corporate headquarters are located in Santa Clara, California. These facilities accommodate our sales, marketing, research and development, finance, and administration activities. Outside of Santa Clara, California, we lease some facilities in other U.S. locations that are used for research and development and marketing activities. Outside of the United States, we also lease facilities in various international locations that are used for research and development, sales, business development, operations and administrative support. These international facilities are mainly located in Taiwan, China and Italy. Our lease obligations primarily consist of operating leases with lease periods expiring between fiscal years 2024 to 2028.</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We believe that our existing facilities are well maintained and in good operating condition, and are sufficient for our needs for the foreseeable future. The following table lists our major locations and primary usage as of January 31, 2023:</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65"/>
        <w:gridCol w:w="146"/>
        <w:gridCol w:w="189"/>
        <w:gridCol w:w="877"/>
        <w:gridCol w:w="146"/>
        <w:gridCol w:w="146"/>
        <w:gridCol w:w="6636"/>
      </w:tblGrid>
      <w:tr>
        <w:trPr/>
        <w:tc>
          <w:tcPr>
            <w:tcW w:w="20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36" w:type="dxa"/>
            <w:tcBorders/>
            <w:shd w:fill="auto" w:val="clear"/>
            <w:vAlign w:val="center"/>
          </w:tcPr>
          <w:p>
            <w:pPr>
              <w:pStyle w:val="TableContents"/>
              <w:spacing w:before="0" w:after="283"/>
              <w:rPr>
                <w:sz w:val="4"/>
                <w:szCs w:val="4"/>
              </w:rPr>
            </w:pPr>
            <w:r>
              <w:rPr>
                <w:sz w:val="4"/>
                <w:szCs w:val="4"/>
              </w:rPr>
            </w:r>
          </w:p>
        </w:tc>
      </w:tr>
      <w:tr>
        <w:trPr/>
        <w:tc>
          <w:tcPr>
            <w:tcW w:w="20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Approximate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36" w:type="dxa"/>
            <w:tcBorders/>
            <w:shd w:fill="auto" w:val="clear"/>
            <w:vAlign w:val="center"/>
          </w:tcPr>
          <w:p>
            <w:pPr>
              <w:pStyle w:val="TableContents"/>
              <w:spacing w:before="0" w:after="0"/>
              <w:ind w:left="0" w:right="0" w:hanging="0"/>
              <w:jc w:val="center"/>
              <w:rPr/>
            </w:pPr>
            <w:r>
              <w:rPr/>
              <w:t> </w:t>
            </w:r>
          </w:p>
        </w:tc>
      </w:tr>
      <w:tr>
        <w:trPr/>
        <w:tc>
          <w:tcPr>
            <w:tcW w:w="206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Square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36" w:type="dxa"/>
            <w:tcBorders/>
            <w:shd w:fill="auto" w:val="clear"/>
            <w:vAlign w:val="center"/>
          </w:tcPr>
          <w:p>
            <w:pPr>
              <w:pStyle w:val="TableContents"/>
              <w:spacing w:before="0" w:after="0"/>
              <w:ind w:left="0" w:right="0" w:hanging="0"/>
              <w:jc w:val="center"/>
              <w:rPr/>
            </w:pPr>
            <w:r>
              <w:rPr/>
              <w:t> </w:t>
            </w:r>
          </w:p>
        </w:tc>
      </w:tr>
      <w:tr>
        <w:trPr/>
        <w:tc>
          <w:tcPr>
            <w:tcW w:w="20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Major Locations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Footage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Usage</w:t>
            </w:r>
          </w:p>
        </w:tc>
      </w:tr>
      <w:tr>
        <w:trPr/>
        <w:tc>
          <w:tcPr>
            <w:tcW w:w="20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right"/>
              <w:rPr/>
            </w:pPr>
            <w:r>
              <w:rPr/>
              <w:t> </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Santa Clara, California</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 xml:space="preserve">Corporate Headquarters; Sales; Marketing; Research and Development; Finance; </w:t>
              <w:br/>
              <w:t>   Administration</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Wixom, Michigan</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Business Development</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Beavercreek, Ohio</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r>
      <w:tr>
        <w:trPr/>
        <w:tc>
          <w:tcPr>
            <w:tcW w:w="20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pPr>
            <w:r>
              <w:rPr/>
              <w:t> </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Hsinchu, Taiwan</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 Business Development; Operations; Administration</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Shanghai, China</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 Business Development</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Shenzhen, China</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Research and Development; Business Development</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Kowloon, Hong Kong</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Sales; Warehousing</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Shin-Yokohama, Japan</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Business Development</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SeongNam, South Korea</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Development</w:t>
            </w:r>
          </w:p>
        </w:tc>
      </w:tr>
      <w:tr>
        <w:trPr/>
        <w:tc>
          <w:tcPr>
            <w:tcW w:w="206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6" w:type="dxa"/>
            <w:tcBorders/>
            <w:shd w:fill="auto" w:val="clear"/>
            <w:vAlign w:val="center"/>
          </w:tcPr>
          <w:p>
            <w:pPr>
              <w:pStyle w:val="TableContents"/>
              <w:spacing w:before="0" w:after="0"/>
              <w:ind w:left="0" w:right="0" w:hanging="0"/>
              <w:jc w:val="left"/>
              <w:rPr/>
            </w:pPr>
            <w:r>
              <w:rPr/>
              <w:t> </w:t>
            </w:r>
          </w:p>
        </w:tc>
      </w:tr>
      <w:tr>
        <w:trPr/>
        <w:tc>
          <w:tcPr>
            <w:tcW w:w="20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firstLine="200"/>
              <w:jc w:val="left"/>
              <w:rPr/>
            </w:pPr>
            <w:r>
              <w:rPr/>
              <w:t> </w:t>
            </w:r>
          </w:p>
        </w:tc>
      </w:tr>
      <w:tr>
        <w:trPr/>
        <w:tc>
          <w:tcPr>
            <w:tcW w:w="206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Parma, Italy</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7" w:name="legal_proceedings"/>
      <w:bookmarkEnd w:id="7"/>
      <w:r>
        <w:rPr>
          <w:rFonts w:ascii="Times New Roman;serif" w:hAnsi="Times New Roman;serif"/>
          <w:b/>
          <w:sz w:val="20"/>
        </w:rPr>
        <w:t>ITEM 3. LEGAL PROCEEDINGS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not engaged in any material legal proceedings at this time. However, from time to time, we may be subject to commercial disputes, employment issues, intellectual property claims and litigation, in the ordinary course of our business. Refer to Note 15, Commitments and Contingencies within Notes to Consolidated Financial Statements for further information.</w:t>
      </w:r>
    </w:p>
    <w:p>
      <w:pPr>
        <w:pStyle w:val="TextBody"/>
        <w:spacing w:before="360" w:after="0"/>
        <w:jc w:val="left"/>
        <w:rPr>
          <w:rFonts w:ascii="Times New Roman" w:hAnsi="Times New Roman"/>
          <w:sz w:val="20"/>
        </w:rPr>
      </w:pPr>
      <w:bookmarkStart w:id="8" w:name="mine_safety_disclosures"/>
      <w:bookmarkEnd w:id="8"/>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9" w:name="part_ii"/>
      <w:bookmarkEnd w:id="9"/>
      <w:r>
        <w:rPr>
          <w:rFonts w:ascii="Times New Roman;serif" w:hAnsi="Times New Roman;serif"/>
          <w:b/>
          <w:sz w:val="20"/>
        </w:rPr>
        <w:t>PART II</w:t>
      </w:r>
      <w:r>
        <w:rPr>
          <w:rFonts w:ascii="Times New Roman" w:hAnsi="Times New Roman"/>
          <w:sz w:val="20"/>
        </w:rPr>
        <w:t xml:space="preserve"> </w:t>
      </w:r>
    </w:p>
    <w:p>
      <w:pPr>
        <w:pStyle w:val="TextBody"/>
        <w:spacing w:before="240" w:after="0"/>
        <w:jc w:val="left"/>
        <w:rPr>
          <w:rFonts w:ascii="Times New Roman" w:hAnsi="Times New Roman"/>
          <w:sz w:val="20"/>
        </w:rPr>
      </w:pPr>
      <w:bookmarkStart w:id="10" w:name="market_for_registrant"/>
      <w:bookmarkEnd w:id="10"/>
      <w:r>
        <w:rPr>
          <w:rFonts w:ascii="Times New Roman;serif" w:hAnsi="Times New Roman;serif"/>
          <w:b/>
          <w:sz w:val="20"/>
        </w:rPr>
        <w:t>ITEM 5. MARKET FOR REGISTRANT’S COMMON EQUITY, RELATED STOCKHOLDER MATTERS AND ISSUER PURCHASES OF EQUITY SECURITIES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Market Information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ordinary shares are traded on the NASDAQ Global Market under the symbol “AMBA”. On March 24, 2023, there were 29 shareholders of record holding our ordinary shares. We cannot estimate the number of beneficial owners since many brokers and other institutions hold our shares on behalf of shareholders.</w:t>
      </w:r>
    </w:p>
    <w:p>
      <w:pPr>
        <w:pStyle w:val="TextBody"/>
        <w:spacing w:before="240" w:after="0"/>
        <w:jc w:val="left"/>
        <w:rPr>
          <w:rFonts w:ascii="Times New Roman" w:hAnsi="Times New Roman"/>
          <w:sz w:val="20"/>
        </w:rPr>
      </w:pPr>
      <w:r>
        <w:rPr>
          <w:rFonts w:ascii="Times New Roman;serif" w:hAnsi="Times New Roman;serif"/>
          <w:b/>
          <w:sz w:val="20"/>
        </w:rPr>
        <w:t>Share Performance Graph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graph shows a comparison from February 1, 2018 through January 31, 2023 of the cumulative total return for our ordinary shares, the NASDAQ Composite Index and the Philadelphia Semiconductor Index. The comparisons in the graph are historical and are not intended to forecast or be indicative of possible future performance of our ordinary shares.</w:t>
      </w:r>
      <w:r>
        <w:rPr>
          <w:rFonts w:ascii="Times New Roman" w:hAnsi="Times New Roman"/>
          <w:sz w:val="20"/>
        </w:rPr>
        <w:t xml:space="preserve"> </w:t>
      </w:r>
    </w:p>
    <w:p>
      <w:pPr>
        <w:pStyle w:val="TextBody"/>
        <w:spacing w:before="360" w:after="0"/>
        <w:jc w:val="center"/>
        <w:rPr>
          <w:rFonts w:ascii="Times New Roman" w:hAnsi="Times New Roman"/>
          <w:sz w:val="20"/>
        </w:rPr>
      </w:pPr>
      <w:r>
        <w:rPr>
          <w:rFonts w:ascii="Times New Roman;serif" w:hAnsi="Times New Roman;serif"/>
          <w:b w:val="false"/>
          <w:sz w:val="20"/>
        </w:rPr>
        <w:t>Comparison of 5 year Cumulative Total Return</w:t>
      </w:r>
      <w:r>
        <w:rPr>
          <w:rFonts w:ascii="Times New Roman" w:hAnsi="Times New Roman"/>
          <w:sz w:val="20"/>
        </w:rPr>
        <w:t xml:space="preserve"> </w:t>
      </w:r>
    </w:p>
    <w:p>
      <w:pPr>
        <w:pStyle w:val="TextBody"/>
        <w:spacing w:before="240" w:after="0"/>
        <w:jc w:val="center"/>
        <w:rPr/>
      </w:pPr>
      <w:r>
        <w:rPr/>
        <w:drawing>
          <wp:inline distT="0" distB="0" distL="0" distR="0">
            <wp:extent cx="6858000" cy="3238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238500"/>
                    </a:xfrm>
                    <a:prstGeom prst="rect">
                      <a:avLst/>
                    </a:prstGeom>
                  </pic:spPr>
                </pic:pic>
              </a:graphicData>
            </a:graphic>
          </wp:inline>
        </w:drawing>
      </w:r>
      <w:r>
        <w:rPr/>
        <w:t> </w:t>
      </w:r>
    </w:p>
    <w:p>
      <w:pPr>
        <w:pStyle w:val="TextBody"/>
        <w:spacing w:before="240" w:after="0"/>
        <w:jc w:val="left"/>
        <w:rPr>
          <w:rFonts w:ascii="Times New Roman" w:hAnsi="Times New Roman"/>
          <w:sz w:val="20"/>
        </w:rPr>
      </w:pPr>
      <w:r>
        <w:rPr>
          <w:rFonts w:ascii="Times New Roman;serif" w:hAnsi="Times New Roman;serif"/>
          <w:b/>
          <w:sz w:val="20"/>
        </w:rPr>
        <w:t>Dividends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never declared or paid any cash dividends on our ordinary shares and do not currently intend to do so in the foreseeable future.</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Securities Authorized for Issuance under Equity Compensation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information about our equity compensation plans, see Note 12, “Employee Benefits and Stock-based Compensation” of the Notes to Consolidated Financial Statements included in this report.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Purchases of Equity Securities by the Issuer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16, 2020, we repurchased a total of 25,719 of our ordinary shares for approximately $1.0 million in cash under an authorized repurchase program up to $50.0 million. Our Board of Directors has approved extensions of the repurchase program through June 30, 2023. There were no shares repurchased in fiscal years 2023 and 2022. As of January 31, 2023, there was approximately $49.0 million available for repurchases through June 30, 2023.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pStyle w:val="TextBody"/>
        <w:spacing w:before="240" w:after="0"/>
        <w:jc w:val="left"/>
        <w:rPr>
          <w:rFonts w:ascii="Times New Roman" w:hAnsi="Times New Roman"/>
          <w:sz w:val="20"/>
        </w:rPr>
      </w:pPr>
      <w:r>
        <w:rPr>
          <w:rFonts w:ascii="Times New Roman;serif" w:hAnsi="Times New Roman;serif"/>
          <w:b/>
          <w:sz w:val="20"/>
        </w:rPr>
        <w:t>Recent Sales of Unregistered Securities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1" w:name="selected_financial_data"/>
      <w:bookmarkEnd w:id="11"/>
      <w:r>
        <w:rPr>
          <w:rFonts w:ascii="Times New Roman;serif" w:hAnsi="Times New Roman;serif"/>
          <w:b/>
          <w:sz w:val="20"/>
        </w:rPr>
        <w:t>ITEM 6.</w:t>
      </w:r>
      <w:r>
        <w:rPr>
          <w:rFonts w:ascii="Times New Roman" w:hAnsi="Times New Roman"/>
          <w:sz w:val="20"/>
        </w:rPr>
        <w:t xml:space="preserve"> </w:t>
      </w:r>
      <w:r>
        <w:rPr>
          <w:rFonts w:ascii="Times New Roman;serif" w:hAnsi="Times New Roman;serif"/>
          <w:b/>
          <w:sz w:val="20"/>
        </w:rPr>
        <w:t>[RESERVED]</w:t>
      </w:r>
      <w:r>
        <w:rPr>
          <w:rFonts w:ascii="Times New Roman" w:hAnsi="Times New Roman"/>
          <w:sz w:val="20"/>
        </w:rPr>
        <w:t xml:space="preserve"> </w:t>
      </w:r>
    </w:p>
    <w:p>
      <w:pPr>
        <w:pStyle w:val="TextBody"/>
        <w:spacing w:before="0" w:after="0"/>
        <w:jc w:val="both"/>
        <w:rPr/>
      </w:pPr>
      <w:r>
        <w:rPr/>
        <w:t> </w:t>
      </w:r>
    </w:p>
    <w:p>
      <w:pPr>
        <w:pStyle w:val="TextBody"/>
        <w:spacing w:before="120" w:after="0"/>
        <w:jc w:val="left"/>
        <w:rPr/>
      </w:pPr>
      <w:r>
        <w:rPr/>
        <w:t> </w:t>
      </w:r>
    </w:p>
    <w:p>
      <w:pPr>
        <w:pStyle w:val="TextBody"/>
        <w:spacing w:before="240" w:after="0"/>
        <w:jc w:val="left"/>
        <w:rPr/>
      </w:pPr>
      <w:r>
        <w:rPr/>
        <w:t> </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2" w:name="managements_discussion"/>
      <w:bookmarkEnd w:id="12"/>
      <w:r>
        <w:rPr>
          <w:rFonts w:ascii="Times New Roman;serif" w:hAnsi="Times New Roman;serif"/>
          <w:b/>
          <w:sz w:val="20"/>
        </w:rPr>
        <w:t>ITEM 7. MANAGEMENT’S DISCUSSION AND ANALYSIS OF FINANCIAL CONDITION AND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high-definition, or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applications. We anticipate that our CV technology will also enable us to capture more content per electronic system and increase our average selling price.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development efforts are focused on SoCs that provide human viewing, computer vision and radar detection functionalities. As a result, we believe that our future revenue growth, if any, will significantly depend upon our ability to expand within camera markets with our AI and computer vision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pStyle w:val="TextBody"/>
        <w:spacing w:before="240" w:after="0"/>
        <w:jc w:val="left"/>
        <w:rPr>
          <w:rFonts w:ascii="Times New Roman" w:hAnsi="Times New Roman"/>
          <w:sz w:val="20"/>
        </w:rPr>
      </w:pPr>
      <w:r>
        <w:rPr>
          <w:rFonts w:ascii="Times New Roman;serif" w:hAnsi="Times New Roman;serif"/>
          <w:b w:val="false"/>
          <w:sz w:val="20"/>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Volume production may begin within 9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6 to 24 months. We anticipate that product lifecycles will typically be longer than 24 months in the OEM automotive and industrial and robotics markets, as new product introductions occur less frequently in these markets.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Fiscal Year 2023 Financial Highlights and Trends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recorded revenue of $337.6 million in fiscal year 2023, an increase of 1.7% as compared to fiscal year 2022. The increase in revenue was primarily due to continued adoption of our CV-based solutions, which have higher average selling prices, and increased non-recurring engineering (NRE) project services, partially offset by lower product unit shipments driven by customer inventory level reductions as a result of improved supply chain lead times across the semiconductor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recorded an operating loss of $74.3 million in fiscal year 2023, as compared to an operating loss of $29.6 million in fiscal year 2022. The higher operating loss was primarily due to higher operating expenses, partially offset by increased revenue and gross profit. The increased operating expenses primarily related to higher personnel costs, including stock-based compensation, as a result of the acquisition of Oculii Corporation, or Oculii, in late fiscal year 2022 and benefit programs. The increases were also attributable to higher chip tape-out costs due to the timing and number of chips in development and increased engineering-related expenses for supporting automotive, robotic and industrial applications of our CV-based vision and radar solutions. The increased operating expenses were partially offset by decreased acquisition-related costs associated with the acquisition of Oculii in the prior fiscal year.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generated cash flows from operating activities of $44.1 million in fiscal year 2023, as compared to $38.8 million in fiscal year 2022. The higher cash flows from operating activities were primarily attributable to higher collections of accounts receivable associated with the timing of sales and lower inventory purchases due to customer inventory level reductions as a result of improved supply chain lead times across the semiconductor industry, partially offset by increased net loss adjusted for certain non-cash items and decreased liabilities associated with employee benefit payments and the timing of payments to our suppliers.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 the second quarter of fiscal year 2023, we resumed our investments in money market funds and debt securities after a full liquidation of our investments to finance the Oculii acquisition in fiscal year 2022. The debt security investment portfolio consists of commercial paper, debt securities of corporations or corporate bonds, asset-backed securities and U.S. government securities. All of the investments are denominated in United States dollars and are reported at a fair value of approximately $101.2 million with unrealized losses of $0.5 million in our consolidated balance sheets.</w:t>
      </w:r>
    </w:p>
    <w:p>
      <w:pPr>
        <w:pStyle w:val="TextBody"/>
        <w:spacing w:before="360" w:after="0"/>
        <w:jc w:val="left"/>
        <w:rPr>
          <w:rFonts w:ascii="Times New Roman" w:hAnsi="Times New Roman"/>
          <w:sz w:val="20"/>
        </w:rPr>
      </w:pPr>
      <w:r>
        <w:rPr>
          <w:rFonts w:ascii="Times New Roman;serif" w:hAnsi="Times New Roman;serif"/>
          <w:b/>
          <w:sz w:val="20"/>
        </w:rPr>
        <w:t>Factors Affecting Our Performance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 xml:space="preserve">Impact of Global Supply Shortages on Our Business. </w:t>
      </w:r>
      <w:r>
        <w:rPr>
          <w:rFonts w:ascii="Times New Roman;serif" w:hAnsi="Times New Roman;serif"/>
          <w:b w:val="false"/>
          <w:sz w:val="20"/>
        </w:rPr>
        <w:t>Global supply shortages, and uncertainty in customer demand as well as the worldwide economy, in general, have continued as a result of the COVID-19 pandemic, and may be further exacerbated by the impacts of high inflation. Supply chain issues impact our business as they relate to both our suppliers and our customers. With respect to our suppliers, we have in the past experienced supply constraints for certain chips from Samsung Electronics Corporation and we may in the future experience similar issues. With respect to our customers, to the extent customers face supply chain issues with other components needed to pair with our products in order to produce their end products, such customers may delay future orders of our products or hold inventory of our products for longer periods of time. As a result, we may experience increased volatility in our sales and revenues in the near future, primarily owing to uncertainty around demand for semiconductor products, in general. In addition, recently, some customers have indicated they are reducing their inventory levels, as some component lead times contract toward normal levels. This may reduce such customers’ demand for our products. The magnitude and duration of such volatility is uncertain and thus its impact on our business cannot be reasonably estimated at this time.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i/>
          <w:sz w:val="20"/>
        </w:rPr>
        <w:t>Ability to Capitalize on AI and Computer Vision Trends</w:t>
      </w:r>
      <w:r>
        <w:rPr>
          <w:rFonts w:ascii="Times New Roman;serif" w:hAnsi="Times New Roman;serif"/>
          <w:b w:val="false"/>
          <w:sz w:val="20"/>
        </w:rPr>
        <w:t>. We expect that AI and computer vision functionality will become an increasingly important requirement in many of our current and future markets, including IoT, automotive, industrial and robotics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design wins by our customers. However, a design win may not successfully materialize into revenue, and even if it does result in revenue, the amount generated by each design win can vary significantly.</w:t>
      </w:r>
    </w:p>
    <w:p>
      <w:pPr>
        <w:pStyle w:val="TextBody"/>
        <w:spacing w:before="240" w:after="0"/>
        <w:jc w:val="left"/>
        <w:rPr>
          <w:rFonts w:ascii="Times New Roman" w:hAnsi="Times New Roman"/>
          <w:sz w:val="20"/>
        </w:rPr>
      </w:pPr>
      <w:r>
        <w:rPr>
          <w:rFonts w:ascii="Times New Roman;serif" w:hAnsi="Times New Roman;serif"/>
          <w:b w:val="false"/>
          <w:i/>
          <w:sz w:val="20"/>
        </w:rPr>
        <w:t>Ability to Develop and Introduce New or Enhanced Solutions</w:t>
      </w:r>
      <w:r>
        <w:rPr>
          <w:rFonts w:ascii="Times New Roman;serif" w:hAnsi="Times New Roman;serif"/>
          <w:b w:val="false"/>
          <w:sz w:val="20"/>
        </w:rPr>
        <w:t>. We operate in a dynamic environment characterized by rapidly changing technologies 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Pricing, Product Cost and Margin</w:t>
      </w:r>
      <w:r>
        <w:rPr>
          <w:rFonts w:ascii="Times New Roman;serif" w:hAnsi="Times New Roman;serif"/>
          <w:b w:val="false"/>
          <w:sz w:val="20"/>
        </w:rPr>
        <w:t>. Our pricing and margins depend on the volumes and features of the solutions we provide to our customers. 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pStyle w:val="TextBody"/>
        <w:spacing w:before="240" w:after="0"/>
        <w:jc w:val="left"/>
        <w:rPr>
          <w:rFonts w:ascii="Times New Roman" w:hAnsi="Times New Roman"/>
          <w:sz w:val="20"/>
        </w:rPr>
      </w:pPr>
      <w:r>
        <w:rPr>
          <w:rFonts w:ascii="Times New Roman;serif" w:hAnsi="Times New Roman;serif"/>
          <w:b w:val="false"/>
          <w:i/>
          <w:sz w:val="20"/>
        </w:rPr>
        <w:t>Continued Concentration of Revenue by End Market</w:t>
      </w:r>
      <w:r>
        <w:rPr>
          <w:rFonts w:ascii="Times New Roman;serif" w:hAnsi="Times New Roman;serif"/>
          <w:b w:val="false"/>
          <w:sz w:val="20"/>
        </w:rPr>
        <w:t>. Historically, our revenue has been significantly concentrated in a small number of end 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limited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pStyle w:val="TextBody"/>
        <w:spacing w:before="240" w:after="0"/>
        <w:jc w:val="left"/>
        <w:rPr>
          <w:rFonts w:ascii="Times New Roman" w:hAnsi="Times New Roman"/>
          <w:sz w:val="20"/>
        </w:rPr>
      </w:pPr>
      <w:r>
        <w:rPr>
          <w:rFonts w:ascii="Times New Roman;serif" w:hAnsi="Times New Roman;serif"/>
          <w:b w:val="false"/>
          <w:i/>
          <w:sz w:val="20"/>
        </w:rPr>
        <w:t>Ability to Capitalize on Connectivity Trends</w:t>
      </w:r>
      <w:r>
        <w:rPr>
          <w:rFonts w:ascii="Times New Roman;serif" w:hAnsi="Times New Roman;serif"/>
          <w:b w:val="false"/>
          <w:sz w:val="20"/>
        </w:rPr>
        <w:t>. Mobile connected devices are ubiquitous today and play an increasingly prominent role in consumers’ 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i/>
          <w:sz w:val="20"/>
        </w:rPr>
        <w:t>Sales Volume</w:t>
      </w:r>
      <w:r>
        <w:rPr>
          <w:rFonts w:ascii="Times New Roman;serif" w:hAnsi="Times New Roman;serif"/>
          <w:b w:val="false"/>
          <w:sz w:val="20"/>
        </w:rPr>
        <w:t>. A typical design win that successfully launches into the marketplace can generate a wide range of sales volumes for our solutions, 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pStyle w:val="TextBody"/>
        <w:spacing w:before="240" w:after="0"/>
        <w:jc w:val="left"/>
        <w:rPr>
          <w:rFonts w:ascii="Times New Roman" w:hAnsi="Times New Roman"/>
          <w:sz w:val="20"/>
        </w:rPr>
      </w:pPr>
      <w:r>
        <w:rPr>
          <w:rFonts w:ascii="Times New Roman;serif" w:hAnsi="Times New Roman;serif"/>
          <w:b w:val="false"/>
          <w:i/>
          <w:sz w:val="20"/>
        </w:rPr>
        <w:t>Customer Product Life Cycle.</w:t>
      </w:r>
      <w:r>
        <w:rPr>
          <w:rFonts w:ascii="Times New Roman" w:hAnsi="Times New Roman"/>
          <w:sz w:val="20"/>
        </w:rPr>
        <w:t xml:space="preserve"> </w:t>
      </w:r>
      <w:r>
        <w:rPr>
          <w:rFonts w:ascii="Times New Roman;serif" w:hAnsi="Times New Roman;serif"/>
          <w:b w:val="false"/>
          <w:sz w:val="20"/>
        </w:rPr>
        <w:t>We estimate our customers’ product life cycles based on the customer, type of product and end market. We typically commence commercial shipments from 9 to 18 months following a design win; however, in some markets, lengthier product and development cycles are possible, depending on the scope and nature of the project, such as in the automotive market. An IoT product typically has a product life cycle of 6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pStyle w:val="TextBody"/>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our historical operating results for the periods indicated:</w:t>
      </w:r>
      <w:r>
        <w:rPr>
          <w:rFonts w:ascii="Times New Roman" w:hAnsi="Times New Roman"/>
          <w:sz w:val="20"/>
        </w:rPr>
        <w:t xml:space="preserve"> </w:t>
      </w:r>
    </w:p>
    <w:p>
      <w:pPr>
        <w:pStyle w:val="TextBody"/>
        <w:spacing w:before="0" w:after="0"/>
        <w:jc w:val="left"/>
        <w:rPr/>
      </w:pPr>
      <w:r>
        <w:rPr/>
        <w:t> </w:t>
      </w:r>
    </w:p>
    <w:tbl>
      <w:tblPr>
        <w:tblW w:w="7353" w:type="dxa"/>
        <w:jc w:val="left"/>
        <w:tblInd w:w="0" w:type="dxa"/>
        <w:tblCellMar>
          <w:top w:w="28" w:type="dxa"/>
          <w:left w:w="28" w:type="dxa"/>
          <w:bottom w:w="28" w:type="dxa"/>
          <w:right w:w="28" w:type="dxa"/>
        </w:tblCellMar>
      </w:tblPr>
      <w:tblGrid>
        <w:gridCol w:w="3016"/>
        <w:gridCol w:w="146"/>
        <w:gridCol w:w="211"/>
        <w:gridCol w:w="781"/>
        <w:gridCol w:w="166"/>
        <w:gridCol w:w="146"/>
        <w:gridCol w:w="211"/>
        <w:gridCol w:w="781"/>
        <w:gridCol w:w="166"/>
        <w:gridCol w:w="146"/>
        <w:gridCol w:w="211"/>
        <w:gridCol w:w="781"/>
        <w:gridCol w:w="5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0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59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337,606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222,990</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135,573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140,759</w:t>
            </w:r>
          </w:p>
        </w:tc>
        <w:tc>
          <w:tcPr>
            <w:tcW w:w="591" w:type="dxa"/>
            <w:tcBorders/>
            <w:shd w:fill="auto" w:val="cle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55,980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196,739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(61,166</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(57,303</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sets forth our historical operating results as a percentage of revenue of each line item for the periods indicated:</w:t>
      </w:r>
      <w:r>
        <w:rPr>
          <w:rFonts w:ascii="Times New Roman" w:hAnsi="Times New Roman"/>
          <w:sz w:val="20"/>
        </w:rPr>
        <w:t xml:space="preserve"> </w:t>
      </w:r>
    </w:p>
    <w:p>
      <w:pPr>
        <w:pStyle w:val="TextBody"/>
        <w:spacing w:before="0" w:after="0"/>
        <w:jc w:val="left"/>
        <w:rPr/>
      </w:pPr>
      <w:r>
        <w:rPr/>
        <w:t> </w:t>
      </w:r>
    </w:p>
    <w:tbl>
      <w:tblPr>
        <w:tblW w:w="6494" w:type="dxa"/>
        <w:jc w:val="left"/>
        <w:tblInd w:w="0" w:type="dxa"/>
        <w:tblCellMar>
          <w:top w:w="28" w:type="dxa"/>
          <w:left w:w="28" w:type="dxa"/>
          <w:bottom w:w="28" w:type="dxa"/>
          <w:right w:w="28" w:type="dxa"/>
        </w:tblCellMar>
      </w:tblPr>
      <w:tblGrid>
        <w:gridCol w:w="3016"/>
        <w:gridCol w:w="146"/>
        <w:gridCol w:w="146"/>
        <w:gridCol w:w="421"/>
        <w:gridCol w:w="166"/>
        <w:gridCol w:w="271"/>
        <w:gridCol w:w="146"/>
        <w:gridCol w:w="421"/>
        <w:gridCol w:w="166"/>
        <w:gridCol w:w="271"/>
        <w:gridCol w:w="146"/>
        <w:gridCol w:w="421"/>
        <w:gridCol w:w="166"/>
        <w:gridCol w:w="5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66"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30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400"/>
              <w:jc w:val="left"/>
              <w:rPr/>
            </w:pPr>
            <w:r>
              <w:rPr/>
              <w:t> </w:t>
            </w:r>
          </w:p>
        </w:tc>
      </w:tr>
      <w:tr>
        <w:trPr/>
        <w:tc>
          <w:tcPr>
            <w:tcW w:w="30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derive substantially all of our revenue from the sale of HD and Ultra HD video and image processing SoC solutions to IoT OEMs, IoT ODMs, OEM or Tier-1 automotive suppliers, either directly or through our distributors. In recent years, our SoC solutions have been primarily used in IoT camera markets, such as IP security, automotive video recorder, drone and wearable cameras. Although we expect these human viewing camera markets to continue to generate revenue for the foreseeable future, we have recently introduced new SoCs targeting emerging AI and computer vision applications in the IoT, automotive, industrial and robotics markets. We derive a substantial portion of our revenue from sales made indirectly through one of our distributors, WT Microelectronics Co., Ltd., formerly Wintech Microelectronics Co., Ltd., or WT, and directly to one of our ODM customers, Chicony Electronics Co., Ltd., or Chicony.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continued effects of the COVID-19 pandemic and persistent supply chain challenges have negatively affected our business performance and revenues this year, and may continue in the next fiscal year. Our average selling prices fluctuate based on the mix of our solutions sold in a period which reflects the impact of both changes in unit sales of existing solutions as well as the introduction and sales of new solutions. Our CV-based solutions generally have higher selling prices than our traditional video and image processing SoC solutions that do not enable CV functionality. Our solutions are typically characterized by a life cycle that begins with higher average selling prices and lower volumes, followed by broader market adoption, higher volumes and average selling prices that are lower than initial levels.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pStyle w:val="TextBody"/>
        <w:spacing w:before="360" w:after="0"/>
        <w:jc w:val="left"/>
        <w:rPr>
          <w:rFonts w:ascii="Times New Roman" w:hAnsi="Times New Roman"/>
          <w:sz w:val="20"/>
        </w:rPr>
      </w:pPr>
      <w:r>
        <w:rPr>
          <w:rFonts w:ascii="Times New Roman;serif" w:hAnsi="Times New Roman;serif"/>
          <w:b/>
          <w:i/>
          <w:sz w:val="20"/>
        </w:rPr>
        <w:t>Cost of Revenue and Gross Margin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commitments, allocation of facility costs, amortization of developed technology, warranty and other general overhead costs.</w:t>
      </w:r>
    </w:p>
    <w:p>
      <w:pPr>
        <w:pStyle w:val="TextBody"/>
        <w:spacing w:before="240" w:after="0"/>
        <w:jc w:val="left"/>
        <w:rPr>
          <w:rFonts w:ascii="Times New Roman" w:hAnsi="Times New Roman"/>
          <w:sz w:val="20"/>
        </w:rPr>
      </w:pPr>
      <w:r>
        <w:rPr>
          <w:rFonts w:ascii="Times New Roman;serif" w:hAnsi="Times New Roman;serif"/>
          <w:b w:val="false"/>
          <w:sz w:val="20"/>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Research and Development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 consists primarily of personnel costs, including salaries, stock-based compensation and employee benefits. The expense also includes costs of development incurred in connection with our collaborations with our foundry vendors, costs and amortization of licensing intellectual property from third parties for product development, costs of development for software and hardware tools, costs of fabrication of mask sets for prototype products, equipment expenses, outside services as well as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w:t>
      </w:r>
    </w:p>
    <w:p>
      <w:pPr>
        <w:pStyle w:val="TextBody"/>
        <w:spacing w:before="360" w:after="0"/>
        <w:jc w:val="left"/>
        <w:rPr>
          <w:rFonts w:ascii="Times New Roman" w:hAnsi="Times New Roman"/>
          <w:sz w:val="20"/>
        </w:rPr>
      </w:pPr>
      <w:r>
        <w:rPr>
          <w:rFonts w:ascii="Times New Roman;serif" w:hAnsi="Times New Roman;serif"/>
          <w:b/>
          <w:i/>
          <w:sz w:val="20"/>
        </w:rPr>
        <w:t>Selling, General and Administrative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Other Income,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net, consists primarily of interest income and realized gains and losses from our cash deposits and debt security investments, subsidies granted by a foreign government as well as gains and losses from foreign currency transactions and remeasurements.</w:t>
      </w:r>
    </w:p>
    <w:p>
      <w:pPr>
        <w:pStyle w:val="TextBody"/>
        <w:spacing w:before="360" w:after="0"/>
        <w:jc w:val="left"/>
        <w:rPr>
          <w:rFonts w:ascii="Times New Roman" w:hAnsi="Times New Roman"/>
          <w:sz w:val="20"/>
        </w:rPr>
      </w:pPr>
      <w:r>
        <w:rPr>
          <w:rFonts w:ascii="Times New Roman;serif" w:hAnsi="Times New Roman;serif"/>
          <w:b/>
          <w:i/>
          <w:sz w:val="20"/>
        </w:rPr>
        <w:t>Provision (Benefit) for Income Taxes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incorporated and domiciled in the Cayman Islands and also conduct business in several countries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pStyle w:val="TextBody"/>
        <w:spacing w:before="120" w:after="0"/>
        <w:jc w:val="left"/>
        <w:rPr>
          <w:rFonts w:ascii="Times New Roman" w:hAnsi="Times New Roman"/>
          <w:sz w:val="20"/>
        </w:rPr>
      </w:pPr>
      <w:r>
        <w:rPr>
          <w:rFonts w:ascii="Times New Roman;serif" w:hAnsi="Times New Roman;serif"/>
          <w:b w:val="false"/>
          <w:sz w:val="20"/>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spacing w:before="360" w:after="0"/>
        <w:jc w:val="left"/>
        <w:rPr>
          <w:rFonts w:ascii="Times New Roman" w:hAnsi="Times New Roman"/>
          <w:sz w:val="20"/>
        </w:rPr>
      </w:pPr>
      <w:r>
        <w:rPr>
          <w:rFonts w:ascii="Times New Roman;serif" w:hAnsi="Times New Roman;serif"/>
          <w:b/>
          <w:i/>
          <w:sz w:val="20"/>
        </w:rPr>
        <w:t>Comparison of the Fiscal Years Ended January 31, 2023, 2022 and 2021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0" w:after="0"/>
        <w:jc w:val="left"/>
        <w:rPr/>
      </w:pPr>
      <w:r>
        <w:rPr/>
        <w:t> </w:t>
      </w:r>
    </w:p>
    <w:tbl>
      <w:tblPr>
        <w:tblW w:w="9049" w:type="dxa"/>
        <w:jc w:val="left"/>
        <w:tblInd w:w="0" w:type="dxa"/>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211"/>
        <w:gridCol w:w="781"/>
        <w:gridCol w:w="146"/>
        <w:gridCol w:w="146"/>
        <w:gridCol w:w="211"/>
        <w:gridCol w:w="571"/>
        <w:gridCol w:w="146"/>
        <w:gridCol w:w="146"/>
        <w:gridCol w:w="146"/>
        <w:gridCol w:w="361"/>
        <w:gridCol w:w="271"/>
        <w:gridCol w:w="146"/>
        <w:gridCol w:w="211"/>
        <w:gridCol w:w="781"/>
        <w:gridCol w:w="146"/>
        <w:gridCol w:w="146"/>
        <w:gridCol w:w="146"/>
        <w:gridCol w:w="466"/>
        <w:gridCol w:w="316"/>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8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46"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Revenue increased for fiscal year 2023, as compared to fiscal year 2022, primarily due to continued adoption of our CV-based solutions, which have higher average selling prices, and increased NRE project services, partially offset by lower product unit shipments driven by customer inventory level reductions as a result of improved supply chain lead times across the semiconductor industry.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Revenue increased for fiscal year 2022, as compared to fiscal year 2021, primarily due to higher product unit shipments driven by higher customer inventory levels as a result of supply chain constraints across the semiconductor industry. The increased revenue was also attributable to continued adoption of our CV-based solutions which have higher average selling prices.</w:t>
      </w:r>
    </w:p>
    <w:p>
      <w:pPr>
        <w:pStyle w:val="TextBody"/>
        <w:spacing w:before="360" w:after="0"/>
        <w:jc w:val="left"/>
        <w:rPr>
          <w:rFonts w:ascii="Times New Roman" w:hAnsi="Times New Roman"/>
          <w:sz w:val="20"/>
        </w:rPr>
      </w:pPr>
      <w:r>
        <w:rPr>
          <w:rFonts w:ascii="Times New Roman;serif" w:hAnsi="Times New Roman;serif"/>
          <w:b/>
          <w:i/>
          <w:sz w:val="20"/>
        </w:rPr>
        <w:t>Cost of Revenue and Gross Margin</w:t>
      </w:r>
      <w:r>
        <w:rPr>
          <w:rFonts w:ascii="Times New Roman" w:hAnsi="Times New Roman"/>
          <w:sz w:val="20"/>
        </w:rPr>
        <w:t xml:space="preserve"> </w:t>
      </w:r>
    </w:p>
    <w:p>
      <w:pPr>
        <w:pStyle w:val="TextBody"/>
        <w:spacing w:before="0" w:after="0"/>
        <w:jc w:val="left"/>
        <w:rPr/>
      </w:pPr>
      <w:r>
        <w:rPr/>
        <w:t> </w:t>
      </w:r>
    </w:p>
    <w:tbl>
      <w:tblPr>
        <w:tblW w:w="9994" w:type="dxa"/>
        <w:jc w:val="left"/>
        <w:tblInd w:w="0" w:type="dxa"/>
        <w:tblCellMar>
          <w:top w:w="28" w:type="dxa"/>
          <w:left w:w="28" w:type="dxa"/>
          <w:bottom w:w="28" w:type="dxa"/>
          <w:right w:w="28" w:type="dxa"/>
        </w:tblCellMar>
      </w:tblPr>
      <w:tblGrid>
        <w:gridCol w:w="1396"/>
        <w:gridCol w:w="146"/>
        <w:gridCol w:w="211"/>
        <w:gridCol w:w="781"/>
        <w:gridCol w:w="271"/>
        <w:gridCol w:w="146"/>
        <w:gridCol w:w="211"/>
        <w:gridCol w:w="781"/>
        <w:gridCol w:w="271"/>
        <w:gridCol w:w="146"/>
        <w:gridCol w:w="211"/>
        <w:gridCol w:w="781"/>
        <w:gridCol w:w="271"/>
        <w:gridCol w:w="146"/>
        <w:gridCol w:w="211"/>
        <w:gridCol w:w="571"/>
        <w:gridCol w:w="146"/>
        <w:gridCol w:w="146"/>
        <w:gridCol w:w="146"/>
        <w:gridCol w:w="421"/>
        <w:gridCol w:w="331"/>
        <w:gridCol w:w="146"/>
        <w:gridCol w:w="211"/>
        <w:gridCol w:w="676"/>
        <w:gridCol w:w="146"/>
        <w:gridCol w:w="146"/>
        <w:gridCol w:w="146"/>
        <w:gridCol w:w="466"/>
        <w:gridCol w:w="316"/>
      </w:tblGrid>
      <w:tr>
        <w:trPr/>
        <w:tc>
          <w:tcPr>
            <w:tcW w:w="139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21" w:type="dxa"/>
            <w:tcBorders/>
            <w:shd w:fill="FFFFFF" w:val="clear"/>
            <w:vAlign w:val="center"/>
          </w:tcPr>
          <w:p>
            <w:pPr>
              <w:pStyle w:val="TableContents"/>
              <w:spacing w:before="0" w:after="283"/>
              <w:rPr>
                <w:sz w:val="4"/>
                <w:szCs w:val="4"/>
              </w:rPr>
            </w:pPr>
            <w:r>
              <w:rPr>
                <w:sz w:val="4"/>
                <w:szCs w:val="4"/>
              </w:rPr>
            </w:r>
          </w:p>
        </w:tc>
        <w:tc>
          <w:tcPr>
            <w:tcW w:w="33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0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36"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128,672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123,724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208,934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208,132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135,573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While per unit cost of product shipped largely remained unchanged, cost of revenue increased for fiscal year 2023, as compared to fiscal year 2022, primarily due to $3.6 million of additional inventory reserves and adverse purchase commitments recognized in fiscal year 2023 caused by lower demand from customers, as well as $2.1 million of additional amortization of acquisition-related intangible assets associated with business acquisitions, partially offset by lower product unit shipments driven by customer inventory level reductions as a result of improved supply chain lead times across the semiconductor industry.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 of revenue increased for fiscal year 2022, as compared to fiscal year 2021, primarily due to increased revenue.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Gross margin decreased in fiscal year 2023, as compared to fiscal year 2022, primarily due to additional charges from inventory reserves and adverse purchase commitments, as well as the amortization of acquisition-related intangible assets, partially offset by a higher percentage of our total revenue from higher gross margin CV-based solutions and higher margin NRE project service revenue contracts.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Gross margin increased in fiscal year 2022, as compared to fiscal year 2021, primarily due to a favorable product mix. A customer concentration shift from China to the Asia region other than China and to North America also contributed to an improvement in gross margin in fiscal year 2022.</w:t>
      </w:r>
    </w:p>
    <w:p>
      <w:pPr>
        <w:pStyle w:val="TextBody"/>
        <w:spacing w:before="360" w:after="0"/>
        <w:jc w:val="left"/>
        <w:rPr>
          <w:rFonts w:ascii="Times New Roman" w:hAnsi="Times New Roman"/>
          <w:sz w:val="20"/>
        </w:rPr>
      </w:pPr>
      <w:r>
        <w:rPr>
          <w:rFonts w:ascii="Times New Roman;serif" w:hAnsi="Times New Roman;serif"/>
          <w:b/>
          <w:i/>
          <w:sz w:val="20"/>
        </w:rPr>
        <w:t>Research and Development</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892"/>
        <w:gridCol w:w="146"/>
        <w:gridCol w:w="211"/>
        <w:gridCol w:w="781"/>
        <w:gridCol w:w="146"/>
        <w:gridCol w:w="146"/>
        <w:gridCol w:w="211"/>
        <w:gridCol w:w="781"/>
        <w:gridCol w:w="146"/>
        <w:gridCol w:w="146"/>
        <w:gridCol w:w="211"/>
        <w:gridCol w:w="781"/>
        <w:gridCol w:w="146"/>
        <w:gridCol w:w="146"/>
        <w:gridCol w:w="211"/>
        <w:gridCol w:w="676"/>
        <w:gridCol w:w="146"/>
        <w:gridCol w:w="146"/>
        <w:gridCol w:w="146"/>
        <w:gridCol w:w="466"/>
        <w:gridCol w:w="271"/>
        <w:gridCol w:w="146"/>
        <w:gridCol w:w="211"/>
        <w:gridCol w:w="676"/>
        <w:gridCol w:w="146"/>
        <w:gridCol w:w="146"/>
        <w:gridCol w:w="146"/>
        <w:gridCol w:w="466"/>
        <w:gridCol w:w="316"/>
      </w:tblGrid>
      <w:tr>
        <w:trPr/>
        <w:tc>
          <w:tcPr>
            <w:tcW w:w="189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1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9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9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51"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18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Research and development expense increased for fiscal year 2023, as compared to fiscal year 2022, primarily due to increased personnel costs, engineering-related expenses and SoC development cost. In fiscal year 2023, personnel costs increased by approximately $22.6 million as a result of higher stock-based compensation expense and an increase of approximately 85 employees throughout the fiscal year, including 44 engineering personnel added due to the acquisition of Oculii in the fourth quarter of fiscal year 2022. Engineering-related expenses, including the cost and depreciation of equipment and tools, amortization of licensed intellectual property, outside services and facility related expenses in support of new SoCs and related applications, increased by approximately $9.3 million. The increased research and development expense was also attributable to approximately $5.7 million of additional SoC development cost due to process node technological changes, increased licensed intellectual property associated with the new chips, as well as the number of chips in development.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Research and development expense increased for fiscal year 2022, as compared to fiscal year 2021, primarily due to increased personnel costs and engineering related costs. In fiscal year 2022, personnel costs increased by approximately $23.7 million as a result of issuance of stock awards, employee benefit programs and an increase in headcount. Our engineering headcount increased to 671 at January 31, 2022, including 44 engineering headcount added from our acquisition of Oculii, compared to 582 at January 31, 2021. Engineering related costs, including equipment expense, outside service and facility related expenses in support of new SoCs and related software, increased by approximately $7.5 million. The increase was partially offset by decreased SoC development costs due to the timing and number of chips in development. In fiscal year 2022, SoC development costs decreased by approximately $4.4 million.</w:t>
      </w:r>
    </w:p>
    <w:p>
      <w:pPr>
        <w:pStyle w:val="TextBody"/>
        <w:spacing w:before="360" w:after="0"/>
        <w:jc w:val="left"/>
        <w:rPr>
          <w:rFonts w:ascii="Times New Roman" w:hAnsi="Times New Roman"/>
          <w:sz w:val="20"/>
        </w:rPr>
      </w:pPr>
      <w:r>
        <w:rPr>
          <w:rFonts w:ascii="Times New Roman;serif" w:hAnsi="Times New Roman;serif"/>
          <w:b/>
          <w:i/>
          <w:sz w:val="20"/>
        </w:rPr>
        <w:t>Selling, General and Administrative</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12"/>
        <w:gridCol w:w="146"/>
        <w:gridCol w:w="211"/>
        <w:gridCol w:w="676"/>
        <w:gridCol w:w="146"/>
        <w:gridCol w:w="146"/>
        <w:gridCol w:w="211"/>
        <w:gridCol w:w="676"/>
        <w:gridCol w:w="146"/>
        <w:gridCol w:w="146"/>
        <w:gridCol w:w="211"/>
        <w:gridCol w:w="676"/>
        <w:gridCol w:w="146"/>
        <w:gridCol w:w="146"/>
        <w:gridCol w:w="211"/>
        <w:gridCol w:w="571"/>
        <w:gridCol w:w="146"/>
        <w:gridCol w:w="146"/>
        <w:gridCol w:w="146"/>
        <w:gridCol w:w="466"/>
        <w:gridCol w:w="271"/>
        <w:gridCol w:w="146"/>
        <w:gridCol w:w="211"/>
        <w:gridCol w:w="676"/>
        <w:gridCol w:w="146"/>
        <w:gridCol w:w="146"/>
        <w:gridCol w:w="146"/>
        <w:gridCol w:w="466"/>
        <w:gridCol w:w="316"/>
      </w:tblGrid>
      <w:tr>
        <w:trPr/>
        <w:tc>
          <w:tcPr>
            <w:tcW w:w="2312"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466" w:type="dxa"/>
            <w:tcBorders/>
            <w:shd w:fill="FFFFFF" w:val="clear"/>
            <w:vAlign w:val="center"/>
          </w:tcPr>
          <w:p>
            <w:pPr>
              <w:pStyle w:val="TableContents"/>
              <w:spacing w:before="0" w:after="283"/>
              <w:rPr>
                <w:sz w:val="4"/>
                <w:szCs w:val="4"/>
              </w:rPr>
            </w:pPr>
            <w:r>
              <w:rPr>
                <w:sz w:val="4"/>
                <w:szCs w:val="4"/>
              </w:rPr>
            </w:r>
          </w:p>
        </w:tc>
        <w:tc>
          <w:tcPr>
            <w:tcW w:w="316" w:type="dxa"/>
            <w:tcBorders/>
            <w:shd w:fill="FFFFFF" w:val="clear"/>
            <w:vAlign w:val="center"/>
          </w:tcPr>
          <w:p>
            <w:pPr>
              <w:pStyle w:val="TableContents"/>
              <w:spacing w:before="0" w:after="283"/>
              <w:rPr>
                <w:sz w:val="4"/>
                <w:szCs w:val="4"/>
              </w:rPr>
            </w:pPr>
            <w:r>
              <w:rPr>
                <w:sz w:val="4"/>
                <w:szCs w:val="4"/>
              </w:rPr>
            </w:r>
          </w:p>
        </w:tc>
      </w:tr>
      <w:tr>
        <w:trPr/>
        <w:tc>
          <w:tcPr>
            <w:tcW w:w="2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4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31"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16" w:type="dxa"/>
            <w:tcBorders/>
            <w:shd w:fill="auto" w:val="clear"/>
            <w:vAlign w:val="center"/>
          </w:tcPr>
          <w:p>
            <w:pPr>
              <w:pStyle w:val="TableContents"/>
              <w:spacing w:before="0" w:after="0"/>
              <w:ind w:left="0" w:right="0" w:hanging="0"/>
              <w:jc w:val="center"/>
              <w:rPr/>
            </w:pPr>
            <w:r>
              <w:rPr/>
              <w:t> </w:t>
            </w:r>
          </w:p>
        </w:tc>
      </w:tr>
      <w:tr>
        <w:trPr/>
        <w:tc>
          <w:tcPr>
            <w:tcW w:w="2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Selling, general and administrative expense increased for fiscal year 2023, as compared to fiscal year 2022, primarily due to increased personnel costs, marketing, travel, and facility-related expenses as well as the amortization of acquisition-related intangible assets. Personnel costs increased by approximately $8.2 million as a result of higher stock-based compensation expense and an increase of more than 20 employees. The increase was also attributable to approximately $1.4 million of additional marketing, travel, and facility-related expenses to support our business development and an additional $1.4 million of amortization of acquisition-related intangible assets. The increase was partially offset by approximately $3.1 million less in acquisition-related costs associated with the acquisition of Oculii in the prior fiscal year.</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Selling, general and administrative expense increased for fiscal year 2022, as compared to fiscal year 2021, primarily due to increased personnel costs and professional services in support of the Oculii acquisition and business development in the IP security, automotive and robotics markets. In fiscal year 2022, personnel costs increased by approximately $11.7 million as a result of issuance of stock awards, employee benefit programs and an increase in headcount. The increase was also attributable to approximately $0.4 million of amortization of acquisition-related intangible assets and $3.4 million of acquisition-related costs associated with the acquisition of Oculii in fiscal year 2022.</w:t>
      </w:r>
    </w:p>
    <w:p>
      <w:pPr>
        <w:pStyle w:val="TextBody"/>
        <w:spacing w:before="360" w:after="0"/>
        <w:jc w:val="left"/>
        <w:rPr>
          <w:rFonts w:ascii="Times New Roman" w:hAnsi="Times New Roman"/>
          <w:sz w:val="20"/>
        </w:rPr>
      </w:pPr>
      <w:r>
        <w:rPr>
          <w:rFonts w:ascii="Times New Roman;serif" w:hAnsi="Times New Roman;serif"/>
          <w:b/>
          <w:i/>
          <w:sz w:val="20"/>
        </w:rPr>
        <w:t>Other Income, Net</w:t>
      </w:r>
      <w:r>
        <w:rPr>
          <w:rFonts w:ascii="Times New Roman" w:hAnsi="Times New Roman"/>
          <w:sz w:val="20"/>
        </w:rPr>
        <w:t xml:space="preserve"> </w:t>
      </w:r>
    </w:p>
    <w:p>
      <w:pPr>
        <w:pStyle w:val="TextBody"/>
        <w:spacing w:before="0" w:after="0"/>
        <w:jc w:val="left"/>
        <w:rPr/>
      </w:pPr>
      <w:r>
        <w:rPr/>
        <w:t> </w:t>
      </w:r>
    </w:p>
    <w:tbl>
      <w:tblPr>
        <w:tblW w:w="9339" w:type="dxa"/>
        <w:jc w:val="left"/>
        <w:tblInd w:w="0" w:type="dxa"/>
        <w:tblCellMar>
          <w:top w:w="28" w:type="dxa"/>
          <w:left w:w="28" w:type="dxa"/>
          <w:bottom w:w="28" w:type="dxa"/>
          <w:right w:w="28" w:type="dxa"/>
        </w:tblCellMar>
      </w:tblPr>
      <w:tblGrid>
        <w:gridCol w:w="1561"/>
        <w:gridCol w:w="146"/>
        <w:gridCol w:w="211"/>
        <w:gridCol w:w="571"/>
        <w:gridCol w:w="146"/>
        <w:gridCol w:w="146"/>
        <w:gridCol w:w="211"/>
        <w:gridCol w:w="571"/>
        <w:gridCol w:w="146"/>
        <w:gridCol w:w="146"/>
        <w:gridCol w:w="211"/>
        <w:gridCol w:w="571"/>
        <w:gridCol w:w="146"/>
        <w:gridCol w:w="146"/>
        <w:gridCol w:w="211"/>
        <w:gridCol w:w="571"/>
        <w:gridCol w:w="146"/>
        <w:gridCol w:w="146"/>
        <w:gridCol w:w="146"/>
        <w:gridCol w:w="571"/>
        <w:gridCol w:w="271"/>
        <w:gridCol w:w="146"/>
        <w:gridCol w:w="211"/>
        <w:gridCol w:w="631"/>
        <w:gridCol w:w="166"/>
        <w:gridCol w:w="146"/>
        <w:gridCol w:w="146"/>
        <w:gridCol w:w="526"/>
        <w:gridCol w:w="376"/>
      </w:tblGrid>
      <w:tr>
        <w:trPr/>
        <w:tc>
          <w:tcPr>
            <w:tcW w:w="156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26" w:type="dxa"/>
            <w:tcBorders/>
            <w:shd w:fill="FFFFFF" w:val="clear"/>
            <w:vAlign w:val="center"/>
          </w:tcPr>
          <w:p>
            <w:pPr>
              <w:pStyle w:val="TableContents"/>
              <w:spacing w:before="0" w:after="283"/>
              <w:rPr>
                <w:sz w:val="4"/>
                <w:szCs w:val="4"/>
              </w:rPr>
            </w:pPr>
            <w:r>
              <w:rPr>
                <w:sz w:val="4"/>
                <w:szCs w:val="4"/>
              </w:rPr>
            </w:r>
          </w:p>
        </w:tc>
        <w:tc>
          <w:tcPr>
            <w:tcW w:w="376" w:type="dxa"/>
            <w:tcBorders/>
            <w:shd w:fill="FFFFFF" w:val="clear"/>
            <w:vAlign w:val="center"/>
          </w:tcPr>
          <w:p>
            <w:pPr>
              <w:pStyle w:val="TableContents"/>
              <w:spacing w:before="0" w:after="283"/>
              <w:rPr>
                <w:sz w:val="4"/>
                <w:szCs w:val="4"/>
              </w:rPr>
            </w:pPr>
            <w:r>
              <w:rPr>
                <w:sz w:val="4"/>
                <w:szCs w:val="4"/>
              </w:rPr>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56"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76" w:type="dxa"/>
            <w:tcBorders/>
            <w:shd w:fill="auto" w:val="clear"/>
            <w:vAlign w:val="center"/>
          </w:tcPr>
          <w:p>
            <w:pPr>
              <w:pStyle w:val="TableContents"/>
              <w:spacing w:before="0" w:after="0"/>
              <w:ind w:left="0" w:right="0" w:hanging="0"/>
              <w:jc w:val="center"/>
              <w:rPr/>
            </w:pPr>
            <w:r>
              <w:rPr/>
              <w:t> </w:t>
            </w:r>
          </w:p>
        </w:tc>
      </w:tr>
      <w:tr>
        <w:trPr/>
        <w:tc>
          <w:tcPr>
            <w:tcW w:w="15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(74.1</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increase in other income, net, for fiscal year 2023, as compared to fiscal year 2022, was primarily due to higher yields from our debt security investments driven by security purchases at discounts and higher interest rates. Subsidies received from a foreign government, as well as gains from foreign currency transactions and remeasurements also contributed to the increase.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decrease in other income, net, for fiscal year 2022, as compared to fiscal year 2021, was primarily due to lower yields from our debt security investments as a result of full liquidation of the investments in fiscal year 2022 to finance the acquisition of Oculii. The decrease was also attributable to net loss from foreign currency transactions and remeasurements due to fluctuations in exchange rates.</w:t>
      </w:r>
    </w:p>
    <w:p>
      <w:pPr>
        <w:pStyle w:val="TextBody"/>
        <w:spacing w:before="360" w:after="0"/>
        <w:jc w:val="left"/>
        <w:rPr>
          <w:rFonts w:ascii="Times New Roman" w:hAnsi="Times New Roman"/>
          <w:sz w:val="20"/>
        </w:rPr>
      </w:pPr>
      <w:r>
        <w:rPr>
          <w:rFonts w:ascii="Times New Roman;serif" w:hAnsi="Times New Roman;serif"/>
          <w:b/>
          <w:i/>
          <w:sz w:val="20"/>
        </w:rPr>
        <w:t>Provision (Benefit) for Income Taxes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07"/>
        <w:gridCol w:w="146"/>
        <w:gridCol w:w="211"/>
        <w:gridCol w:w="631"/>
        <w:gridCol w:w="166"/>
        <w:gridCol w:w="146"/>
        <w:gridCol w:w="211"/>
        <w:gridCol w:w="631"/>
        <w:gridCol w:w="166"/>
        <w:gridCol w:w="146"/>
        <w:gridCol w:w="211"/>
        <w:gridCol w:w="571"/>
        <w:gridCol w:w="146"/>
        <w:gridCol w:w="146"/>
        <w:gridCol w:w="211"/>
        <w:gridCol w:w="631"/>
        <w:gridCol w:w="166"/>
        <w:gridCol w:w="146"/>
        <w:gridCol w:w="146"/>
        <w:gridCol w:w="571"/>
        <w:gridCol w:w="271"/>
        <w:gridCol w:w="146"/>
        <w:gridCol w:w="211"/>
        <w:gridCol w:w="631"/>
        <w:gridCol w:w="166"/>
        <w:gridCol w:w="146"/>
        <w:gridCol w:w="146"/>
        <w:gridCol w:w="631"/>
        <w:gridCol w:w="351"/>
      </w:tblGrid>
      <w:tr>
        <w:trPr/>
        <w:tc>
          <w:tcPr>
            <w:tcW w:w="2107"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27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351" w:type="dxa"/>
            <w:tcBorders/>
            <w:shd w:fill="FFFFFF" w:val="clear"/>
            <w:vAlign w:val="center"/>
          </w:tcPr>
          <w:p>
            <w:pPr>
              <w:pStyle w:val="TableContents"/>
              <w:spacing w:before="0" w:after="283"/>
              <w:rPr>
                <w:sz w:val="4"/>
                <w:szCs w:val="4"/>
              </w:rPr>
            </w:pPr>
            <w:r>
              <w:rPr>
                <w:sz w:val="4"/>
                <w:szCs w:val="4"/>
              </w:rPr>
            </w:r>
          </w:p>
        </w:tc>
      </w:tr>
      <w:tr>
        <w:trPr/>
        <w:tc>
          <w:tcPr>
            <w:tcW w:w="21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9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0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01" w:type="dxa"/>
            <w:gridSpan w:val="2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51" w:type="dxa"/>
            <w:tcBorders/>
            <w:shd w:fill="auto" w:val="clear"/>
            <w:vAlign w:val="center"/>
          </w:tcPr>
          <w:p>
            <w:pPr>
              <w:pStyle w:val="TableContents"/>
              <w:spacing w:before="0" w:after="0"/>
              <w:ind w:left="0" w:right="0" w:hanging="0"/>
              <w:jc w:val="center"/>
              <w:rPr/>
            </w:pPr>
            <w:r>
              <w:rPr/>
              <w:t> </w:t>
            </w:r>
          </w:p>
        </w:tc>
      </w:tr>
      <w:tr>
        <w:trPr/>
        <w:tc>
          <w:tcPr>
            <w:tcW w:w="21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w:t>
            </w:r>
          </w:p>
        </w:tc>
        <w:tc>
          <w:tcPr>
            <w:tcW w:w="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tax rate</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17" w:type="dxa"/>
            <w:gridSpan w:val="2"/>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7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35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Income tax benefit increased in fiscal 2023, as compared to fiscal year 2022, primarily due to a decrease in the proportion of profits generated in higher tax jurisdictions and the release of prior FIN48 reserves upon the lapse of the statute of limitations, partially offset by an increase in non-deductible stock-based compensation.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Income tax benefit increased in fiscal 2022, as compared to fiscal year 2021, primarily due to a decrease in the proportion of profits generated in higher tax jurisdictions, an increase in the U.S. federal research tax credit, as well as an increase in tax benefits from excess stock-based compensation deductions.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our cash flows for the periods indicated:</w:t>
      </w:r>
      <w:r>
        <w:rPr>
          <w:rFonts w:ascii="Times New Roman" w:hAnsi="Times New Roman"/>
          <w:sz w:val="20"/>
        </w:rPr>
        <w:t xml:space="preserve"> </w:t>
      </w:r>
    </w:p>
    <w:p>
      <w:pPr>
        <w:pStyle w:val="TextBody"/>
        <w:spacing w:before="0" w:after="0"/>
        <w:jc w:val="left"/>
        <w:rPr/>
      </w:pPr>
      <w:r>
        <w:rPr/>
        <w:t> </w:t>
      </w:r>
    </w:p>
    <w:tbl>
      <w:tblPr>
        <w:tblW w:w="9598" w:type="dxa"/>
        <w:jc w:val="left"/>
        <w:tblInd w:w="0" w:type="dxa"/>
        <w:tblCellMar>
          <w:top w:w="28" w:type="dxa"/>
          <w:left w:w="28" w:type="dxa"/>
          <w:bottom w:w="28" w:type="dxa"/>
          <w:right w:w="28" w:type="dxa"/>
        </w:tblCellMar>
      </w:tblPr>
      <w:tblGrid>
        <w:gridCol w:w="5566"/>
        <w:gridCol w:w="146"/>
        <w:gridCol w:w="211"/>
        <w:gridCol w:w="841"/>
        <w:gridCol w:w="166"/>
        <w:gridCol w:w="146"/>
        <w:gridCol w:w="211"/>
        <w:gridCol w:w="841"/>
        <w:gridCol w:w="166"/>
        <w:gridCol w:w="146"/>
        <w:gridCol w:w="211"/>
        <w:gridCol w:w="736"/>
        <w:gridCol w:w="211"/>
      </w:tblGrid>
      <w:tr>
        <w:trPr/>
        <w:tc>
          <w:tcPr>
            <w:tcW w:w="55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84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7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30,800</w:t>
            </w:r>
          </w:p>
        </w:tc>
        <w:tc>
          <w:tcPr>
            <w:tcW w:w="211" w:type="dxa"/>
            <w:tcBorders/>
            <w:shd w:fill="auto" w:val="clear"/>
            <w:vAlign w:val="center"/>
          </w:tcPr>
          <w:p>
            <w:pPr>
              <w:pStyle w:val="TableContents"/>
              <w:spacing w:before="0" w:after="0"/>
              <w:ind w:left="0" w:right="0" w:hanging="0"/>
              <w:jc w:val="left"/>
              <w:rPr/>
            </w:pPr>
            <w:r>
              <w:rPr/>
              <w:t> </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(107,295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(119,551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(31,324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(70,231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Net Cash Provided by 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2023 compared to fiscal year 2022: </w:t>
      </w:r>
      <w:r>
        <w:rPr>
          <w:rFonts w:ascii="Times New Roman;serif" w:hAnsi="Times New Roman;serif"/>
          <w:b w:val="false"/>
          <w:sz w:val="20"/>
        </w:rPr>
        <w:t>Cash provided by operating activities increased primarily due to higher collections of accounts receivable associated with the timing of sales and lower inventory purchases due to customer inventory level reductions as a result of improved supply chain lead times across the semiconductor industry, partially offset by increased net loss adjusted for certain non-cash items and decreased liabilities associated with employee benefit payments and the timing of payments to our suppliers.</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2022 compared to fiscal year 2021: </w:t>
      </w:r>
      <w:r>
        <w:rPr>
          <w:rFonts w:ascii="Times New Roman;serif" w:hAnsi="Times New Roman;serif"/>
          <w:b w:val="false"/>
          <w:sz w:val="20"/>
        </w:rPr>
        <w:t>Cash provided by operating activities increased primarily due to decreased net loss, partially offset by increased inventory purchases associated with longer supply chain lead times, increased accounts receivable associated with the timing of sales and decreased liabilities associated with the timing of payments to our suppliers.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Net Cash Used in Investing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2023 compared to fiscal year 2022: </w:t>
      </w:r>
      <w:r>
        <w:rPr>
          <w:rFonts w:ascii="Times New Roman;serif" w:hAnsi="Times New Roman;serif"/>
          <w:b w:val="false"/>
          <w:sz w:val="20"/>
        </w:rPr>
        <w:t>Net cash used in investing activities decreased primarily due to $307.0 million of net cash paid for the Oculii acquisition in fiscal year 2022, partially offset by approximately $290.0 million less net cash receipts from debt security investments and approximately $5.4 million additional payments for purchase of property and equipment and licenses.</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2022 compared to fiscal year 2021: </w:t>
      </w:r>
      <w:r>
        <w:rPr>
          <w:rFonts w:ascii="Times New Roman;serif" w:hAnsi="Times New Roman;serif"/>
          <w:b w:val="false"/>
          <w:sz w:val="20"/>
        </w:rPr>
        <w:t>Net cash used in investing activities increased primarily due to $307.0 million of net cash paid for the Oculii acquisition, $4.7 million of net cash payments for long-lived assets, partially offset by $223.5 million of net cash receipts from the liquidation of all of our debt investments to finance the Oculii acquisition in fiscal year 2022.</w:t>
      </w:r>
    </w:p>
    <w:p>
      <w:pPr>
        <w:pStyle w:val="TextBody"/>
        <w:spacing w:before="180" w:after="0"/>
        <w:jc w:val="left"/>
        <w:rPr>
          <w:rFonts w:ascii="Times New Roman" w:hAnsi="Times New Roman"/>
          <w:sz w:val="20"/>
        </w:rPr>
      </w:pPr>
      <w:r>
        <w:rPr>
          <w:rFonts w:ascii="Times New Roman;serif" w:hAnsi="Times New Roman;serif"/>
          <w:b/>
          <w:i/>
          <w:sz w:val="20"/>
        </w:rPr>
        <w:t>Net Cash Provided by 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2023 compared to fiscal year 2022: </w:t>
      </w:r>
      <w:r>
        <w:rPr>
          <w:rFonts w:ascii="Times New Roman;serif" w:hAnsi="Times New Roman;serif"/>
          <w:b w:val="false"/>
          <w:sz w:val="20"/>
        </w:rPr>
        <w:t>Net cash provided by financing activities decreased primarily due to approximately $4.7 million less cash proceeds from option exercises and employee stock purchase withholdings.</w:t>
      </w:r>
    </w:p>
    <w:p>
      <w:pPr>
        <w:pStyle w:val="TextBody"/>
        <w:spacing w:before="120" w:after="0"/>
        <w:jc w:val="left"/>
        <w:rPr>
          <w:rFonts w:ascii="Times New Roman" w:hAnsi="Times New Roman"/>
          <w:sz w:val="20"/>
        </w:rPr>
      </w:pPr>
      <w:r>
        <w:rPr>
          <w:rFonts w:ascii="Times New Roman;serif" w:hAnsi="Times New Roman;serif"/>
          <w:b w:val="false"/>
          <w:i/>
          <w:sz w:val="20"/>
        </w:rPr>
        <w:t xml:space="preserve">Fiscal year 2022 compared to fiscal year 2021: </w:t>
      </w:r>
      <w:r>
        <w:rPr>
          <w:rFonts w:ascii="Times New Roman;serif" w:hAnsi="Times New Roman;serif"/>
          <w:b w:val="false"/>
          <w:sz w:val="20"/>
        </w:rPr>
        <w:t>Net cash provided by financing activities increased primarily due to $1.0 million of cash used for repurchasing our ordinary shares under the stock repurchase program in fiscal year 2021 that did not recur in fiscal year 2022, partially offset by $1.1 million of less cash received from option exercises and employee stock purchases.</w:t>
      </w:r>
    </w:p>
    <w:p>
      <w:pPr>
        <w:pStyle w:val="TextBody"/>
        <w:spacing w:before="180" w:after="0"/>
        <w:jc w:val="left"/>
        <w:rPr>
          <w:rFonts w:ascii="Times New Roman;serif" w:hAnsi="Times New Roman;serif"/>
          <w:b/>
          <w:i/>
          <w:sz w:val="20"/>
        </w:rPr>
      </w:pPr>
      <w:r>
        <w:rPr>
          <w:rFonts w:ascii="Times New Roman;serif" w:hAnsi="Times New Roman;serif"/>
          <w:b/>
          <w:i/>
          <w:sz w:val="20"/>
        </w:rPr>
        <w:t>Stock Repurchase Program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16, 2020, we repurchased a total of 25,719 of our ordinary shares for approximately $1.0 million in cash under an authorized repurchase program up to $50.0 million. Our Board of Directors has approved extensions of the repurchase program through June 30, 2023. There were no shares repurchased in fiscal years 2023 and 2022. As of January 31, 2023, there was approximately $49.0 million available for repurchases through June 30, 2023.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pStyle w:val="TextBody"/>
        <w:spacing w:before="18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January 31, 2023, we had cash, cash equivalents and marketable debt securities on hand of approximately $206.9 million, compared with approximately $171.0 million of cash on hand as of January 31,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Operating and Capital Expenditure Requirements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January 31, 2023, we had cash, cash equivalents and marketable debt securities on hand of approximately $206.9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pStyle w:val="TextBody"/>
        <w:spacing w:before="240" w:after="0"/>
        <w:jc w:val="left"/>
        <w:rPr>
          <w:rFonts w:ascii="Times New Roman" w:hAnsi="Times New Roman"/>
          <w:sz w:val="20"/>
        </w:rPr>
      </w:pPr>
      <w:r>
        <w:rPr>
          <w:rFonts w:ascii="Times New Roman;serif" w:hAnsi="Times New Roman;serif"/>
          <w:b w:val="false"/>
          <w:sz w:val="20"/>
        </w:rPr>
        <w:t>Our short-term and long-term capital requirements will depend on many factors, including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generate cash from operations;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control our costs;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expansion of our research and development of new technologies and products to address new markets and applications;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magnitude and duration of COVID-19 impact, as well as measures implemented to control the spread of the virus;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emergence of competing or complementary technologies or products;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global economic and political conditions, including macroeconomic conditions, high inflation and trade restrictions;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of filing, prosecuting, defending and enforcing any patent claims and other intellectual property rights or participating in litigation-related activities;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our acquisition of complementary businesses, products and technologies.</w:t>
      </w:r>
    </w:p>
    <w:p>
      <w:pPr>
        <w:pStyle w:val="TextBody"/>
        <w:spacing w:before="160" w:after="0"/>
        <w:jc w:val="left"/>
        <w:rPr>
          <w:rFonts w:ascii="Times New Roman" w:hAnsi="Times New Roman"/>
          <w:sz w:val="20"/>
        </w:rPr>
      </w:pPr>
      <w:r>
        <w:rPr>
          <w:rFonts w:ascii="Times New Roman;serif" w:hAnsi="Times New Roman;serif"/>
          <w:b/>
          <w:sz w:val="20"/>
        </w:rPr>
        <w:t>Contractual Obligations,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our outstanding contractual obligations as of January 31, 2023:</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95"/>
        <w:gridCol w:w="146"/>
        <w:gridCol w:w="211"/>
        <w:gridCol w:w="676"/>
        <w:gridCol w:w="146"/>
        <w:gridCol w:w="146"/>
        <w:gridCol w:w="211"/>
        <w:gridCol w:w="676"/>
        <w:gridCol w:w="146"/>
        <w:gridCol w:w="146"/>
        <w:gridCol w:w="211"/>
        <w:gridCol w:w="676"/>
        <w:gridCol w:w="146"/>
        <w:gridCol w:w="146"/>
        <w:gridCol w:w="285"/>
        <w:gridCol w:w="467"/>
        <w:gridCol w:w="146"/>
        <w:gridCol w:w="146"/>
        <w:gridCol w:w="272"/>
        <w:gridCol w:w="544"/>
        <w:gridCol w:w="146"/>
        <w:gridCol w:w="146"/>
        <w:gridCol w:w="211"/>
        <w:gridCol w:w="571"/>
        <w:gridCol w:w="193"/>
      </w:tblGrid>
      <w:tr>
        <w:trPr/>
        <w:tc>
          <w:tcPr>
            <w:tcW w:w="33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7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 Due by Period as of January 31, 2023</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71"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3" w:type="dxa"/>
            <w:tcBorders/>
            <w:shd w:fill="auto" w:val="clear"/>
            <w:vAlign w:val="center"/>
          </w:tcPr>
          <w:p>
            <w:pPr>
              <w:pStyle w:val="TableContents"/>
              <w:spacing w:before="0" w:after="0"/>
              <w:ind w:left="0" w:right="0" w:hanging="0"/>
              <w:jc w:val="center"/>
              <w:rPr/>
            </w:pPr>
            <w:r>
              <w:rPr/>
              <w:t> </w:t>
            </w:r>
          </w:p>
        </w:tc>
      </w:tr>
      <w:tr>
        <w:trPr/>
        <w:tc>
          <w:tcPr>
            <w:tcW w:w="339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More than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All</w:t>
            </w:r>
          </w:p>
        </w:tc>
        <w:tc>
          <w:tcPr>
            <w:tcW w:w="193" w:type="dxa"/>
            <w:tcBorders/>
            <w:shd w:fill="auto" w:val="clear"/>
            <w:vAlign w:val="center"/>
          </w:tcPr>
          <w:p>
            <w:pPr>
              <w:pStyle w:val="TableContents"/>
              <w:spacing w:before="0" w:after="0"/>
              <w:ind w:left="0" w:right="0" w:hanging="0"/>
              <w:jc w:val="center"/>
              <w:rPr/>
            </w:pPr>
            <w:r>
              <w:rPr/>
              <w:t> </w:t>
            </w:r>
          </w:p>
        </w:tc>
      </w:tr>
      <w:tr>
        <w:trPr/>
        <w:tc>
          <w:tcPr>
            <w:tcW w:w="339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1-3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5"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Contractual Obligations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93" w:type="dxa"/>
            <w:tcBorders/>
            <w:shd w:fill="auto" w:val="clear"/>
            <w:vAlign w:val="center"/>
          </w:tcPr>
          <w:p>
            <w:pPr>
              <w:pStyle w:val="TableContents"/>
              <w:spacing w:before="0" w:after="0"/>
              <w:ind w:left="0" w:right="0" w:hanging="0"/>
              <w:jc w:val="right"/>
              <w:rPr/>
            </w:pPr>
            <w:r>
              <w:rPr/>
              <w:t> </w:t>
            </w:r>
          </w:p>
        </w:tc>
      </w:tr>
      <w:tr>
        <w:trPr/>
        <w:tc>
          <w:tcPr>
            <w:tcW w:w="339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Technology licenses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r>
      <w:tr>
        <w:trPr/>
        <w:tc>
          <w:tcPr>
            <w:tcW w:w="339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Manufacturing purchase commitments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r>
      <w:tr>
        <w:trPr/>
        <w:tc>
          <w:tcPr>
            <w:tcW w:w="339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Capital commitment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4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93" w:type="dxa"/>
            <w:tcBorders/>
            <w:shd w:fill="auto" w:val="clear"/>
            <w:vAlign w:val="center"/>
          </w:tcPr>
          <w:p>
            <w:pPr>
              <w:pStyle w:val="TableContents"/>
              <w:spacing w:before="0" w:after="0"/>
              <w:ind w:left="0" w:right="0" w:hanging="0"/>
              <w:jc w:val="left"/>
              <w:rPr/>
            </w:pPr>
            <w:r>
              <w:rPr/>
              <w:t> </w:t>
            </w:r>
          </w:p>
        </w:tc>
      </w:tr>
      <w:tr>
        <w:trPr/>
        <w:tc>
          <w:tcPr>
            <w:tcW w:w="339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Unrecognized tax benefits, including interest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Technology license obligations represent future cash payments for noncancelable internal-use software licenses used in product design.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Manufacturing purchase commitments consist primarily of inventory purchase commitments with our independent contract manufacturers.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Capital commitment represents future construction cost and lease payments for our office building constructed in Parma, Italy.</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jc w:val="left"/>
        <w:rPr>
          <w:rFonts w:ascii="Times New Roman;serif" w:hAnsi="Times New Roman;serif"/>
          <w:b w:val="false"/>
          <w:sz w:val="20"/>
        </w:rPr>
      </w:pPr>
      <w:r>
        <w:rPr>
          <w:rFonts w:ascii="Times New Roman;serif" w:hAnsi="Times New Roman;serif"/>
          <w:b w:val="false"/>
          <w:sz w:val="20"/>
        </w:rPr>
        <w:t xml:space="preserve">Unrecognized tax benefits, including interest, represent our liabilities for uncertain tax positions as of January 31, 2023. We are unable to reasonably estimate the timing of payments in individual years due to uncertainties in the timing of the effective settlement of tax positions.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also have lease obligations primarily for our worldwide office facilities. As of January 31, 2023, these lease obligations were total of $9.0 million, with $3.8 million due in the next 12 months. Refer to Note 9 Leases within Notes to Consolidated Financial Statements for further information.</w:t>
      </w:r>
    </w:p>
    <w:p>
      <w:pPr>
        <w:pStyle w:val="TextBody"/>
        <w:spacing w:before="160" w:after="0"/>
        <w:jc w:val="left"/>
        <w:rPr>
          <w:rFonts w:ascii="Times New Roman" w:hAnsi="Times New Roman"/>
          <w:sz w:val="20"/>
        </w:rPr>
      </w:pPr>
      <w:r>
        <w:rPr>
          <w:rFonts w:ascii="Times New Roman;serif" w:hAnsi="Times New Roman;serif"/>
          <w:b/>
          <w:sz w:val="20"/>
        </w:rPr>
        <w:t>Stock Options and Restricted Stock Units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Grants of stock-based awards are key components of the compensation packages we provide to attract and retain employees and to align their interests with the interests of shareholders. We recognize that these stock-based awards will dilute existing shareholders and have sought to limit the number of shares granted while providing competitive compensation packages. As of January 31, 2023, we had a total of 3.04 million ordinary shares subject to outstanding stock options and unvested restricted stock units, which will dilute our existing shareholders. This potential dilution will only result if outstanding options vest and are exercised and restricted stock units vest and are settled.</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Critical Accounting Policies and Significant Management Estimates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business combinations; (ii) write downs of excess and obsolete inventories; (iii) the estimated useful lives of long-lived assets; (iv) the valuation of stock-based compensation awards; (v) the realization of tax assets and estimates of tax liabilities, including reserves for uncertain tax positions. These estimates and assumptions are based on historical experience and on various other factors which we believe to be reasonable under the circumstances. We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believe that the accounting policies discussed below are critical to understanding our historical and future performance, as these policies relate to the more significant areas involving management’s judgment and estimates: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Business Combination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the application of purchase accounting in a business combination, we allocate the purchase price to the assets acquired and liabilities assumed based on their estimated fair values. The excess of the purchase price over the fair values of the identifiable assets and liabilities is recorded as goodwill. We identify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we are required to make significant estimates and assumptions. Critical estimates and assumptions used in valuation techniques include, but are not limited to, revenue growth, technology migration curve, customer attrition rate, royalty rates and risk-adjusted discount rates. Our estimates are based on historical data, various internal estimates, and external sources that we believe to be reasonable upon the acquisition date. Actual results could differ from these estimates under different assumptions or circumstances and such differences could be material.</w:t>
      </w:r>
    </w:p>
    <w:p>
      <w:pPr>
        <w:pStyle w:val="TextBody"/>
        <w:spacing w:before="36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accordance with Accounting Standards Codification (ASC) 606, Revenue from Contracts with Customers,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Under ASC 606,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pStyle w:val="TextBody"/>
        <w:spacing w:before="120" w:after="0"/>
        <w:jc w:val="left"/>
        <w:rPr>
          <w:rFonts w:ascii="Times New Roman" w:hAnsi="Times New Roman"/>
          <w:sz w:val="20"/>
        </w:rPr>
      </w:pPr>
      <w:r>
        <w:rPr>
          <w:rFonts w:ascii="Times New Roman;serif" w:hAnsi="Times New Roman;serif"/>
          <w:b w:val="false"/>
          <w:sz w:val="20"/>
        </w:rPr>
        <w:t>We also enter into various project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For fixed-price project service contracts, we recognize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we recognize revenue in the amount for which we have the right to invoice as we believe the amount invoiced directly corresponds with the value to the customer of our performance completed to date.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Timing of revenue recognition may differ from the timing of invoicing to our customers. We record contract assets when revenue is recognized prior to invoicing. Our contract assets are primarily related to the satisfied but unbilled performance obligations associated with project service agreements at the reporting date. As of January 31, 2023 and 2022, the contract assets for these unbilled receivables were not material, respectively. Our contract liabilities consist of deferred revenue. The deferred revenue is primarily related to the nonrecurring engineering charges that are either invoiced or paid but performance obligations are not satisfied associated with project service agreements. The deferred revenue is expected to be recognized over the period when performance obligations are satisfied. Additionally, the value of unsatisfied, or partially unsatisfied, performance obligations for contracts that are greater than a year was not material as of January 31, 2023 and 2022, respectively. We also elect not to disclose the value of unsatisfied or partially unsatisfied performance obligations for contracts with original expected contract duration of one year or less, and elect to exclude amounts collected from customers for all sales taxes from the transaction price.</w:t>
      </w:r>
    </w:p>
    <w:p>
      <w:pPr>
        <w:pStyle w:val="TextBody"/>
        <w:spacing w:before="360" w:after="0"/>
        <w:jc w:val="left"/>
        <w:rPr>
          <w:rFonts w:ascii="Times New Roman" w:hAnsi="Times New Roman"/>
          <w:sz w:val="20"/>
        </w:rPr>
      </w:pPr>
      <w:r>
        <w:rPr>
          <w:rFonts w:ascii="Times New Roman;serif" w:hAnsi="Times New Roman;serif"/>
          <w:b/>
          <w:i/>
          <w:sz w:val="20"/>
        </w:rPr>
        <w:t>Inventory Valuation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w:t>
      </w:r>
      <w:r>
        <w:rPr>
          <w:rFonts w:ascii="Times New Roman" w:hAnsi="Times New Roman"/>
          <w:sz w:val="20"/>
        </w:rPr>
        <w:t xml:space="preserve"> </w:t>
      </w:r>
      <w:r>
        <w:rPr>
          <w:rFonts w:ascii="Times New Roman;serif" w:hAnsi="Times New Roman;serif"/>
          <w:b w:val="false"/>
          <w:sz w:val="20"/>
        </w:rPr>
        <w:t>Once inventory is written down, a new accounting cost basis is established and, accordingly, any associated reserve is not released until the inventory is sold or scrapped.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Goodwill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amortize goodwill. We test goodwill for impairment at least annually in the fourth fiscal quarter, or sooner whenever events or changes in circumstances indicate that the asset may be impaired. There is only one single reporting unit for goodwill impairment test purposes based on our business and reporting structure. We are permitted to first assess qualitative factors to determine whether the two step goodwill impairment test is necessary. Further testing is only required if we determine,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 No goodwill impairment has been identified to date based on our qualitative factors assessment.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measure stock-based compensation for equity awards granted to employees and directors based on the estimated fair value on the grant date, and recognize that compensation as expense using the straight-line attribution method for service condition awards or using the graded-vesting attribution method for awards with performance conditions over the requisite service period, which is typically the vesting period of each award. We determine the fair value of restricted stock and restricted stock units with service or performance conditions based on the fair market value of our ordinary shares on the grant date. We use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We calculate expected volatility based on our own historical stock price for a period commensurate with the expected term, which is computed based on our own historical exercise behavior. The risk-free interest rate is derived from an average of the U.S. Treasury constant maturity rates for the respective periods most closely commensurate with the expected term. The expected dividend yield is zero because we have not historically paid dividends and have no present intention to pay dividends. We use the Lattice pricing model and perform Monte Carlo Simulations to evaluate the fair value of awards with market conditions, including assumptions of historical volatility and risk-free interest rate commensurate with the vesting term. We elect to account for forfeitures as they occur.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bookmarkStart w:id="13" w:name="quantitative_and_qualitative"/>
      <w:bookmarkEnd w:id="13"/>
      <w:r>
        <w:rPr>
          <w:rFonts w:ascii="Times New Roman;serif" w:hAnsi="Times New Roman;serif"/>
          <w:b/>
          <w:sz w:val="20"/>
        </w:rPr>
        <w:t>ITEM 7A. QUANTITATIVE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had cash, cash equivalents and marketable debt securities totaling $206.9 million at January 31, 2023 and had cash of $171.0 million at January 31, 2022. Our cash is deposited in checking accounts with reputable financial institutions in excess of the Federal Deposit Insurance Corporation, or FDIC, insurance coverage limit of $250,000 per depositor, per FDIC-insured bank, per ownership category. The cash equivalents and marketable debt securities consist primarily of investments in money market funds, commercial paper, debt securities of corporations or corporate bonds, asset-backed securities and U.S. government securities. Our cash is held primarily for working capital purposes. We do not enter into investments for trading or speculative purposes.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Interest Rate Fluctuation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our investment activities is to preserve capital, provide liquidity and maximize income without significantly increasing risk. Some of the securities we invest in are subject to market risk. This means that a change in prevailing interest rates may affect the interest income on our cash, cash equivalents and marketable debt securities, and the market value of those securities. To minimize this risk, we maintain our portfolio in a variety of debt securities with high liquidity and low credit risk. The current inflationary environment in the United States and resulting high interest rates have not had a material impact on our investment portfolio and financial position to date. We do not enter into investments for trading or speculative purposes. A hypothetical 10% change in interest rates will not have a material impact on our future interest income or investment fair value. The liquidity risk and the risk associated with fluctuating interest rates are limited to our investment portfolio.</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Foreign Currency Risk</w:t>
      </w:r>
    </w:p>
    <w:p>
      <w:pPr>
        <w:pStyle w:val="TextBody"/>
        <w:spacing w:before="120" w:after="0"/>
        <w:jc w:val="left"/>
        <w:rPr>
          <w:rFonts w:ascii="Times New Roman" w:hAnsi="Times New Roman"/>
          <w:sz w:val="20"/>
        </w:rPr>
      </w:pPr>
      <w:r>
        <w:rPr>
          <w:rFonts w:ascii="Times New Roman;serif" w:hAnsi="Times New Roman;serif"/>
          <w:b w:val="false"/>
          <w:sz w:val="20"/>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4" w:name="financial_statements"/>
      <w:bookmarkEnd w:id="14"/>
      <w:r>
        <w:rPr>
          <w:rFonts w:ascii="Times New Roman;serif" w:hAnsi="Times New Roman;serif"/>
          <w:b/>
          <w:sz w:val="20"/>
        </w:rPr>
        <w:t>ITEM 8. FINANCIAL STATEMENTS AND SUPPLEMENTARY DATA</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financial statements required by this Item are set forth as a separate section of this Annual Report on Form 10-K. See Item 15 for a listing of financial statements provided in the section titled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5" w:name="changes_in_and_disagreements"/>
      <w:bookmarkEnd w:id="15"/>
      <w:r>
        <w:rPr>
          <w:rFonts w:ascii="Times New Roman;serif" w:hAnsi="Times New Roman;serif"/>
          <w:b/>
          <w:sz w:val="20"/>
        </w:rPr>
        <w:t>ITEM 9. CHANGES IN AND DISAGREEMENTS WITH ACCOUNTANTS ON ACCOUNTING AND FINANCIAL DISCLOSURE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16" w:name="controls_and_procedures"/>
      <w:bookmarkEnd w:id="16"/>
      <w:r>
        <w:rPr>
          <w:rFonts w:ascii="Times New Roman;serif" w:hAnsi="Times New Roman;serif"/>
          <w:b/>
          <w:sz w:val="20"/>
        </w:rPr>
        <w:t>ITEM 9A.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sz w:val="20"/>
        </w:rPr>
        <w:t>Evaluation of Disclosure Controls 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management, with the participation of our Principal Executive Officer and Principal Financial Officer, has evaluated the effectiveness of our disclosure controls and procedures as of the end of the period covered by this Annual Report on Form 10-K. The term “disclosure controls and procedures” (as defined in Rules 13a- 15(e) 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upon such evaluation, our Principal Executive Officer and Principal Financial Officer have concluded that, as of January 31, 2023, our disclosure controls and procedures were effective at the reasonable assurance level.</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Management’s Report on Internal Control over Financial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Management has evaluated the effectiveness of our internal control over financial reporting based on the framework in </w:t>
      </w:r>
      <w:r>
        <w:rPr>
          <w:rFonts w:ascii="Times New Roman;serif" w:hAnsi="Times New Roman;serif"/>
          <w:b w:val="false"/>
          <w:i/>
          <w:sz w:val="20"/>
        </w:rPr>
        <w:t>Internal Control-Integrated Framework (2013)</w:t>
      </w:r>
      <w:r>
        <w:rPr>
          <w:rFonts w:ascii="Times New Roman;serif" w:hAnsi="Times New Roman;serif"/>
          <w:b w:val="false"/>
          <w:sz w:val="20"/>
        </w:rPr>
        <w:t>, issued by the Committee of Sponsoring Organizations of the Treadway Commission (COSO). Based on this evaluation, management has concluded that our internal control over financial reporting was effective as of January 31,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effectiveness of our internal control over financial reporting as of January 31, 2023 has been audited by PricewaterhouseCoopers LLP, an independent registered public accounting firm, as stated in their report, which appears herein.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Changes in Internal Control over Financial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There were no changes in our internal control over financial reporting during the Company’s fiscal quarter ended January 31, 2023 that have materially affected, or are reasonably likely to materially affect, the Company’s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Inherent Limitations of Disclosure Controls and Internal Control over Financial Reporting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pStyle w:val="TextBody"/>
        <w:spacing w:before="360" w:after="0"/>
        <w:jc w:val="left"/>
        <w:rPr>
          <w:rFonts w:ascii="Times New Roman" w:hAnsi="Times New Roman"/>
          <w:sz w:val="20"/>
        </w:rPr>
      </w:pPr>
      <w:bookmarkStart w:id="17" w:name="other_information"/>
      <w:bookmarkEnd w:id="17"/>
      <w:r>
        <w:rPr>
          <w:rFonts w:ascii="Times New Roman;serif" w:hAnsi="Times New Roman;serif"/>
          <w:b/>
          <w:sz w:val="20"/>
        </w:rPr>
        <w:t>ITEM 9B. OTHER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serif" w:hAnsi="Times New Roman;serif"/>
          <w:b/>
          <w:sz w:val="20"/>
        </w:rPr>
      </w:pPr>
      <w:bookmarkStart w:id="18" w:name="item9c"/>
      <w:bookmarkEnd w:id="18"/>
      <w:r>
        <w:rPr>
          <w:rFonts w:ascii="Times New Roman;serif" w:hAnsi="Times New Roman;serif"/>
          <w:b/>
          <w:sz w:val="20"/>
        </w:rPr>
        <w:t>ITEM 9C. DISCLOSURE REGARDING FOREIGN JURISDICTIONS THAT PREVENT INSPECTIONS</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19" w:name="part_iii"/>
      <w:bookmarkEnd w:id="19"/>
      <w:r>
        <w:rPr>
          <w:rFonts w:ascii="Times New Roman;serif" w:hAnsi="Times New Roman;serif"/>
          <w:b/>
          <w:sz w:val="20"/>
        </w:rPr>
        <w:t>PART</w:t>
      </w:r>
      <w:r>
        <w:rPr>
          <w:rFonts w:ascii="Times New Roman" w:hAnsi="Times New Roman"/>
          <w:sz w:val="20"/>
        </w:rPr>
        <w:t xml:space="preserve"> </w:t>
      </w:r>
      <w:r>
        <w:rPr>
          <w:rFonts w:ascii="Times New Roman;serif" w:hAnsi="Times New Roman;serif"/>
          <w:b/>
          <w:sz w:val="20"/>
        </w:rPr>
        <w:t>III</w:t>
      </w:r>
    </w:p>
    <w:p>
      <w:pPr>
        <w:pStyle w:val="TextBody"/>
        <w:spacing w:before="240" w:after="0"/>
        <w:jc w:val="left"/>
        <w:rPr>
          <w:rFonts w:ascii="Times New Roman" w:hAnsi="Times New Roman"/>
          <w:sz w:val="20"/>
        </w:rPr>
      </w:pPr>
      <w:bookmarkStart w:id="20" w:name="directors_executive"/>
      <w:bookmarkEnd w:id="20"/>
      <w:r>
        <w:rPr>
          <w:rFonts w:ascii="Times New Roman;serif" w:hAnsi="Times New Roman;serif"/>
          <w:b/>
          <w:sz w:val="20"/>
        </w:rPr>
        <w:t>ITEM 10. DIRECTORS, EXECUTIVE OFFICERS AND CORPORATE GOVERNANCE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information responsive to this item is incorporated herein by reference to our Proxy Statement for our 2023 annual meeting of shareholders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r>
        <w:rPr>
          <w:rFonts w:ascii="Times New Roman" w:hAnsi="Times New Roman"/>
          <w:sz w:val="20"/>
        </w:rPr>
        <w:t xml:space="preserve"> </w:t>
      </w:r>
    </w:p>
    <w:p>
      <w:pPr>
        <w:pStyle w:val="TextBody"/>
        <w:spacing w:before="360" w:after="0"/>
        <w:jc w:val="left"/>
        <w:rPr>
          <w:rFonts w:ascii="Times New Roman" w:hAnsi="Times New Roman"/>
          <w:sz w:val="20"/>
        </w:rPr>
      </w:pPr>
      <w:bookmarkStart w:id="21" w:name="executive_compensation"/>
      <w:bookmarkEnd w:id="21"/>
      <w:r>
        <w:rPr>
          <w:rFonts w:ascii="Times New Roman;serif" w:hAnsi="Times New Roman;serif"/>
          <w:b/>
          <w:sz w:val="20"/>
        </w:rPr>
        <w:t>ITEM 11. EXECUTIVE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information responsive to this item is incorporated herein by reference to our Proxy Statement for our 2023 annual meeting of shareholders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360" w:after="0"/>
        <w:jc w:val="left"/>
        <w:rPr>
          <w:rFonts w:ascii="Times New Roman" w:hAnsi="Times New Roman"/>
          <w:sz w:val="20"/>
        </w:rPr>
      </w:pPr>
      <w:bookmarkStart w:id="22" w:name="security_ownership"/>
      <w:bookmarkEnd w:id="22"/>
      <w:r>
        <w:rPr>
          <w:rFonts w:ascii="Times New Roman;serif" w:hAnsi="Times New Roman;serif"/>
          <w:b/>
          <w:sz w:val="20"/>
        </w:rPr>
        <w:t>ITEM 12. SECURITY OWNERSHIP OF CERTAIN BENEFICIAL OWNERS AND MANAGEMENT AND RELATED STOCKHOLDER MATTERS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information responsive to this item is incorporated herein by reference to our Proxy Statement for our 2023 annual meeting of shareholders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360" w:after="0"/>
        <w:jc w:val="left"/>
        <w:rPr>
          <w:rFonts w:ascii="Times New Roman" w:hAnsi="Times New Roman"/>
          <w:sz w:val="20"/>
        </w:rPr>
      </w:pPr>
      <w:bookmarkStart w:id="23" w:name="certain_relationships"/>
      <w:bookmarkEnd w:id="23"/>
      <w:r>
        <w:rPr>
          <w:rFonts w:ascii="Times New Roman;serif" w:hAnsi="Times New Roman;serif"/>
          <w:b/>
          <w:sz w:val="20"/>
        </w:rPr>
        <w:t>ITEM 13. CERTAIN RELATIONSHIPS AND RELATED TRANSACTIONS, AND DIRECTOR INDEPENDENCE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information responsive to this item is incorporated herein by reference to our Proxy Statement for our 2023 annual meeting of shareholders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360" w:after="0"/>
        <w:jc w:val="left"/>
        <w:rPr>
          <w:rFonts w:ascii="Times New Roman" w:hAnsi="Times New Roman"/>
          <w:sz w:val="20"/>
        </w:rPr>
      </w:pPr>
      <w:bookmarkStart w:id="24" w:name="principal_accountant"/>
      <w:bookmarkEnd w:id="24"/>
      <w:r>
        <w:rPr>
          <w:rFonts w:ascii="Times New Roman;serif" w:hAnsi="Times New Roman;serif"/>
          <w:b/>
          <w:sz w:val="20"/>
        </w:rPr>
        <w:t>ITEM 14. PRINCIPAL ACCOUNTANT FEES AND SERVICES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information responsive to this item is incorporated herein by reference to our Proxy Statement for our 2023 annual meeting of shareholders to be filed with the Securities and Exchange Commission pursuant to Regulation 14A not later than 120 days after the end of the fiscal year covered by this Annual Report on Form 10-K.</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5" w:name="part_iv"/>
      <w:bookmarkEnd w:id="25"/>
      <w:r>
        <w:rPr>
          <w:rFonts w:ascii="Times New Roman;serif" w:hAnsi="Times New Roman;serif"/>
          <w:b/>
          <w:sz w:val="20"/>
        </w:rPr>
        <w:t>PART IV</w:t>
      </w:r>
      <w:r>
        <w:rPr>
          <w:rFonts w:ascii="Times New Roman" w:hAnsi="Times New Roman"/>
          <w:sz w:val="20"/>
        </w:rPr>
        <w:t xml:space="preserve"> </w:t>
      </w:r>
    </w:p>
    <w:p>
      <w:pPr>
        <w:pStyle w:val="TextBody"/>
        <w:spacing w:before="240" w:after="0"/>
        <w:jc w:val="left"/>
        <w:rPr>
          <w:rFonts w:ascii="Times New Roman" w:hAnsi="Times New Roman"/>
          <w:sz w:val="20"/>
        </w:rPr>
      </w:pPr>
      <w:bookmarkStart w:id="26" w:name="exhibits_and_financial"/>
      <w:bookmarkEnd w:id="26"/>
      <w:r>
        <w:rPr>
          <w:rFonts w:ascii="Times New Roman;serif" w:hAnsi="Times New Roman;serif"/>
          <w:b/>
          <w:sz w:val="20"/>
        </w:rPr>
        <w:t>ITEM 15. EXHIBITS AND FINANCIAL STATEMENT SCHEDULES</w:t>
      </w:r>
      <w:r>
        <w:rPr>
          <w:rFonts w:ascii="Times New Roman" w:hAnsi="Times New Roman"/>
          <w:sz w:val="20"/>
        </w:rPr>
        <w:t xml:space="preserve"> </w:t>
      </w:r>
    </w:p>
    <w:p>
      <w:pPr>
        <w:pStyle w:val="TextBody"/>
        <w:spacing w:before="120" w:after="0"/>
        <w:jc w:val="left"/>
        <w:rPr>
          <w:rFonts w:ascii="Times New Roman" w:hAnsi="Times New Roman"/>
          <w:b/>
          <w:sz w:val="20"/>
        </w:rPr>
      </w:pPr>
      <w:r>
        <w:rPr>
          <w:rFonts w:ascii="Times New Roman" w:hAnsi="Times New Roman"/>
          <w:b/>
          <w:sz w:val="20"/>
        </w:rPr>
        <w:t>(a)</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(1) Financial Statements </w:t>
      </w:r>
    </w:p>
    <w:p>
      <w:pPr>
        <w:pStyle w:val="TextBody"/>
        <w:spacing w:before="120" w:after="0"/>
        <w:jc w:val="left"/>
        <w:rPr>
          <w:rFonts w:ascii="Times New Roman" w:hAnsi="Times New Roman"/>
          <w:sz w:val="20"/>
        </w:rPr>
      </w:pPr>
      <w:r>
        <w:rPr>
          <w:rFonts w:ascii="Times New Roman;serif" w:hAnsi="Times New Roman;serif"/>
          <w:b w:val="false"/>
          <w:sz w:val="20"/>
        </w:rPr>
        <w:t>The following consolidated financial statements of the Registrant and Report of PricewaterhouseCoopers LLP, Independent Registered Public Accounting Firm, are included herewith:</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91"/>
        <w:gridCol w:w="4904"/>
        <w:gridCol w:w="2620"/>
        <w:gridCol w:w="146"/>
        <w:gridCol w:w="944"/>
      </w:tblGrid>
      <w:tr>
        <w:trPr/>
        <w:tc>
          <w:tcPr>
            <w:tcW w:w="1591" w:type="dxa"/>
            <w:tcBorders/>
            <w:shd w:fill="FFFFFF" w:val="clear"/>
            <w:vAlign w:val="center"/>
          </w:tcPr>
          <w:p>
            <w:pPr>
              <w:pStyle w:val="TableContents"/>
              <w:spacing w:before="0" w:after="283"/>
              <w:rPr>
                <w:sz w:val="4"/>
                <w:szCs w:val="4"/>
              </w:rPr>
            </w:pPr>
            <w:r>
              <w:rPr>
                <w:sz w:val="4"/>
                <w:szCs w:val="4"/>
              </w:rPr>
            </w:r>
          </w:p>
        </w:tc>
        <w:tc>
          <w:tcPr>
            <w:tcW w:w="4904" w:type="dxa"/>
            <w:tcBorders/>
            <w:shd w:fill="FFFFFF" w:val="clear"/>
            <w:vAlign w:val="center"/>
          </w:tcPr>
          <w:p>
            <w:pPr>
              <w:pStyle w:val="TableContents"/>
              <w:spacing w:before="0" w:after="283"/>
              <w:rPr>
                <w:sz w:val="4"/>
                <w:szCs w:val="4"/>
              </w:rPr>
            </w:pPr>
            <w:r>
              <w:rPr>
                <w:sz w:val="4"/>
                <w:szCs w:val="4"/>
              </w:rPr>
            </w:r>
          </w:p>
        </w:tc>
        <w:tc>
          <w:tcPr>
            <w:tcW w:w="2620"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44" w:type="dxa"/>
            <w:tcBorders/>
            <w:shd w:fill="FFFFFF" w:val="clear"/>
            <w:vAlign w:val="center"/>
          </w:tcPr>
          <w:p>
            <w:pPr>
              <w:pStyle w:val="TableContents"/>
              <w:spacing w:before="0" w:after="283"/>
              <w:rPr>
                <w:sz w:val="4"/>
                <w:szCs w:val="4"/>
              </w:rPr>
            </w:pPr>
            <w:r>
              <w:rPr>
                <w:sz w:val="4"/>
                <w:szCs w:val="4"/>
              </w:rPr>
            </w:r>
          </w:p>
        </w:tc>
      </w:tr>
      <w:tr>
        <w:trPr/>
        <w:tc>
          <w:tcPr>
            <w:tcW w:w="649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Financial Statement Description</w:t>
            </w:r>
          </w:p>
        </w:tc>
        <w:tc>
          <w:tcPr>
            <w:tcW w:w="262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32"/>
              <w:jc w:val="center"/>
              <w:rPr>
                <w:rFonts w:ascii="Times New Roman;serif" w:hAnsi="Times New Roman;serif"/>
                <w:b/>
                <w:sz w:val="16"/>
              </w:rPr>
            </w:pPr>
            <w:r>
              <w:rPr>
                <w:rFonts w:ascii="Times New Roman;serif" w:hAnsi="Times New Roman;serif"/>
                <w:b/>
                <w:sz w:val="16"/>
              </w:rPr>
              <w:t>Page</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report_of_auditor">
              <w:r>
                <w:rPr>
                  <w:rStyle w:val="InternetLink"/>
                  <w:rFonts w:ascii="Times New Roman;serif" w:hAnsi="Times New Roman;serif"/>
                  <w:b w:val="false"/>
                  <w:sz w:val="20"/>
                  <w:u w:val="single"/>
                </w:rPr>
                <w:t>Report of Independent Registered Public Accounting Firm</w:t>
              </w:r>
            </w:hyperlink>
            <w:r>
              <w:rPr>
                <w:rFonts w:ascii="Times New Roman" w:hAnsi="Times New Roman"/>
                <w:sz w:val="20"/>
              </w:rPr>
              <w:t> </w:t>
            </w:r>
            <w:r>
              <w:rPr>
                <w:rFonts w:ascii="Times New Roman;serif" w:hAnsi="Times New Roman;serif"/>
                <w:b w:val="false"/>
                <w:sz w:val="20"/>
              </w:rPr>
              <w:t>(PCAOB ID: 238)</w:t>
            </w:r>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70</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 As of January 31, 2023 and 2022</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72</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consolidated_statements_operation">
              <w:r>
                <w:rPr>
                  <w:rStyle w:val="InternetLink"/>
                  <w:rFonts w:ascii="Times New Roman;serif" w:hAnsi="Times New Roman;serif"/>
                  <w:b w:val="false"/>
                  <w:sz w:val="20"/>
                  <w:u w:val="single"/>
                </w:rPr>
                <w:t>Consolidated Statements of Operations For the Years Ended January 31, 2023, 2022 and 2021</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73</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consolidated_statements_comprehensive_in">
              <w:r>
                <w:rPr>
                  <w:rStyle w:val="InternetLink"/>
                  <w:rFonts w:ascii="Times New Roman;serif" w:hAnsi="Times New Roman;serif"/>
                  <w:b w:val="false"/>
                  <w:sz w:val="20"/>
                  <w:u w:val="single"/>
                </w:rPr>
                <w:t>Consolidated Statements of Comprehensive Loss For the Years Ended January 31, 2023, 2022 and 2021</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74</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consolidated_statements_shareholders_equ">
              <w:r>
                <w:rPr>
                  <w:rStyle w:val="InternetLink"/>
                  <w:rFonts w:ascii="Times New Roman;serif" w:hAnsi="Times New Roman;serif"/>
                  <w:b w:val="false"/>
                  <w:sz w:val="20"/>
                  <w:u w:val="single"/>
                </w:rPr>
                <w:t>Consolidated Statements of Shareholders’ Equity For the Years Ended January 31, 2023, 2022 and 2021</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75</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 For the Years Ended January 31, 2023, 2022 and 2021</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firstLine="432"/>
              <w:jc w:val="right"/>
              <w:rPr>
                <w:rFonts w:ascii="Times New Roman;serif" w:hAnsi="Times New Roman;serif"/>
                <w:b w:val="false"/>
                <w:sz w:val="20"/>
              </w:rPr>
            </w:pPr>
            <w:r>
              <w:rPr>
                <w:rFonts w:ascii="Times New Roman;serif" w:hAnsi="Times New Roman;serif"/>
                <w:b w:val="false"/>
                <w:sz w:val="20"/>
              </w:rPr>
              <w:t>76</w:t>
            </w:r>
          </w:p>
        </w:tc>
      </w:tr>
      <w:tr>
        <w:trPr/>
        <w:tc>
          <w:tcPr>
            <w:tcW w:w="1591" w:type="dxa"/>
            <w:tcBorders/>
            <w:shd w:fill="auto" w:val="clear"/>
            <w:vAlign w:val="center"/>
          </w:tcPr>
          <w:p>
            <w:pPr>
              <w:pStyle w:val="TableContents"/>
              <w:spacing w:before="0" w:after="0"/>
              <w:ind w:left="432"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7524" w:type="dxa"/>
            <w:gridSpan w:val="2"/>
            <w:tcBorders/>
            <w:shd w:fill="auto" w:val="clear"/>
            <w:vAlign w:val="center"/>
          </w:tcPr>
          <w:p>
            <w:pPr>
              <w:pStyle w:val="TableContents"/>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9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bl>
    <w:p>
      <w:pPr>
        <w:pStyle w:val="TextBody"/>
        <w:spacing w:before="360" w:after="0"/>
        <w:jc w:val="left"/>
        <w:rPr>
          <w:rFonts w:ascii="Times New Roman" w:hAnsi="Times New Roman"/>
          <w:b/>
          <w:sz w:val="20"/>
        </w:rPr>
      </w:pPr>
      <w:r>
        <w:rPr>
          <w:rFonts w:ascii="Times New Roman" w:hAnsi="Times New Roman"/>
          <w:b/>
          <w:sz w:val="20"/>
        </w:rPr>
        <w:t>(a)</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(2) Financial Statement Schedule </w:t>
      </w:r>
    </w:p>
    <w:p>
      <w:pPr>
        <w:pStyle w:val="TextBody"/>
        <w:spacing w:before="120" w:after="0"/>
        <w:jc w:val="left"/>
        <w:rPr>
          <w:rFonts w:ascii="Times New Roman" w:hAnsi="Times New Roman"/>
          <w:sz w:val="20"/>
        </w:rPr>
      </w:pPr>
      <w:r>
        <w:rPr>
          <w:rFonts w:ascii="Times New Roman;serif" w:hAnsi="Times New Roman;serif"/>
          <w:b w:val="false"/>
          <w:sz w:val="20"/>
        </w:rPr>
        <w:t>Financial statement schedules are omitted because they are not applicable or the required information is shown in the Financial Statements or the notes thereto.</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(b)</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Exhibits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exhibits listed below in the accompanying “Exhibits Index” are filed or incorporated by reference as part of this Annual Report on Form 10-K.</w:t>
      </w:r>
    </w:p>
    <w:p>
      <w:pPr>
        <w:pStyle w:val="TextBody"/>
        <w:spacing w:before="120" w:after="0"/>
        <w:jc w:val="left"/>
        <w:rPr/>
      </w:pPr>
      <w:r>
        <w:rPr/>
        <w:t> </w:t>
      </w:r>
    </w:p>
    <w:p>
      <w:pPr>
        <w:pStyle w:val="TextBody"/>
        <w:spacing w:before="12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7" w:name="report_of_auditor"/>
      <w:bookmarkEnd w:id="27"/>
      <w:r>
        <w:rPr>
          <w:rFonts w:ascii="Times New Roman;serif" w:hAnsi="Times New Roman;serif"/>
          <w:b/>
          <w:sz w:val="20"/>
        </w:rPr>
        <w:t>Report of Independent Registered Public Accounting Firm</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 the Board of Directors and Shareholders of Ambarella, Inc.</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Opinions on the Financial Statements and Internal Control over Financial Reporting</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We have audited the accompanying consolidated balance sheets of Ambarella, Inc. and its subsidiaries (the “Company”) as of January 31, 2023 and 2022, and the related consolidated statements of operations, of comprehensive loss, of shareholders' equity and of cash flows for each of the three years in the period ended January 31, 2023, including the related notes (collectively referred to as the “consolidated financial statements”). We also have audited the Company's internal control over financial reporting as of January 31, 2023, based on criteria established in </w:t>
      </w:r>
      <w:r>
        <w:rPr>
          <w:rFonts w:ascii="Times New Roman;serif" w:hAnsi="Times New Roman;serif"/>
          <w:b w:val="false"/>
          <w:i/>
          <w:sz w:val="20"/>
        </w:rPr>
        <w:t>Internal Control - Integrated Framework</w:t>
      </w:r>
      <w:r>
        <w:rPr>
          <w:rFonts w:ascii="Times New Roman" w:hAnsi="Times New Roman"/>
          <w:sz w:val="20"/>
        </w:rPr>
        <w:t xml:space="preserve"> </w:t>
      </w:r>
      <w:r>
        <w:rPr>
          <w:rFonts w:ascii="Times New Roman;serif" w:hAnsi="Times New Roman;serif"/>
          <w:b w:val="false"/>
          <w:sz w:val="20"/>
        </w:rPr>
        <w:t>(2013) issued by the Committee of Sponsoring Organizations of the Treadway Commission (COSO).</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In our opinion, the consolidated financial statements referred to above present fairly, 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 Also in our opinion, the Company maintained, in all material respects, effective internal control over financial reporting as of January 31, 2023, based on criteria established in </w:t>
      </w:r>
      <w:r>
        <w:rPr>
          <w:rFonts w:ascii="Times New Roman;serif" w:hAnsi="Times New Roman;serif"/>
          <w:b w:val="false"/>
          <w:i/>
          <w:sz w:val="20"/>
        </w:rPr>
        <w:t>Internal Control - Integrated Framework</w:t>
      </w:r>
      <w:r>
        <w:rPr>
          <w:rFonts w:ascii="Times New Roman" w:hAnsi="Times New Roman"/>
          <w:sz w:val="20"/>
        </w:rPr>
        <w:t xml:space="preserve"> </w:t>
      </w:r>
      <w:r>
        <w:rPr>
          <w:rFonts w:ascii="Times New Roman;serif" w:hAnsi="Times New Roman;serif"/>
          <w:b w:val="false"/>
          <w:sz w:val="20"/>
        </w:rPr>
        <w:t>(2013) issued by the COSO.</w:t>
      </w:r>
    </w:p>
    <w:p>
      <w:pPr>
        <w:pStyle w:val="TextBody"/>
        <w:spacing w:before="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Basis for Opinions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spacing w:before="4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Definition and Limitations of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Critical Audit Matters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Accounting for Income Taxes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described in Notes 1 and 14 to the consolidated financial statements, the Company's accounting for income taxes requires the recognition of deferred tax assets and liabilities for the expected future tax consequences of events that have been recognized in its financial statements or tax returns. Management evaluates the realization of tax assets and estimates of tax liabilities, including reserves for uncertain tax positions. Upon estimating the Company’s tax positions and tax benefits, management considers and evaluates numerous factors, which may require periodic adjustments and which may not reflect the final tax liabilities. Management adjusts the Company’s financial statements to reflect only those tax positions that are more likely than not to be sustained under examination, and considers whether a valuation allowance should be established against the Company’s deferred tax assets based on the consideration of all available evidence.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Company’s worldwide operating income is subject to varying tax rates and its effective tax rate is highly dependent upon the geographic distribution of its earnings or losses and the tax laws and regulations in each geographical region. As disclosed by management, the Company’s effective tax rate of 7.8% for the year ended January 31, 2023 is different than the U.S. federal statutory rate of 21%.</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principal considerations for our determination that performing procedures relating to accounting for income taxes is a critical audit matter are the significant judgment by management in determining the income tax provision and other tax positions, specifically in the determination of taxable income or loss by jurisdiction taxed or benefited at rates other than the U.S. federal statutory rate, and the recognition and measurement of deferred tax assets, valuation allowances, and uncertain tax positions. This in turn led to a high degree of auditor judgment, subjectivity, and effort in performing audit procedures and evaluating audit evidence related to income taxes. Also, the audit effort involved the use of professionals with specialized skill and knowledge.</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those related to the determination of taxable income or loss by jurisdiction taxed or benefited at rates other than the U.S. federal statutory rate, and the recognition and measurement of deferred tax assets, valuation allowances, and uncertain tax positions. These procedures also included, among others (i) testing the calculation of the income tax provision, including taxable income by jurisdiction, (ii) evaluating the reasonableness of the cost plus percentages applied for entities selected for testing based on management’s methodology for determining taxable income or loss by jurisdiction, (iii) evaluating the recognition and measurement of valuation allowances selected for testing, and (iv) evaluating the recognition and measurement of uncertain tax positions, including management’s assessment of the technical merits of tax positions and estimates of the amount of tax benefit expected to be sustained for the uncertain tax position selected for testing. Professionals with specialized skill and knowledge were used to assist in evaluating the appropriateness of management’s judgment and estimates related to management’s methodology for determining taxable income or loss by jurisdiction, which included evaluation of management’s application of relevant rules for determining arm’s length compensation for services.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w:t>
      </w:r>
      <w:r>
        <w:rPr>
          <w:rFonts w:ascii="Times New Roman" w:hAnsi="Times New Roman"/>
          <w:sz w:val="20"/>
        </w:rPr>
        <w:t xml:space="preserve"> </w:t>
      </w:r>
      <w:r>
        <w:rPr>
          <w:rFonts w:ascii="Times New Roman;serif" w:hAnsi="Times New Roman;serif"/>
          <w:b w:val="false"/>
          <w:sz w:val="20"/>
        </w:rPr>
        <w:t>PricewaterhouseCoopers LLP</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San Jose, California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March 31, 2023</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We have served as the Company’s auditor since 2008.</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AMBARELLA, INC.</w:t>
      </w:r>
    </w:p>
    <w:p>
      <w:pPr>
        <w:pStyle w:val="TextBody"/>
        <w:spacing w:before="0" w:after="0"/>
        <w:jc w:val="center"/>
        <w:rPr>
          <w:rFonts w:ascii="Times New Roman;serif" w:hAnsi="Times New Roman;serif"/>
          <w:b w:val="false"/>
          <w:sz w:val="20"/>
        </w:rPr>
      </w:pPr>
      <w:bookmarkStart w:id="28" w:name="consolidated_balance_sheets"/>
      <w:bookmarkEnd w:id="28"/>
      <w:r>
        <w:rPr>
          <w:rFonts w:ascii="Times New Roman;serif" w:hAnsi="Times New Roman;serif"/>
          <w:b w:val="false"/>
          <w:sz w:val="20"/>
        </w:rPr>
        <w:t>CONSOLIDATED BALANCE SHEETS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72"/>
        <w:gridCol w:w="146"/>
        <w:gridCol w:w="211"/>
        <w:gridCol w:w="781"/>
        <w:gridCol w:w="166"/>
        <w:gridCol w:w="146"/>
        <w:gridCol w:w="211"/>
        <w:gridCol w:w="781"/>
        <w:gridCol w:w="591"/>
      </w:tblGrid>
      <w:tr>
        <w:trPr/>
        <w:tc>
          <w:tcPr>
            <w:tcW w:w="71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71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w:t>
            </w:r>
          </w:p>
        </w:tc>
        <w:tc>
          <w:tcPr>
            <w:tcW w:w="591" w:type="dxa"/>
            <w:tcBorders/>
            <w:shd w:fill="auto" w:val="clear"/>
            <w:vAlign w:val="center"/>
          </w:tcPr>
          <w:p>
            <w:pPr>
              <w:pStyle w:val="TableContents"/>
              <w:spacing w:before="0" w:after="0"/>
              <w:ind w:left="0" w:right="0" w:hanging="0"/>
              <w:jc w:val="center"/>
              <w:rPr/>
            </w:pPr>
            <w:r>
              <w:rPr/>
              <w:t> </w:t>
            </w:r>
          </w:p>
        </w:tc>
      </w:tr>
      <w:tr>
        <w:trPr/>
        <w:tc>
          <w:tcPr>
            <w:tcW w:w="71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171,043</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93,322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44,307</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45,219</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304,632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266,748</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10,134</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assets,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15,340</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46,302</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11,127</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303,625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303,625</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710,195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657,545</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31,170</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52,064</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3,391</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1,245</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83,462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89,284</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8,322</w:t>
            </w:r>
          </w:p>
        </w:tc>
        <w:tc>
          <w:tcPr>
            <w:tcW w:w="591" w:type="dxa"/>
            <w:tcBorders/>
            <w:shd w:fill="auto" w:val="cle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110,369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15)</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71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Preference shares, $0.00045</w:t>
            </w:r>
            <w:r>
              <w:rPr>
                <w:rFonts w:ascii="Times New Roman" w:hAnsi="Times New Roman"/>
                <w:sz w:val="20"/>
              </w:rPr>
              <w:t> </w:t>
            </w:r>
            <w:r>
              <w:rPr>
                <w:rFonts w:ascii="Times New Roman;serif" w:hAnsi="Times New Roman;serif"/>
                <w:b w:val="false"/>
                <w:sz w:val="20"/>
              </w:rPr>
              <w:t>par value per share, 20,000,000</w:t>
            </w:r>
            <w:r>
              <w:rPr>
                <w:rFonts w:ascii="Times New Roman" w:hAnsi="Times New Roman"/>
                <w:sz w:val="20"/>
              </w:rPr>
              <w:t> </w:t>
            </w:r>
            <w:r>
              <w:rPr>
                <w:rFonts w:ascii="Times New Roman;serif" w:hAnsi="Times New Roman;serif"/>
                <w:b w:val="false"/>
                <w:sz w:val="20"/>
              </w:rPr>
              <w:t>shares authorized and no</w:t>
              <w:br/>
              <w:t>   shares issued and outstanding at January 31, 2023 and January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Ordinary shares, $0.00045</w:t>
            </w:r>
            <w:r>
              <w:rPr>
                <w:rFonts w:ascii="Times New Roman" w:hAnsi="Times New Roman"/>
                <w:sz w:val="20"/>
              </w:rPr>
              <w:t> </w:t>
            </w:r>
            <w:r>
              <w:rPr>
                <w:rFonts w:ascii="Times New Roman;serif" w:hAnsi="Times New Roman;serif"/>
                <w:b w:val="false"/>
                <w:sz w:val="20"/>
              </w:rPr>
              <w:t>par value per share, 200,000,000</w:t>
            </w:r>
            <w:r>
              <w:rPr>
                <w:rFonts w:ascii="Times New Roman" w:hAnsi="Times New Roman"/>
                <w:sz w:val="20"/>
              </w:rPr>
              <w:t> </w:t>
            </w:r>
            <w:r>
              <w:rPr>
                <w:rFonts w:ascii="Times New Roman;serif" w:hAnsi="Times New Roman;serif"/>
                <w:b w:val="false"/>
                <w:sz w:val="20"/>
              </w:rPr>
              <w:t>shares authorized; 39,043,000</w:t>
            </w:r>
            <w:r>
              <w:rPr>
                <w:rFonts w:ascii="Times New Roman" w:hAnsi="Times New Roman"/>
                <w:sz w:val="20"/>
              </w:rPr>
              <w:t> </w:t>
            </w:r>
            <w:r>
              <w:rPr>
                <w:rFonts w:ascii="Times New Roman;serif" w:hAnsi="Times New Roman;serif"/>
                <w:b w:val="false"/>
                <w:sz w:val="20"/>
              </w:rPr>
              <w:t>and 37,302,818</w:t>
            </w:r>
            <w:r>
              <w:rPr>
                <w:rFonts w:ascii="Times New Roman" w:hAnsi="Times New Roman"/>
                <w:sz w:val="20"/>
              </w:rPr>
              <w:t> </w:t>
            </w:r>
            <w:r>
              <w:rPr>
                <w:rFonts w:ascii="Times New Roman;serif" w:hAnsi="Times New Roman;serif"/>
                <w:b w:val="false"/>
                <w:sz w:val="20"/>
              </w:rPr>
              <w:t>shares issued and outstanding at January 31, 2023 and January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572,076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447,287</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717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Retained earnings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99,872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606,088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547,176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7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shareholders'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710,195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657,545</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See accompanying notes to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AMBARELLA, INC.</w:t>
      </w:r>
    </w:p>
    <w:p>
      <w:pPr>
        <w:pStyle w:val="TextBody"/>
        <w:spacing w:before="0" w:after="0"/>
        <w:jc w:val="center"/>
        <w:rPr>
          <w:rFonts w:ascii="Times New Roman;serif" w:hAnsi="Times New Roman;serif"/>
          <w:b w:val="false"/>
          <w:sz w:val="20"/>
        </w:rPr>
      </w:pPr>
      <w:bookmarkStart w:id="29" w:name="consolidated_statements_operation"/>
      <w:bookmarkEnd w:id="29"/>
      <w:r>
        <w:rPr>
          <w:rFonts w:ascii="Times New Roman;serif" w:hAnsi="Times New Roman;serif"/>
          <w:b w:val="false"/>
          <w:sz w:val="20"/>
        </w:rPr>
        <w:t>CONSOLIDATED STATEMENTS OF OPERATIONS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share and per share data)</w:t>
      </w:r>
    </w:p>
    <w:p>
      <w:pPr>
        <w:pStyle w:val="TextBody"/>
        <w:spacing w:before="0" w:after="0"/>
        <w:jc w:val="left"/>
        <w:rPr/>
      </w:pPr>
      <w:r>
        <w:rPr/>
        <w:t> </w:t>
      </w:r>
    </w:p>
    <w:tbl>
      <w:tblPr>
        <w:tblW w:w="9918" w:type="dxa"/>
        <w:jc w:val="left"/>
        <w:tblInd w:w="0" w:type="dxa"/>
        <w:tblCellMar>
          <w:top w:w="28" w:type="dxa"/>
          <w:left w:w="28" w:type="dxa"/>
          <w:bottom w:w="28" w:type="dxa"/>
          <w:right w:w="28" w:type="dxa"/>
        </w:tblCellMar>
      </w:tblPr>
      <w:tblGrid>
        <w:gridCol w:w="4996"/>
        <w:gridCol w:w="146"/>
        <w:gridCol w:w="211"/>
        <w:gridCol w:w="1036"/>
        <w:gridCol w:w="166"/>
        <w:gridCol w:w="146"/>
        <w:gridCol w:w="211"/>
        <w:gridCol w:w="1036"/>
        <w:gridCol w:w="166"/>
        <w:gridCol w:w="146"/>
        <w:gridCol w:w="211"/>
        <w:gridCol w:w="1036"/>
        <w:gridCol w:w="411"/>
      </w:tblGrid>
      <w:tr>
        <w:trPr/>
        <w:tc>
          <w:tcPr>
            <w:tcW w:w="4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9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337,606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222,990</w:t>
            </w:r>
          </w:p>
        </w:tc>
        <w:tc>
          <w:tcPr>
            <w:tcW w:w="411" w:type="dxa"/>
            <w:tcBorders/>
            <w:shd w:fill="auto" w:val="cle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128,672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123,724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208,934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135,573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167,337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140,759</w:t>
            </w:r>
          </w:p>
        </w:tc>
        <w:tc>
          <w:tcPr>
            <w:tcW w:w="411" w:type="dxa"/>
            <w:tcBorders/>
            <w:shd w:fill="auto" w:val="clear"/>
            <w:vAlign w:val="center"/>
          </w:tcPr>
          <w:p>
            <w:pPr>
              <w:pStyle w:val="TableContents"/>
              <w:spacing w:before="0" w:after="0"/>
              <w:ind w:left="0" w:right="0" w:firstLine="200"/>
              <w:jc w:val="left"/>
              <w:rPr/>
            </w:pPr>
            <w:r>
              <w:rPr/>
              <w:t> </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55,980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196,739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(61,166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(57,303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(benefit)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attributable to ordinary shareholders: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used to compute net loss per share </w:t>
              <w:br/>
              <w:t>   attributable to ordinary shareholders: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38,363,638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36,577,120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34,679,717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9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38,363,638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36,577,120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34,679,717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See accompanying notes to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AMBARELLA, INC.</w:t>
      </w:r>
    </w:p>
    <w:p>
      <w:pPr>
        <w:pStyle w:val="TextBody"/>
        <w:spacing w:before="0" w:after="0"/>
        <w:jc w:val="center"/>
        <w:rPr>
          <w:rFonts w:ascii="Times New Roman;serif" w:hAnsi="Times New Roman;serif"/>
          <w:b w:val="false"/>
          <w:sz w:val="20"/>
        </w:rPr>
      </w:pPr>
      <w:bookmarkStart w:id="30" w:name="consolidated_statements_comprehensive_in"/>
      <w:bookmarkEnd w:id="30"/>
      <w:r>
        <w:rPr>
          <w:rFonts w:ascii="Times New Roman;serif" w:hAnsi="Times New Roman;serif"/>
          <w:b w:val="false"/>
          <w:sz w:val="20"/>
        </w:rPr>
        <w:t>CONSOLIDATED STATEMENTS OF COMPREHENSIVE LOSS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spacing w:before="0" w:after="0"/>
        <w:jc w:val="left"/>
        <w:rPr/>
      </w:pPr>
      <w:r>
        <w:rPr/>
        <w:t> </w:t>
      </w:r>
    </w:p>
    <w:tbl>
      <w:tblPr>
        <w:tblW w:w="8938" w:type="dxa"/>
        <w:jc w:val="left"/>
        <w:tblInd w:w="0" w:type="dxa"/>
        <w:tblCellMar>
          <w:top w:w="28" w:type="dxa"/>
          <w:left w:w="28" w:type="dxa"/>
          <w:bottom w:w="28" w:type="dxa"/>
          <w:right w:w="28" w:type="dxa"/>
        </w:tblCellMar>
      </w:tblPr>
      <w:tblGrid>
        <w:gridCol w:w="4936"/>
        <w:gridCol w:w="146"/>
        <w:gridCol w:w="211"/>
        <w:gridCol w:w="736"/>
        <w:gridCol w:w="166"/>
        <w:gridCol w:w="146"/>
        <w:gridCol w:w="211"/>
        <w:gridCol w:w="736"/>
        <w:gridCol w:w="166"/>
        <w:gridCol w:w="146"/>
        <w:gridCol w:w="211"/>
        <w:gridCol w:w="736"/>
        <w:gridCol w:w="391"/>
      </w:tblGrid>
      <w:tr>
        <w:trPr/>
        <w:tc>
          <w:tcPr>
            <w:tcW w:w="49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unrealized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391" w:type="dxa"/>
            <w:tcBorders/>
            <w:shd w:fill="auto" w:val="clear"/>
            <w:vAlign w:val="center"/>
          </w:tcPr>
          <w:p>
            <w:pPr>
              <w:pStyle w:val="TableContents"/>
              <w:spacing w:before="0" w:after="0"/>
              <w:ind w:left="0" w:right="0" w:firstLine="200"/>
              <w:jc w:val="left"/>
              <w:rPr/>
            </w:pPr>
            <w:r>
              <w:rPr/>
              <w:t> </w:t>
            </w:r>
          </w:p>
        </w:tc>
      </w:tr>
      <w:tr>
        <w:trPr/>
        <w:tc>
          <w:tcPr>
            <w:tcW w:w="49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Reclassification of unrealized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391" w:type="dxa"/>
            <w:tcBorders/>
            <w:shd w:fill="auto" w:val="clear"/>
            <w:vAlign w:val="center"/>
          </w:tcPr>
          <w:p>
            <w:pPr>
              <w:pStyle w:val="TableContents"/>
              <w:spacing w:before="0" w:after="0"/>
              <w:ind w:left="0" w:right="0" w:hanging="0"/>
              <w:jc w:val="left"/>
              <w:rPr/>
            </w:pPr>
            <w:r>
              <w:rPr/>
              <w:t> </w:t>
            </w:r>
          </w:p>
        </w:tc>
      </w:tr>
      <w:tr>
        <w:trPr/>
        <w:tc>
          <w:tcPr>
            <w:tcW w:w="49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(65,878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(59,335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See accompanying notes to consolidated financial statements.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AMBARELLA, INC.</w:t>
      </w:r>
    </w:p>
    <w:p>
      <w:pPr>
        <w:pStyle w:val="TextBody"/>
        <w:spacing w:before="0" w:after="0"/>
        <w:jc w:val="center"/>
        <w:rPr>
          <w:rFonts w:ascii="Times New Roman;serif" w:hAnsi="Times New Roman;serif"/>
          <w:b w:val="false"/>
          <w:sz w:val="18"/>
        </w:rPr>
      </w:pPr>
      <w:bookmarkStart w:id="31" w:name="consolidated_statements_shareholders_equ"/>
      <w:bookmarkEnd w:id="31"/>
      <w:r>
        <w:rPr>
          <w:rFonts w:ascii="Times New Roman;serif" w:hAnsi="Times New Roman;serif"/>
          <w:b w:val="false"/>
          <w:sz w:val="18"/>
        </w:rPr>
        <w:t>CONSOLIDATED STATEMENTS OF SHAREHOLDERS’ EQUITY</w:t>
      </w:r>
    </w:p>
    <w:p>
      <w:pPr>
        <w:pStyle w:val="TextBody"/>
        <w:spacing w:before="0" w:after="0"/>
        <w:jc w:val="center"/>
        <w:rPr>
          <w:rFonts w:ascii="Times New Roman;serif" w:hAnsi="Times New Roman;serif"/>
          <w:b w:val="false"/>
          <w:sz w:val="18"/>
        </w:rPr>
      </w:pPr>
      <w:r>
        <w:rPr>
          <w:rFonts w:ascii="Times New Roman;serif" w:hAnsi="Times New Roman;serif"/>
          <w:b w:val="false"/>
          <w:sz w:val="18"/>
        </w:rPr>
        <w:t>(in thousands, except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43"/>
        <w:gridCol w:w="146"/>
        <w:gridCol w:w="146"/>
        <w:gridCol w:w="1036"/>
        <w:gridCol w:w="166"/>
        <w:gridCol w:w="146"/>
        <w:gridCol w:w="261"/>
        <w:gridCol w:w="430"/>
        <w:gridCol w:w="146"/>
        <w:gridCol w:w="146"/>
        <w:gridCol w:w="211"/>
        <w:gridCol w:w="781"/>
        <w:gridCol w:w="166"/>
        <w:gridCol w:w="146"/>
        <w:gridCol w:w="304"/>
        <w:gridCol w:w="912"/>
        <w:gridCol w:w="166"/>
        <w:gridCol w:w="146"/>
        <w:gridCol w:w="211"/>
        <w:gridCol w:w="781"/>
        <w:gridCol w:w="166"/>
        <w:gridCol w:w="146"/>
        <w:gridCol w:w="211"/>
        <w:gridCol w:w="781"/>
        <w:gridCol w:w="411"/>
      </w:tblGrid>
      <w:tr>
        <w:trPr/>
        <w:tc>
          <w:tcPr>
            <w:tcW w:w="20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0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20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5"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20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Ordinary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20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Balance--January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33,805,609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261,220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186,069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1,584,619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15,684</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182,931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5,825</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repurchase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65,730</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Balance--January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35,547,440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347,458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474,976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1,636,596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12,195</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118,782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7,208</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partially vested equity awards assumed in connection with acquisition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80,020</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loss -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Balance--January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37,302,818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447,287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547,176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1,635,596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11,409</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shares through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6,636</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106,745</w:t>
            </w:r>
          </w:p>
        </w:tc>
        <w:tc>
          <w:tcPr>
            <w:tcW w:w="411" w:type="dxa"/>
            <w:tcBorders/>
            <w:shd w:fill="auto" w:val="clear"/>
            <w:vAlign w:val="center"/>
          </w:tcPr>
          <w:p>
            <w:pPr>
              <w:pStyle w:val="TableContents"/>
              <w:spacing w:before="0" w:after="0"/>
              <w:ind w:left="0" w:right="0" w:firstLine="200"/>
              <w:jc w:val="left"/>
              <w:rPr/>
            </w:pPr>
            <w:r>
              <w:rPr/>
              <w:t> </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loss - net of tax</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4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shd w:fill="auto" w:val="clear"/>
            <w:vAlign w:val="center"/>
          </w:tcPr>
          <w:p>
            <w:pPr>
              <w:pStyle w:val="TableContents"/>
              <w:spacing w:before="0" w:after="0"/>
              <w:ind w:left="0" w:right="0" w:hanging="0"/>
              <w:jc w:val="left"/>
              <w:rPr/>
            </w:pPr>
            <w:r>
              <w:rPr/>
              <w:t> </w:t>
            </w:r>
          </w:p>
        </w:tc>
        <w:tc>
          <w:tcPr>
            <w:tcW w:w="9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3"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Balance--January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39,043,000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572,076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606,088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accompanying notes to consolidated financial statements.</w:t>
      </w:r>
    </w:p>
    <w:p>
      <w:pPr>
        <w:pStyle w:val="TextBody"/>
        <w:spacing w:before="0" w:after="0"/>
        <w:jc w:val="center"/>
        <w:rPr/>
      </w:pPr>
      <w:r>
        <w:rPr/>
        <w:t> </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AMBARELLA, INC.</w:t>
      </w:r>
    </w:p>
    <w:p>
      <w:pPr>
        <w:pStyle w:val="TextBody"/>
        <w:spacing w:before="0" w:after="0"/>
        <w:jc w:val="center"/>
        <w:rPr>
          <w:rFonts w:ascii="Times New Roman;serif" w:hAnsi="Times New Roman;serif"/>
          <w:b w:val="false"/>
          <w:sz w:val="20"/>
        </w:rPr>
      </w:pPr>
      <w:bookmarkStart w:id="32" w:name="consolidated_statements_cash_flows"/>
      <w:bookmarkEnd w:id="32"/>
      <w:r>
        <w:rPr>
          <w:rFonts w:ascii="Times New Roman;serif" w:hAnsi="Times New Roman;serif"/>
          <w:b w:val="false"/>
          <w:sz w:val="20"/>
        </w:rPr>
        <w:t>CONSOLIDATED STATEMENTS OF CASH FLOWS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468"/>
        <w:gridCol w:w="146"/>
        <w:gridCol w:w="211"/>
        <w:gridCol w:w="841"/>
        <w:gridCol w:w="166"/>
        <w:gridCol w:w="146"/>
        <w:gridCol w:w="211"/>
        <w:gridCol w:w="841"/>
        <w:gridCol w:w="166"/>
        <w:gridCol w:w="146"/>
        <w:gridCol w:w="211"/>
        <w:gridCol w:w="841"/>
        <w:gridCol w:w="811"/>
      </w:tblGrid>
      <w:tr>
        <w:trPr/>
        <w:tc>
          <w:tcPr>
            <w:tcW w:w="54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54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8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6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(65,386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(26,411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(59,786</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 xml:space="preserve">Adjustments to reconcile net loss to net cash provided by operating </w:t>
              <w:br/>
              <w:t>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19,934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14,007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11,967</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Amortization (accretion) of premium (discount) on marketable debt securities,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721</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87,801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70,134</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(3,936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(514</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Other non-cash items,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65</w:t>
            </w:r>
          </w:p>
        </w:tc>
        <w:tc>
          <w:tcPr>
            <w:tcW w:w="811" w:type="dxa"/>
            <w:tcBorders/>
            <w:shd w:fill="auto" w:val="clear"/>
            <w:vAlign w:val="center"/>
          </w:tcPr>
          <w:p>
            <w:pPr>
              <w:pStyle w:val="TableContents"/>
              <w:spacing w:before="0" w:after="0"/>
              <w:ind w:left="0" w:right="0" w:firstLine="200"/>
              <w:jc w:val="lef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400"/>
              <w:jc w:val="righ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(7,680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(18,600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(6,487</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(18,944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(3,110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(537</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1,141</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(13,325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9,822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6,214</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Accrued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12,055</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Income taxes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272</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144</w:t>
            </w:r>
          </w:p>
        </w:tc>
        <w:tc>
          <w:tcPr>
            <w:tcW w:w="811" w:type="dxa"/>
            <w:tcBorders/>
            <w:shd w:fill="auto" w:val="clear"/>
            <w:vAlign w:val="center"/>
          </w:tcPr>
          <w:p>
            <w:pPr>
              <w:pStyle w:val="TableContents"/>
              <w:spacing w:before="0" w:after="0"/>
              <w:ind w:left="0" w:right="0" w:firstLine="400"/>
              <w:jc w:val="left"/>
              <w:rPr/>
            </w:pPr>
            <w:r>
              <w:rPr/>
              <w:t> </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(4,011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(3,608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(2,416</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400" w:right="0" w:hanging="0"/>
              <w:jc w:val="left"/>
              <w:rPr>
                <w:rFonts w:ascii="Times New Roman;serif" w:hAnsi="Times New Roman;serif"/>
                <w:b w:val="false"/>
                <w:sz w:val="19"/>
              </w:rPr>
            </w:pPr>
            <w:r>
              <w:rPr>
                <w:rFonts w:ascii="Times New Roman;serif" w:hAnsi="Times New Roman;serif"/>
                <w:b w:val="false"/>
                <w:sz w:val="19"/>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(6,195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937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468"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44,093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38,795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30,800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Acquisition, net of cash acquired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(307,038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Purchases of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(97,437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(118,726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(219,677</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Sales of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208,132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70,087</w:t>
            </w:r>
          </w:p>
        </w:tc>
        <w:tc>
          <w:tcPr>
            <w:tcW w:w="811" w:type="dxa"/>
            <w:tcBorders/>
            <w:shd w:fill="auto" w:val="clear"/>
            <w:vAlign w:val="center"/>
          </w:tcPr>
          <w:p>
            <w:pPr>
              <w:pStyle w:val="TableContents"/>
              <w:spacing w:before="0" w:after="0"/>
              <w:ind w:left="0" w:right="0" w:firstLine="200"/>
              <w:jc w:val="lef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Maturities of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107,760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123,208</w:t>
            </w:r>
          </w:p>
        </w:tc>
        <w:tc>
          <w:tcPr>
            <w:tcW w:w="811" w:type="dxa"/>
            <w:tcBorders/>
            <w:shd w:fill="auto" w:val="clear"/>
            <w:vAlign w:val="center"/>
          </w:tcPr>
          <w:p>
            <w:pPr>
              <w:pStyle w:val="TableContents"/>
              <w:spacing w:before="0" w:after="0"/>
              <w:ind w:left="0" w:right="0" w:firstLine="200"/>
              <w:jc w:val="lef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 of tangible and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(15,051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(9,679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(4,942</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Escrow claim associated with business acquisition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468"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(107,295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(119,551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(31,324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Stock repurchase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exercise of stock options and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10,585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15,292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16,417</w:t>
            </w:r>
          </w:p>
        </w:tc>
        <w:tc>
          <w:tcPr>
            <w:tcW w:w="811" w:type="dxa"/>
            <w:tcBorders/>
            <w:shd w:fill="auto" w:val="clear"/>
            <w:vAlign w:val="center"/>
          </w:tcPr>
          <w:p>
            <w:pPr>
              <w:pStyle w:val="TableContents"/>
              <w:spacing w:before="0" w:after="0"/>
              <w:ind w:left="0" w:right="0" w:firstLine="200"/>
              <w:jc w:val="lef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Long-term financing payment for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(4,767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(5,021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9"/>
              </w:rPr>
            </w:pPr>
            <w:r>
              <w:rPr>
                <w:rFonts w:ascii="Times New Roman;serif" w:hAnsi="Times New Roman;serif"/>
                <w:b w:val="false"/>
                <w:sz w:val="19"/>
              </w:rPr>
              <w:t>)</w:t>
            </w:r>
          </w:p>
        </w:tc>
      </w:tr>
      <w:tr>
        <w:trPr/>
        <w:tc>
          <w:tcPr>
            <w:tcW w:w="5468" w:type="dxa"/>
            <w:tcBorders/>
            <w:shd w:fill="auto" w:val="clear"/>
            <w:vAlign w:val="center"/>
          </w:tcPr>
          <w:p>
            <w:pPr>
              <w:pStyle w:val="TableContents"/>
              <w:spacing w:before="0" w:after="0"/>
              <w:ind w:left="600" w:right="0" w:hanging="0"/>
              <w:jc w:val="left"/>
              <w:rPr>
                <w:rFonts w:ascii="Times New Roman;serif" w:hAnsi="Times New Roman;serif"/>
                <w:b w:val="false"/>
                <w:sz w:val="19"/>
              </w:rPr>
            </w:pPr>
            <w:r>
              <w:rPr>
                <w:rFonts w:ascii="Times New Roman;serif" w:hAnsi="Times New Roman;serif"/>
                <w:b w:val="false"/>
                <w:sz w:val="19"/>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10,525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10,396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(57,504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(70,231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9,872</w:t>
            </w:r>
          </w:p>
        </w:tc>
        <w:tc>
          <w:tcPr>
            <w:tcW w:w="811" w:type="dxa"/>
            <w:tcBorders/>
            <w:shd w:fill="auto" w:val="cle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171,053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241,284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231,412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113,549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171,053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241,284</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1,531</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468" w:type="dxa"/>
            <w:tcBorders/>
            <w:shd w:fill="auto" w:val="clear"/>
            <w:vAlign w:val="center"/>
          </w:tcPr>
          <w:p>
            <w:pPr>
              <w:pStyle w:val="TableContents"/>
              <w:spacing w:before="0" w:after="0"/>
              <w:ind w:left="0" w:right="0" w:hanging="0"/>
              <w:jc w:val="left"/>
              <w:rPr>
                <w:rFonts w:ascii="Times New Roman;serif" w:hAnsi="Times New Roman;serif"/>
                <w:b/>
                <w:sz w:val="19"/>
              </w:rPr>
            </w:pPr>
            <w:r>
              <w:rPr>
                <w:rFonts w:ascii="Times New Roman;serif" w:hAnsi="Times New Roman;serif"/>
                <w:b/>
                <w:sz w:val="19"/>
              </w:rPr>
              <w:t>Supplemental disclosure of 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811" w:type="dxa"/>
            <w:tcBorders/>
            <w:shd w:fill="auto" w:val="clear"/>
            <w:vAlign w:val="center"/>
          </w:tcPr>
          <w:p>
            <w:pPr>
              <w:pStyle w:val="TableContents"/>
              <w:spacing w:before="0" w:after="0"/>
              <w:ind w:left="0" w:right="0" w:firstLine="200"/>
              <w:jc w:val="right"/>
              <w:rPr/>
            </w:pPr>
            <w:r>
              <w:rPr/>
              <w:t> </w:t>
            </w:r>
          </w:p>
        </w:tc>
      </w:tr>
      <w:tr>
        <w:trPr/>
        <w:tc>
          <w:tcPr>
            <w:tcW w:w="5468" w:type="dxa"/>
            <w:tcBorders/>
            <w:shd w:fill="auto" w:val="clear"/>
            <w:vAlign w:val="center"/>
          </w:tcPr>
          <w:p>
            <w:pPr>
              <w:pStyle w:val="TableContents"/>
              <w:spacing w:before="0" w:after="0"/>
              <w:ind w:left="200" w:right="0" w:hanging="0"/>
              <w:jc w:val="left"/>
              <w:rPr>
                <w:rFonts w:ascii="Times New Roman;serif" w:hAnsi="Times New Roman;serif"/>
                <w:b w:val="false"/>
                <w:sz w:val="19"/>
              </w:rPr>
            </w:pPr>
            <w:r>
              <w:rPr>
                <w:rFonts w:ascii="Times New Roman;serif" w:hAnsi="Times New Roman;serif"/>
                <w:b w:val="false"/>
                <w:sz w:val="19"/>
              </w:rPr>
              <w:t>Unpaid liabilities related to tangible and intangible assets purchases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16,410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4,302</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See accompanying notes to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AMBARELLA,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33" w:name="notes_to_consolidated_financial_statemen"/>
      <w:bookmarkEnd w:id="33"/>
      <w:r>
        <w:rPr>
          <w:rFonts w:ascii="Times New Roman;serif" w:hAnsi="Times New Roman;serif"/>
          <w:b/>
          <w:sz w:val="20"/>
        </w:rPr>
        <w:t>Notes to Consolidated 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1. Organization and Summary of Significant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Organization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Ambarella, Inc. (the Company) was incorporated in the Cayman Islands on January 15, 2004. The Company is a leading developer of low-power semiconductor solutions offering high-definition (HD) and Ultra HD compression, image processing, and powerful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These low power SoCs deliver exceptional video and image quality and can extract valuable data from high-resolution video and radar streams. The Company is currently addressing a broad range of human and computer vision applications, including video security, advanced driver assistance systems (ADAS), electronic mirrors, drive recorders, driver/cabin monitoring systems, autonomous driving, and industrial and robotic applications.</w:t>
      </w:r>
    </w:p>
    <w:p>
      <w:pPr>
        <w:pStyle w:val="TextBody"/>
        <w:spacing w:before="12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sells its solutions to leading original equipment manufacturers, or OEMs, who include the Company’s SoCs in their products, and original design manufacturers, or ODMs, who include the Company’s SoCs in the products that they supply to OEMs, globally.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Basis of Consolidation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fiscal year ends on January 31. The consolidated financial statements of the Company and its subsidiaries have been prepared in conformity with U.S. GAAP. All intercompany transactions and balances have been eliminated upon consolidation.</w:t>
      </w:r>
    </w:p>
    <w:p>
      <w:pPr>
        <w:pStyle w:val="TextBody"/>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pStyle w:val="TextBody"/>
        <w:spacing w:before="240" w:after="0"/>
        <w:jc w:val="left"/>
        <w:rPr>
          <w:rFonts w:ascii="Times New Roman" w:hAnsi="Times New Roman"/>
          <w:sz w:val="20"/>
        </w:rPr>
      </w:pPr>
      <w:r>
        <w:rPr>
          <w:rFonts w:ascii="Times New Roman;serif" w:hAnsi="Times New Roman;serif"/>
          <w:b w:val="false"/>
          <w:sz w:val="20"/>
        </w:rPr>
        <w:t>On an ongoing basis, management evaluates its estimates and assumptions, including those related to (i) business combinations; (ii) write downs of excess and obsolete inventories; (iii) the estimated useful lives of long-lived assets; (iv) the valuation of stock-based compensation awards;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Concentration of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r>
        <w:rPr>
          <w:rFonts w:ascii="Times New Roman" w:hAnsi="Times New Roman"/>
          <w:sz w:val="20"/>
        </w:rPr>
        <w:t xml:space="preserve"> </w:t>
      </w:r>
    </w:p>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 substantial portion of the Company’s revenue is derived from sales through one of its distributors, WT Microelectronics Co., Ltd., formerly Wintech Microelectronics Co., Ltd., or WT,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16 for additional information regarding revenue and credit concentration with these customers.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commercial paper, debt securities of corporations or corporate bonds, asset-backed securities and U.S. government securities which management assesses to be highly liquid. The Company does not hold or issue financial instruments for trading purposes.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performs ongoing credit evaluation of its customers and adjusts credit limits based upon payment history and customers’ credit worthiness. The Company regularly monitors collections and payments from its customers.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Foreign Currency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Fair Value of Financial Instruments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pStyle w:val="TextBody"/>
        <w:spacing w:before="360" w:after="0"/>
        <w:jc w:val="left"/>
        <w:rPr>
          <w:rFonts w:ascii="Times New Roman" w:hAnsi="Times New Roman"/>
          <w:sz w:val="20"/>
        </w:rPr>
      </w:pPr>
      <w:r>
        <w:rPr>
          <w:rFonts w:ascii="Times New Roman;serif" w:hAnsi="Times New Roman;serif"/>
          <w:b/>
          <w:i/>
          <w:sz w:val="20"/>
        </w:rPr>
        <w:t>Cash Equivalents and Marketable Debt Securities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w:t>
      </w:r>
    </w:p>
    <w:p>
      <w:pPr>
        <w:pStyle w:val="TextBody"/>
        <w:spacing w:before="240" w:after="0"/>
        <w:jc w:val="left"/>
        <w:rPr>
          <w:rFonts w:ascii="Times New Roman" w:hAnsi="Times New Roman"/>
          <w:sz w:val="20"/>
        </w:rPr>
      </w:pPr>
      <w:r>
        <w:rPr>
          <w:rFonts w:ascii="Times New Roman;serif" w:hAnsi="Times New Roman;serif"/>
          <w:b w:val="false"/>
          <w:sz w:val="20"/>
        </w:rPr>
        <w:t>In accordance with Accounting Standards Update (ASU) No. 2016-13, Financial Instruments-Credit Losses (Topic 326): Measurement of Credit Losses on Financial Instruments,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The Company does not have debt securities under unobservable inputs and classified within Level 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Restricted Cash</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included in restricted cash represent those required to be set aside to secure certain transactions in a foreign entity. As of January 31, 2023 and 2022, the restricted cash was immaterial, respectively. The following table presents cash, cash equivalents and restricted cash reported on the consolidated balance sheets, and the sums are presented on the consolidated statements of cash flows:</w:t>
      </w:r>
    </w:p>
    <w:p>
      <w:pPr>
        <w:pStyle w:val="TextBody"/>
        <w:spacing w:before="0" w:after="0"/>
        <w:jc w:val="left"/>
        <w:rPr/>
      </w:pPr>
      <w:r>
        <w:rPr/>
        <w:t> </w:t>
      </w:r>
    </w:p>
    <w:tbl>
      <w:tblPr>
        <w:tblW w:w="9288" w:type="dxa"/>
        <w:jc w:val="left"/>
        <w:tblInd w:w="0" w:type="dxa"/>
        <w:tblCellMar>
          <w:top w:w="28" w:type="dxa"/>
          <w:left w:w="28" w:type="dxa"/>
          <w:bottom w:w="28" w:type="dxa"/>
          <w:right w:w="28" w:type="dxa"/>
        </w:tblCellMar>
      </w:tblPr>
      <w:tblGrid>
        <w:gridCol w:w="5191"/>
        <w:gridCol w:w="146"/>
        <w:gridCol w:w="211"/>
        <w:gridCol w:w="781"/>
        <w:gridCol w:w="146"/>
        <w:gridCol w:w="146"/>
        <w:gridCol w:w="211"/>
        <w:gridCol w:w="781"/>
        <w:gridCol w:w="146"/>
        <w:gridCol w:w="146"/>
        <w:gridCol w:w="211"/>
        <w:gridCol w:w="781"/>
        <w:gridCol w:w="391"/>
      </w:tblGrid>
      <w:tr>
        <w:trPr/>
        <w:tc>
          <w:tcPr>
            <w:tcW w:w="5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241,274</w:t>
            </w:r>
          </w:p>
        </w:tc>
        <w:tc>
          <w:tcPr>
            <w:tcW w:w="3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 presented in the consolidated statements of cash flows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113,549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241,284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Trade Accounts Receivable and Allowance for Credit Losses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val="false"/>
          <w:sz w:val="20"/>
        </w:rPr>
        <w:t>The Company’s accounts receivables are recorded at invoiced amounts less allowance for any credit losses. In arrangements where revenue recognition occurs in advance of invoicing, an unbilled receivable is recorded, less allowance for any credit losses, within accounts receivable, when collection of these unbilled amounts are conditional only on the passage of time. According to ASU 2016-13,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w:t>
      </w:r>
      <w:r>
        <w:rPr>
          <w:rFonts w:ascii="Times New Roman" w:hAnsi="Times New Roman"/>
          <w:sz w:val="20"/>
        </w:rPr>
        <w:t xml:space="preserve"> </w:t>
      </w:r>
      <w:r>
        <w:rPr>
          <w:rFonts w:ascii="Times New Roman;serif" w:hAnsi="Times New Roman;serif"/>
          <w:b w:val="false"/>
          <w:sz w:val="20"/>
        </w:rPr>
        <w:t>material credit losses and write-offs of accounts receivable for the fiscal years ended January 31, 2023, 2022 and 2021, respectively. There was no</w:t>
      </w:r>
      <w:r>
        <w:rPr>
          <w:rFonts w:ascii="Times New Roman" w:hAnsi="Times New Roman"/>
          <w:sz w:val="20"/>
        </w:rPr>
        <w:t xml:space="preserve"> </w:t>
      </w:r>
      <w:r>
        <w:rPr>
          <w:rFonts w:ascii="Times New Roman;serif" w:hAnsi="Times New Roman;serif"/>
          <w:b w:val="false"/>
          <w:sz w:val="20"/>
        </w:rPr>
        <w:t>material allowance recorded as of January 31, 2023 and 2022, respectively.</w:t>
      </w:r>
    </w:p>
    <w:p>
      <w:pPr>
        <w:pStyle w:val="TextBody"/>
        <w:spacing w:before="360" w:after="0"/>
        <w:jc w:val="left"/>
        <w:rPr>
          <w:rFonts w:ascii="Times New Roman" w:hAnsi="Times New Roman"/>
          <w:sz w:val="20"/>
        </w:rPr>
      </w:pPr>
      <w:r>
        <w:rPr>
          <w:rFonts w:ascii="Times New Roman;serif" w:hAnsi="Times New Roman;serif"/>
          <w:b/>
          <w:i/>
          <w:sz w:val="20"/>
        </w:rPr>
        <w:t>Inventories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w:t>
      </w:r>
      <w:r>
        <w:rPr>
          <w:rFonts w:ascii="Times New Roman" w:hAnsi="Times New Roman"/>
          <w:sz w:val="20"/>
        </w:rPr>
        <w:t xml:space="preserve"> </w:t>
      </w:r>
      <w:r>
        <w:rPr>
          <w:rFonts w:ascii="Times New Roman;serif" w:hAnsi="Times New Roman;serif"/>
          <w:b w:val="false"/>
          <w:sz w:val="20"/>
        </w:rPr>
        <w:t>Once inventory is written down, a new accounting cost basis is established and, accordingly, any associated reserve is not released until the inventory is sold or scrapped.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Property and Equipment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Intangible Assets</w:t>
      </w:r>
    </w:p>
    <w:p>
      <w:pPr>
        <w:pStyle w:val="TextBody"/>
        <w:spacing w:before="120" w:after="0"/>
        <w:jc w:val="left"/>
        <w:rPr>
          <w:rFonts w:ascii="Times New Roman" w:hAnsi="Times New Roman"/>
          <w:sz w:val="20"/>
        </w:rPr>
      </w:pPr>
      <w:r>
        <w:rPr>
          <w:rFonts w:ascii="Times New Roman;serif" w:hAnsi="Times New Roman;serif"/>
          <w:b w:val="false"/>
          <w:sz w:val="20"/>
        </w:rPr>
        <w:t>The Company’s intangible assets primarily consist of acquired intangible assets, including developed technology, customer relationships and trade name, as well as software licenses. The acquired intangible assets are amortized over their estimated useful lives.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in-process research and development, or IPR&amp;D, is initially capitalized at fair value with an indefinite life and amortization commences upon completion of the underlying projects. When a project underlying reported IPR&amp;D is completed, the corresponding amount of IPR&amp;D is reclassified as an amortizable purchased intangible asset and is amortized over its estimated useful life.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accounts for a noncancelable on-premise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The software license is amortized over its license term.</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expenses the cost of purchased software that is to be sold, leased or otherwise marketed as part of a product until the technological feasibility of the product has been established.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over the remaining estimated economic life of the product.</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Leases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accordance with the Accounting Standards Codification (ASC) Topic 842, Leases,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asset and liability calculation if it is reasonably certain that the Company will exercise the option. The Company's finance leases were immaterial as of January 31, 2023 and 2022, respectively.</w:t>
      </w:r>
    </w:p>
    <w:p>
      <w:pPr>
        <w:pStyle w:val="TextBody"/>
        <w:spacing w:before="20" w:after="0"/>
        <w:jc w:val="left"/>
        <w:rPr/>
      </w:pPr>
      <w:r>
        <w:rPr/>
        <w:t> </w:t>
      </w:r>
    </w:p>
    <w:p>
      <w:pPr>
        <w:pStyle w:val="TextBody"/>
        <w:spacing w:before="160" w:after="0"/>
        <w:jc w:val="left"/>
        <w:rPr>
          <w:rFonts w:ascii="Times New Roman;serif" w:hAnsi="Times New Roman;serif"/>
          <w:b/>
          <w:i/>
          <w:sz w:val="20"/>
        </w:rPr>
      </w:pPr>
      <w:r>
        <w:rPr>
          <w:rFonts w:ascii="Times New Roman;serif" w:hAnsi="Times New Roman;serif"/>
          <w:b/>
          <w:i/>
          <w:sz w:val="20"/>
        </w:rPr>
        <w:t>Business Combination</w:t>
      </w:r>
    </w:p>
    <w:p>
      <w:pPr>
        <w:pStyle w:val="TextBody"/>
        <w:spacing w:before="160" w:after="0"/>
        <w:jc w:val="left"/>
        <w:rPr>
          <w:rFonts w:ascii="Times New Roman;serif" w:hAnsi="Times New Roman;serif"/>
          <w:b w:val="false"/>
          <w:sz w:val="20"/>
        </w:rPr>
      </w:pPr>
      <w:r>
        <w:rPr>
          <w:rFonts w:ascii="Times New Roman;serif" w:hAnsi="Times New Roman;serif"/>
          <w:b w:val="false"/>
          <w:sz w:val="20"/>
        </w:rPr>
        <w:t>In the application of purchase accounting in a business combination, the Company allocates the purchase price to the assets acquired and liabilities assumed based on their estimated fair values. The excess of the purchase price over the fair values of the identifiable assets and liabilities is recorded as goodwill. The Company identifies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the Company is required to make significant estimates and assumptions. Critical estimates and assumptions used in valuation techniques include, but are not limited to, revenue growth, technology migration curve, customer attrition rate, royalty rates and risk-adjusted discount rates. The estimates are based on historical data, various internal estimates, and external sources that the Company believes to be reasonable upon the acquisition date. Actual results could differ from these estimates under different assumptions or circumstances and such differences could be material.</w:t>
      </w:r>
    </w:p>
    <w:p>
      <w:pPr>
        <w:pStyle w:val="TextBody"/>
        <w:spacing w:before="360" w:after="0"/>
        <w:jc w:val="left"/>
        <w:rPr>
          <w:rFonts w:ascii="Times New Roman;serif" w:hAnsi="Times New Roman;serif"/>
          <w:b/>
          <w:i/>
          <w:sz w:val="20"/>
        </w:rPr>
      </w:pPr>
      <w:r>
        <w:rPr>
          <w:rFonts w:ascii="Times New Roman;serif" w:hAnsi="Times New Roman;serif"/>
          <w:b/>
          <w:i/>
          <w:sz w:val="20"/>
        </w:rPr>
        <w:t>Goodwill</w:t>
      </w:r>
    </w:p>
    <w:p>
      <w:pPr>
        <w:pStyle w:val="TextBody"/>
        <w:spacing w:before="120" w:after="0"/>
        <w:jc w:val="left"/>
        <w:rPr>
          <w:rFonts w:ascii="Times New Roman" w:hAnsi="Times New Roman"/>
          <w:sz w:val="20"/>
        </w:rPr>
      </w:pPr>
      <w:r>
        <w:rPr>
          <w:rFonts w:ascii="Times New Roman;serif" w:hAnsi="Times New Roman;serif"/>
          <w:b w:val="false"/>
          <w:sz w:val="20"/>
        </w:rPr>
        <w:t>The Company does not amortize goodwill. The Company tests goodwill for impairment at least annually in the fourth fiscal quarter, or sooner whenever events or changes in circumstances indicate that the asset may be impaired. There is only one</w:t>
      </w:r>
      <w:r>
        <w:rPr>
          <w:rFonts w:ascii="Times New Roman" w:hAnsi="Times New Roman"/>
          <w:sz w:val="20"/>
        </w:rPr>
        <w:t xml:space="preserve"> </w:t>
      </w:r>
      <w:r>
        <w:rPr>
          <w:rFonts w:ascii="Times New Roman;serif" w:hAnsi="Times New Roman;serif"/>
          <w:b w:val="false"/>
          <w:sz w:val="20"/>
        </w:rPr>
        <w:t>single reporting unit for goodwill impairment test purposes based on the Company’s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 No</w:t>
      </w:r>
      <w:r>
        <w:rPr>
          <w:rFonts w:ascii="Times New Roman" w:hAnsi="Times New Roman"/>
          <w:sz w:val="20"/>
        </w:rPr>
        <w:t xml:space="preserve"> </w:t>
      </w:r>
      <w:r>
        <w:rPr>
          <w:rFonts w:ascii="Times New Roman;serif" w:hAnsi="Times New Roman;serif"/>
          <w:b w:val="false"/>
          <w:sz w:val="20"/>
        </w:rPr>
        <w:t>goodwill impairment has been identified to date based on the Company’s qualitative factors assessment.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Impairment of Long-Lived Assets Excluding Goodwill</w:t>
      </w:r>
    </w:p>
    <w:p>
      <w:pPr>
        <w:pStyle w:val="TextBody"/>
        <w:spacing w:before="120" w:after="0"/>
        <w:jc w:val="left"/>
        <w:rPr>
          <w:rFonts w:ascii="Times New Roman" w:hAnsi="Times New Roman"/>
          <w:sz w:val="20"/>
        </w:rPr>
      </w:pPr>
      <w:r>
        <w:rPr>
          <w:rFonts w:ascii="Times New Roman;serif" w:hAnsi="Times New Roman;serif"/>
          <w:b w:val="false"/>
          <w:sz w:val="20"/>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or indications to date that would trigger an impairment. As such, no</w:t>
      </w:r>
      <w:r>
        <w:rPr>
          <w:rFonts w:ascii="Times New Roman" w:hAnsi="Times New Roman"/>
          <w:sz w:val="20"/>
        </w:rPr>
        <w:t xml:space="preserve"> </w:t>
      </w:r>
      <w:r>
        <w:rPr>
          <w:rFonts w:ascii="Times New Roman;serif" w:hAnsi="Times New Roman;serif"/>
          <w:b w:val="false"/>
          <w:sz w:val="20"/>
        </w:rPr>
        <w:t>impairment charge has been recognized as of January 31, 2023.</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Equity Investment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accounts for its investments in privately held companies as equity investments and reports the investments in other non-current assets in the consolidated balance sheets. The Company chooses to measure these equity investments that do not have readily determinable fair value at cost minus any recorded impairments, adjusted for subsequent observable price changes in transactions for an identical or similar investment of the same issuers. Upon determining that an impairment or observable price change exists, the Company records any adjustment to the fair value of the investment through other income, net in the consolidated statements of operations. To date, there have been no significant changes on the fair value of the investments and the Company did not recognize any impairment losses related to these investments in the fiscal years ended January 31, 2023, 2022 and 2021, respectively.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Company also enters into various project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its SoC into the customer’s product. Accordingly, the Company determines that they are not separately identifiable and shall be treated as a single performance obligation. For fixed-price project service contracts, the Company recognizes revenue either over time as services are provided using an input method based on contract costs incurred to date compared to total estimated contract cost, or at a point in time upon completion and acceptance by the customer, depending on the terms of the arrangement. For project service contracts that are billed at a fixed rate for each hour of service provided, the Company recognizes revenue in the amount for which the Company has the right to invoice as the Company believes the amount invoiced directly corresponds with the value to the customer of its performance completed to date.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Timing of revenue recognition may differ from the timing of invoicing to the Company’s customers. The Company records contract assets when revenue is recognized prior to invoicing. The Company’s contract assets are primarily related to the satisfied but unbilled performance obligations associated with project service agreements at the reporting date. As of January 31, 2023 and 2022, the contract assets for these unbilled receivables were not material, respectively. The Company’s contract liabilities consist of deferred revenue. The deferred revenue is primarily related to the nonrecurring engineering charges that are either invoiced or paid but performance obligations are not satisfied associated with project service agreements. The deferred revenue is expected to be recognized over the period when performance obligations are satisfied. Additionally, the value of unsatisfied, or partially unsatisfied, performance obligations for contracts that are greater than a year was not material as of January 31, 2023 and 2022, respectively. The Company also elects not to disclose the value of unsatisfied or partially unsatisfied performance obligations for contracts with original expected contract duration of one year or less, and elects to exclude amounts collected from customers for all sales taxes from the transaction price.</w:t>
      </w:r>
    </w:p>
    <w:p>
      <w:pPr>
        <w:pStyle w:val="TextBody"/>
        <w:spacing w:before="36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commitments, allocation of facility costs, amortization of developed technology, warranty and other general overhead costs.</w:t>
      </w:r>
      <w:r>
        <w:rPr>
          <w:rFonts w:ascii="Times New Roman" w:hAnsi="Times New Roman"/>
          <w:sz w:val="20"/>
        </w:rPr>
        <w:t xml:space="preserve"> </w:t>
      </w:r>
    </w:p>
    <w:p>
      <w:pPr>
        <w:pStyle w:val="TextBody"/>
        <w:spacing w:before="16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Research and Development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Research and development costs are expensed as incurred and consist primarily of personnel costs, product development costs, outside services, costs of development for software and hardware tools, costs and amortization of licensing intellectual property from third parties for product development, costs of fabrication of masks for prototype products, equipment expenses, depreciation of equipment and tools and allocation of facility costs.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Selling, General and Administrative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Selling, general and administrative expenses consist of personnel costs, travel and trade show costs, legal expenses, amortization of trade name and customer relationships, professional services and occupancy costs. Advertising expenses were not material for the fiscal years ended January 31, 2023, 2022 and 2021, respectively.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measures stock-based compensation for equity awards granted to employees and directors based on the estimated fair value on the grant date, and recognizes that compensation as expense using the straight-line attribution method for service condition awards or using the graded-vesting attribution method for awards with performance conditions over the requisite service period, which is typically the vesting period of each award. The Company determines the fair value of restricted stock and restricted stock units with service or performance conditions based on the fair market value of its ordinary shares on the grant date. The Company uses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The Company calculates expected volatility based on its own historical stock price for a period commensurate with the expected term, which is computed based on its own historical exercise behavior. The risk-free interest rate is derived from an average of the U.S. Treasury constant maturity rates for the respective periods most closely commensurate with the expected term. The expected dividend yield is zero</w:t>
      </w:r>
      <w:r>
        <w:rPr>
          <w:rFonts w:ascii="Times New Roman" w:hAnsi="Times New Roman"/>
          <w:sz w:val="20"/>
        </w:rPr>
        <w:t xml:space="preserve"> </w:t>
      </w:r>
      <w:r>
        <w:rPr>
          <w:rFonts w:ascii="Times New Roman;serif" w:hAnsi="Times New Roman;serif"/>
          <w:b w:val="false"/>
          <w:sz w:val="20"/>
        </w:rPr>
        <w:t>because the Company has not historically paid dividends and has no present intention to pay dividends. The Company uses the Lattice pricing model and Monte Carlo Simulations to evaluate the fair value of awards with market conditions, including assumptions of historical volatility and risk-free interest rate commensurate with the vesting term. The Company elects to account for forfeitures as they occur.</w:t>
      </w:r>
    </w:p>
    <w:p>
      <w:pPr>
        <w:pStyle w:val="TextBody"/>
        <w:spacing w:before="36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r>
        <w:rPr>
          <w:rFonts w:ascii="Times New Roman" w:hAnsi="Times New Roman"/>
          <w:sz w:val="20"/>
        </w:rPr>
        <w:t xml:space="preserve">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Net Income (Loss) Per Ordinary Share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and unvested restricted stock units. The dilutive effect of potentially dilutive securities is reflected in diluted earnings (losses) per share by application of the treasury stock method.</w:t>
      </w:r>
    </w:p>
    <w:p>
      <w:pPr>
        <w:pStyle w:val="TextBody"/>
        <w:spacing w:before="360" w:after="0"/>
        <w:jc w:val="left"/>
        <w:rPr>
          <w:rFonts w:ascii="Times New Roman" w:hAnsi="Times New Roman"/>
          <w:sz w:val="20"/>
        </w:rPr>
      </w:pPr>
      <w:r>
        <w:rPr>
          <w:rFonts w:ascii="Times New Roman;serif" w:hAnsi="Times New Roman;serif"/>
          <w:b/>
          <w:i/>
          <w:sz w:val="20"/>
        </w:rPr>
        <w:t>Comprehensive Loss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Comprehensive loss includes unrealized gains or losses from available-for-sale securities that are excluded from net loss.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Recent Accounting Pronouncements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Although there are several new accounting pronouncements issued by the FASB in fiscal year 2023, the Company does not believe any of these accounting pronouncements had or will have a material impact on its consolidated financial statements.</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2. Business Combination</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did not enter into any business combination agreements during the fiscal years ended January 31, 2023 and 2021. The Company acquired the following business during the fiscal year ended January 31, 2022 which was accounted for as a business combination: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November 5, 2021, pursuant to a merger agreement, the Company completed the 100% voting rights acquisition of Oculii Corp., or Oculii, a privately-held Ohio-based company that develops adaptive radar perception algorithms for automotive, including advanced driver assistance systems, autonomous vehicle driving systems and other commercial applications, for a total purchase consideration of $355.7</w:t>
      </w:r>
      <w:r>
        <w:rPr>
          <w:rFonts w:ascii="Times New Roman" w:hAnsi="Times New Roman"/>
          <w:sz w:val="20"/>
        </w:rPr>
        <w:t xml:space="preserve"> </w:t>
      </w:r>
      <w:r>
        <w:rPr>
          <w:rFonts w:ascii="Times New Roman;serif" w:hAnsi="Times New Roman;serif"/>
          <w:b w:val="false"/>
          <w:sz w:val="20"/>
        </w:rPr>
        <w:t>million. As a result, there was $277.0</w:t>
      </w:r>
      <w:r>
        <w:rPr>
          <w:rFonts w:ascii="Times New Roman" w:hAnsi="Times New Roman"/>
          <w:sz w:val="20"/>
        </w:rPr>
        <w:t xml:space="preserve"> </w:t>
      </w:r>
      <w:r>
        <w:rPr>
          <w:rFonts w:ascii="Times New Roman;serif" w:hAnsi="Times New Roman;serif"/>
          <w:b w:val="false"/>
          <w:sz w:val="20"/>
        </w:rPr>
        <w:t>million attributed to goodwill, $32.8</w:t>
      </w:r>
      <w:r>
        <w:rPr>
          <w:rFonts w:ascii="Times New Roman" w:hAnsi="Times New Roman"/>
          <w:sz w:val="20"/>
        </w:rPr>
        <w:t xml:space="preserve"> </w:t>
      </w:r>
      <w:r>
        <w:rPr>
          <w:rFonts w:ascii="Times New Roman;serif" w:hAnsi="Times New Roman;serif"/>
          <w:b w:val="false"/>
          <w:sz w:val="20"/>
        </w:rPr>
        <w:t>million attributed to intangible assets and $45.9</w:t>
      </w:r>
      <w:r>
        <w:rPr>
          <w:rFonts w:ascii="Times New Roman" w:hAnsi="Times New Roman"/>
          <w:sz w:val="20"/>
        </w:rPr>
        <w:t xml:space="preserve"> </w:t>
      </w:r>
      <w:r>
        <w:rPr>
          <w:rFonts w:ascii="Times New Roman;serif" w:hAnsi="Times New Roman;serif"/>
          <w:b w:val="false"/>
          <w:sz w:val="20"/>
        </w:rPr>
        <w:t>million attributed to net assets acquired. The Company also assumed all of the unvested options to purchase Oculii capital stock that were held by continuing Oculii service providers, subject to customary adjustments with respect to the exercise price and number of shares underlying such options. The acquisition-related costs included in selling, general and administrative expense in the consolidated statements of operations were approximately $3.8</w:t>
      </w:r>
      <w:r>
        <w:rPr>
          <w:rFonts w:ascii="Times New Roman" w:hAnsi="Times New Roman"/>
          <w:sz w:val="20"/>
        </w:rPr>
        <w:t xml:space="preserve"> </w:t>
      </w:r>
      <w:r>
        <w:rPr>
          <w:rFonts w:ascii="Times New Roman;serif" w:hAnsi="Times New Roman;serif"/>
          <w:b w:val="false"/>
          <w:sz w:val="20"/>
        </w:rPr>
        <w:t>million in fiscal year 2022.</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aggregate purchase consideration has been allocated as follows:</w:t>
      </w:r>
    </w:p>
    <w:p>
      <w:pPr>
        <w:pStyle w:val="TextBody"/>
        <w:spacing w:before="0" w:after="0"/>
        <w:jc w:val="left"/>
        <w:rPr/>
      </w:pPr>
      <w:r>
        <w:rPr/>
        <w:t> </w:t>
      </w:r>
    </w:p>
    <w:tbl>
      <w:tblPr>
        <w:tblW w:w="8678" w:type="dxa"/>
        <w:jc w:val="left"/>
        <w:tblInd w:w="0" w:type="dxa"/>
        <w:tblCellMar>
          <w:top w:w="28" w:type="dxa"/>
          <w:left w:w="28" w:type="dxa"/>
          <w:bottom w:w="28" w:type="dxa"/>
          <w:right w:w="28" w:type="dxa"/>
        </w:tblCellMar>
      </w:tblPr>
      <w:tblGrid>
        <w:gridCol w:w="7216"/>
        <w:gridCol w:w="146"/>
        <w:gridCol w:w="239"/>
        <w:gridCol w:w="886"/>
        <w:gridCol w:w="191"/>
      </w:tblGrid>
      <w:tr>
        <w:trPr/>
        <w:tc>
          <w:tcPr>
            <w:tcW w:w="7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2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7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consideration transferred</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355,071</w:t>
            </w:r>
          </w:p>
        </w:tc>
        <w:tc>
          <w:tcPr>
            <w:tcW w:w="191" w:type="dxa"/>
            <w:tcBorders/>
            <w:shd w:fill="auto" w:val="clear"/>
            <w:vAlign w:val="center"/>
          </w:tcPr>
          <w:p>
            <w:pPr>
              <w:pStyle w:val="TableContents"/>
              <w:spacing w:before="0" w:after="0"/>
              <w:ind w:left="0" w:right="0" w:hanging="0"/>
              <w:jc w:val="left"/>
              <w:rPr/>
            </w:pPr>
            <w:r>
              <w:rPr/>
              <w:t> </w:t>
            </w:r>
          </w:p>
        </w:tc>
      </w:tr>
      <w:tr>
        <w:trPr/>
        <w:tc>
          <w:tcPr>
            <w:tcW w:w="7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working capital adjustment</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w:t>
            </w:r>
          </w:p>
        </w:tc>
        <w:tc>
          <w:tcPr>
            <w:tcW w:w="191" w:type="dxa"/>
            <w:tcBorders/>
            <w:shd w:fill="auto" w:val="clear"/>
            <w:vAlign w:val="center"/>
          </w:tcPr>
          <w:p>
            <w:pPr>
              <w:pStyle w:val="TableContents"/>
              <w:spacing w:before="0" w:after="0"/>
              <w:ind w:left="0" w:right="0" w:hanging="0"/>
              <w:jc w:val="left"/>
              <w:rPr/>
            </w:pPr>
            <w:r>
              <w:rPr/>
              <w:t> </w:t>
            </w:r>
          </w:p>
        </w:tc>
      </w:tr>
      <w:tr>
        <w:trPr/>
        <w:tc>
          <w:tcPr>
            <w:tcW w:w="7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stock-based compensation awards attributable to pre-combination services</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purchase consideration</w:t>
            </w:r>
          </w:p>
        </w:tc>
        <w:tc>
          <w:tcPr>
            <w:tcW w:w="146" w:type="dxa"/>
            <w:tcBorders/>
            <w:shd w:fill="auto" w:val="clear"/>
            <w:vAlign w:val="center"/>
          </w:tcPr>
          <w:p>
            <w:pPr>
              <w:pStyle w:val="TableContents"/>
              <w:spacing w:before="0" w:after="0"/>
              <w:ind w:left="0" w:right="0" w:hanging="0"/>
              <w:jc w:val="righ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355,725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sets forth the fair values of the assets acquired and liabilities assumed in connection with the acquisition:</w:t>
      </w:r>
    </w:p>
    <w:p>
      <w:pPr>
        <w:pStyle w:val="TextBody"/>
        <w:spacing w:before="0" w:after="0"/>
        <w:jc w:val="left"/>
        <w:rPr/>
      </w:pPr>
      <w:r>
        <w:rPr/>
        <w:t> </w:t>
      </w:r>
    </w:p>
    <w:tbl>
      <w:tblPr>
        <w:tblW w:w="5138" w:type="dxa"/>
        <w:jc w:val="left"/>
        <w:tblInd w:w="0" w:type="dxa"/>
        <w:tblCellMar>
          <w:top w:w="28" w:type="dxa"/>
          <w:left w:w="28" w:type="dxa"/>
          <w:bottom w:w="28" w:type="dxa"/>
          <w:right w:w="28" w:type="dxa"/>
        </w:tblCellMar>
      </w:tblPr>
      <w:tblGrid>
        <w:gridCol w:w="3496"/>
        <w:gridCol w:w="146"/>
        <w:gridCol w:w="277"/>
        <w:gridCol w:w="1028"/>
        <w:gridCol w:w="1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 Date</w:t>
            </w:r>
          </w:p>
        </w:tc>
        <w:tc>
          <w:tcPr>
            <w:tcW w:w="19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48,032</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32,800</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277,024</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assets acquired</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359,106</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and other current liabilities</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0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w:t>
            </w:r>
          </w:p>
        </w:tc>
        <w:tc>
          <w:tcPr>
            <w:tcW w:w="1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liability, non-current</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liabilities assumed</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 purchase consideration</w:t>
            </w:r>
          </w:p>
        </w:tc>
        <w:tc>
          <w:tcPr>
            <w:tcW w:w="146" w:type="dxa"/>
            <w:tcBorders/>
            <w:shd w:fill="auto" w:val="clear"/>
            <w:vAlign w:val="center"/>
          </w:tcPr>
          <w:p>
            <w:pPr>
              <w:pStyle w:val="TableContents"/>
              <w:spacing w:before="0" w:after="0"/>
              <w:ind w:left="0" w:right="0" w:hanging="0"/>
              <w:jc w:val="right"/>
              <w:rPr/>
            </w:pPr>
            <w:r>
              <w:rPr/>
              <w:t> </w:t>
            </w:r>
          </w:p>
        </w:tc>
        <w:tc>
          <w:tcPr>
            <w:tcW w:w="2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355,725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Goodwill is primarily attributable to expected synergies for the combined operations and the assembled workforce acquired and is assigned to the Company’s sole reportable segment.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Below is a summary of intangible assets acquired in the acquisition:</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rPr/>
      </w:pPr>
      <w:r>
        <w:rPr/>
      </w:r>
    </w:p>
    <w:p>
      <w:pPr>
        <w:pStyle w:val="TextBody"/>
        <w:spacing w:before="0" w:after="0"/>
        <w:jc w:val="left"/>
        <w:rPr/>
      </w:pPr>
      <w:r>
        <w:rPr/>
        <w:t> </w:t>
      </w:r>
    </w:p>
    <w:tbl>
      <w:tblPr>
        <w:tblW w:w="5465" w:type="dxa"/>
        <w:jc w:val="left"/>
        <w:tblInd w:w="0" w:type="dxa"/>
        <w:tblCellMar>
          <w:top w:w="28" w:type="dxa"/>
          <w:left w:w="28" w:type="dxa"/>
          <w:bottom w:w="28" w:type="dxa"/>
          <w:right w:w="28" w:type="dxa"/>
        </w:tblCellMar>
      </w:tblPr>
      <w:tblGrid>
        <w:gridCol w:w="2701"/>
        <w:gridCol w:w="146"/>
        <w:gridCol w:w="309"/>
        <w:gridCol w:w="996"/>
        <w:gridCol w:w="146"/>
        <w:gridCol w:w="146"/>
        <w:gridCol w:w="102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 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Useful Lives</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 (1)</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 (2)</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shd w:fill="auto" w:val="clear"/>
            <w:vAlign w:val="center"/>
          </w:tcPr>
          <w:p>
            <w:pPr>
              <w:pStyle w:val="TableContents"/>
              <w:spacing w:before="0" w:after="0"/>
              <w:ind w:left="0" w:right="0" w:hanging="0"/>
              <w:jc w:val="left"/>
              <w:rPr/>
            </w:pPr>
            <w:r>
              <w:rPr/>
              <w:t> </w:t>
            </w:r>
          </w:p>
        </w:tc>
        <w:tc>
          <w:tcPr>
            <w:tcW w:w="9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 years</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 (1)</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7 years</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intangible assets acquired</w:t>
            </w:r>
          </w:p>
        </w:tc>
        <w:tc>
          <w:tcPr>
            <w:tcW w:w="146" w:type="dxa"/>
            <w:tcBorders/>
            <w:shd w:fill="auto" w:val="clear"/>
            <w:vAlign w:val="center"/>
          </w:tcPr>
          <w:p>
            <w:pPr>
              <w:pStyle w:val="TableContents"/>
              <w:spacing w:before="0" w:after="0"/>
              <w:ind w:left="0" w:right="0" w:hanging="0"/>
              <w:jc w:val="right"/>
              <w:rPr/>
            </w:pPr>
            <w:r>
              <w:rPr/>
              <w:t> </w:t>
            </w:r>
          </w:p>
        </w:tc>
        <w:tc>
          <w:tcPr>
            <w:tcW w:w="3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_____________</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fair values of trade name and developed technology were determined by applying the Relief-from-Royalty Method under the income approach.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b w:val="false"/>
          <w:sz w:val="20"/>
        </w:rPr>
      </w:pPr>
      <w:r>
        <w:rPr>
          <w:rFonts w:ascii="Times New Roman;serif" w:hAnsi="Times New Roman;serif"/>
          <w:b w:val="false"/>
          <w:sz w:val="20"/>
        </w:rPr>
        <w:t xml:space="preserve">Customer relationships represent the fair value of the existing relationships using the Multi-Period Excess Earnings Method.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finite-lived intangible assets will be amortized over the estimated useful lives based on the pattern in which the economic benefits are expected to be received to the cost of revenue and operating expenses and have a weighted average useful life of 7.8</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Pro Forma Information (Unaudited)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presents unaudited pro forma information as if the acquisition of Oculii had occurred on February 1, 2020. The unaudited pro forma information for the periods indicated includes adjustments for non-recurring transaction costs, amortization of intangibles arising from the acquisition, stock-based compensation expense and the related income tax effects. The unaudited pro forma financial information is not necessarily indicative of the results of operations that would have occurred had the acquisition been effected on February 1, 2020. In addition, these results are not intended to be a projection of future results and do not reflect events that may occur after the acquisition, including but not limited to revenue enhancements, cost savings or operating synergies that the combined entity may achieve as a result of the acquisition.</w:t>
      </w:r>
    </w:p>
    <w:p>
      <w:pPr>
        <w:pStyle w:val="TextBody"/>
        <w:spacing w:before="0" w:after="0"/>
        <w:jc w:val="left"/>
        <w:rPr/>
      </w:pPr>
      <w:r>
        <w:rPr/>
        <w:t> </w:t>
      </w:r>
    </w:p>
    <w:tbl>
      <w:tblPr>
        <w:tblW w:w="4300" w:type="dxa"/>
        <w:jc w:val="left"/>
        <w:tblInd w:w="0" w:type="dxa"/>
        <w:tblCellMar>
          <w:top w:w="28" w:type="dxa"/>
          <w:left w:w="28" w:type="dxa"/>
          <w:bottom w:w="28" w:type="dxa"/>
          <w:right w:w="28" w:type="dxa"/>
        </w:tblCellMar>
      </w:tblPr>
      <w:tblGrid>
        <w:gridCol w:w="841"/>
        <w:gridCol w:w="146"/>
        <w:gridCol w:w="296"/>
        <w:gridCol w:w="1099"/>
        <w:gridCol w:w="166"/>
        <w:gridCol w:w="146"/>
        <w:gridCol w:w="296"/>
        <w:gridCol w:w="1099"/>
        <w:gridCol w:w="211"/>
      </w:tblGrid>
      <w:tr>
        <w:trPr/>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Pro Forma Year 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0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 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333,323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223,497</w:t>
            </w:r>
          </w:p>
        </w:tc>
        <w:tc>
          <w:tcPr>
            <w:tcW w:w="211" w:type="dxa"/>
            <w:tcBorders/>
            <w:shd w:fill="auto" w:val="clear"/>
            <w:vAlign w:val="center"/>
          </w:tcPr>
          <w:p>
            <w:pPr>
              <w:pStyle w:val="TableContents"/>
              <w:spacing w:before="0" w:after="0"/>
              <w:ind w:left="0" w:right="0" w:hanging="0"/>
              <w:jc w:val="left"/>
              <w:rPr/>
            </w:pPr>
            <w:r>
              <w:rPr/>
              <w:t> </w:t>
            </w:r>
          </w:p>
        </w:tc>
      </w:tr>
      <w:tr>
        <w:trPr/>
        <w:tc>
          <w:tcPr>
            <w:tcW w:w="8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(78,644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Approximately $0.5</w:t>
      </w:r>
      <w:r>
        <w:rPr>
          <w:rFonts w:ascii="Times New Roman" w:hAnsi="Times New Roman"/>
          <w:sz w:val="20"/>
        </w:rPr>
        <w:t xml:space="preserve"> </w:t>
      </w:r>
      <w:r>
        <w:rPr>
          <w:rFonts w:ascii="Times New Roman;serif" w:hAnsi="Times New Roman;serif"/>
          <w:b w:val="false"/>
          <w:sz w:val="20"/>
        </w:rPr>
        <w:t>million of revenue and $6.1</w:t>
      </w:r>
      <w:r>
        <w:rPr>
          <w:rFonts w:ascii="Times New Roman" w:hAnsi="Times New Roman"/>
          <w:sz w:val="20"/>
        </w:rPr>
        <w:t xml:space="preserve"> </w:t>
      </w:r>
      <w:r>
        <w:rPr>
          <w:rFonts w:ascii="Times New Roman;serif" w:hAnsi="Times New Roman;serif"/>
          <w:b w:val="false"/>
          <w:sz w:val="20"/>
        </w:rPr>
        <w:t>million of net loss attributable to Oculii since the acquisition date of November 5, 2021 was included in the consolidated statements of operations for the fiscal year ended January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3. Financial Instruments and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the second quarter of fiscal year 2023, the Company resumed its investments in money market funds and debt securities after a full liquidation of its investments in fiscal year 2022 to finance the acquisition of Oculii. The debt security investment portfolio consists of commercial paper, debt securities of corporations or corporate bonds, asset-backed securities and U.S. government securities.</w:t>
      </w:r>
      <w:r>
        <w:rPr>
          <w:rFonts w:ascii="Times New Roman" w:hAnsi="Times New Roman"/>
          <w:sz w:val="20"/>
        </w:rPr>
        <w:t xml:space="preserve"> </w:t>
      </w:r>
      <w:r>
        <w:rPr>
          <w:rFonts w:ascii="Times New Roman;serif" w:hAnsi="Times New Roman;serif"/>
          <w:b w:val="false"/>
          <w:sz w:val="20"/>
        </w:rPr>
        <w:t xml:space="preserve">All of the investments are denominated in United States dollars and reported at fair value as available-for-sale securities in the consolidated balance sheets as follows: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981"/>
        <w:gridCol w:w="146"/>
        <w:gridCol w:w="257"/>
        <w:gridCol w:w="950"/>
        <w:gridCol w:w="146"/>
        <w:gridCol w:w="146"/>
        <w:gridCol w:w="426"/>
        <w:gridCol w:w="855"/>
        <w:gridCol w:w="146"/>
        <w:gridCol w:w="146"/>
        <w:gridCol w:w="398"/>
        <w:gridCol w:w="909"/>
        <w:gridCol w:w="166"/>
        <w:gridCol w:w="146"/>
        <w:gridCol w:w="211"/>
        <w:gridCol w:w="781"/>
        <w:gridCol w:w="395"/>
      </w:tblGrid>
      <w:tr>
        <w:trPr/>
        <w:tc>
          <w:tcPr>
            <w:tcW w:w="3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8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2023</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Amortized</w:t>
            </w:r>
            <w:r>
              <w:rPr>
                <w:rFonts w:ascii="Times New Roman" w:hAnsi="Times New Roman"/>
                <w:sz w:val="16"/>
              </w:rPr>
              <w:t xml:space="preserve"> </w:t>
            </w:r>
            <w:r>
              <w:rPr>
                <w:rFonts w:ascii="Times New Roman;serif" w:hAnsi="Times New Roman;serif"/>
                <w:b/>
                <w:sz w:val="16"/>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Unrealized</w:t>
            </w:r>
            <w:r>
              <w:rPr>
                <w:rFonts w:ascii="Times New Roman" w:hAnsi="Times New Roman"/>
                <w:sz w:val="16"/>
              </w:rPr>
              <w:t xml:space="preserve"> </w:t>
            </w:r>
            <w:r>
              <w:rPr>
                <w:rFonts w:ascii="Times New Roman;serif" w:hAnsi="Times New Roman;serif"/>
                <w:b/>
                <w:sz w:val="16"/>
              </w:rP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83"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5" w:type="dxa"/>
            <w:tcBorders/>
            <w:shd w:fill="auto" w:val="cle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395" w:type="dxa"/>
            <w:tcBorders/>
            <w:shd w:fill="auto" w:val="cle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8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18,333</w:t>
            </w:r>
          </w:p>
        </w:tc>
        <w:tc>
          <w:tcPr>
            <w:tcW w:w="395" w:type="dxa"/>
            <w:tcBorders/>
            <w:shd w:fill="auto" w:val="cle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8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23,298</w:t>
            </w:r>
          </w:p>
        </w:tc>
        <w:tc>
          <w:tcPr>
            <w:tcW w:w="395" w:type="dxa"/>
            <w:tcBorders/>
            <w:shd w:fill="auto" w:val="cle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pPr>
            <w:r>
              <w:rPr/>
              <w:t> </w:t>
            </w:r>
          </w:p>
        </w:tc>
        <w:tc>
          <w:tcPr>
            <w:tcW w:w="9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8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18,648</w:t>
            </w:r>
          </w:p>
        </w:tc>
        <w:tc>
          <w:tcPr>
            <w:tcW w:w="395" w:type="dxa"/>
            <w:tcBorders/>
            <w:shd w:fill="auto" w:val="cle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33,043</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101,194</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395" w:type="dxa"/>
            <w:tcBorders/>
            <w:shd w:fill="auto" w:val="clear"/>
            <w:vAlign w:val="center"/>
          </w:tcPr>
          <w:p>
            <w:pPr>
              <w:pStyle w:val="TableContents"/>
              <w:spacing w:before="0" w:after="0"/>
              <w:ind w:left="0" w:right="0" w:hanging="0"/>
              <w:jc w:val="left"/>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8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2022</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83"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5" w:type="dxa"/>
            <w:tcBorders/>
            <w:shd w:fill="auto" w:val="clear"/>
            <w:vAlign w:val="center"/>
          </w:tcPr>
          <w:p>
            <w:pPr>
              <w:pStyle w:val="TableContents"/>
              <w:spacing w:before="0" w:after="0"/>
              <w:ind w:left="0" w:right="0" w:hanging="0"/>
              <w:jc w:val="center"/>
              <w:rPr/>
            </w:pPr>
            <w:r>
              <w:rPr/>
              <w:t> </w:t>
            </w:r>
          </w:p>
        </w:tc>
      </w:tr>
      <w:tr>
        <w:trPr/>
        <w:tc>
          <w:tcPr>
            <w:tcW w:w="3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of January 31, 2023, there were no</w:t>
      </w:r>
      <w:r>
        <w:rPr>
          <w:rFonts w:ascii="Times New Roman" w:hAnsi="Times New Roman"/>
          <w:sz w:val="20"/>
        </w:rPr>
        <w:t xml:space="preserve"> </w:t>
      </w:r>
      <w:r>
        <w:rPr>
          <w:rFonts w:ascii="Times New Roman;serif" w:hAnsi="Times New Roman;serif"/>
          <w:b w:val="false"/>
          <w:sz w:val="20"/>
        </w:rPr>
        <w:t>money market funds or debt securities with unrealized losses for more than twelve months.</w:t>
      </w:r>
      <w:r>
        <w:rPr>
          <w:rFonts w:ascii="Times New Roman" w:hAnsi="Times New Roman"/>
          <w:sz w:val="20"/>
        </w:rPr>
        <w:t xml:space="preserve"> </w:t>
      </w:r>
    </w:p>
    <w:p>
      <w:pPr>
        <w:pStyle w:val="TextBody"/>
        <w:spacing w:before="0" w:after="0"/>
        <w:jc w:val="left"/>
        <w:rPr/>
      </w:pPr>
      <w:r>
        <w:rPr/>
        <w:t> </w:t>
      </w:r>
    </w:p>
    <w:tbl>
      <w:tblPr>
        <w:tblW w:w="8075" w:type="dxa"/>
        <w:jc w:val="left"/>
        <w:tblInd w:w="0" w:type="dxa"/>
        <w:tblCellMar>
          <w:top w:w="28" w:type="dxa"/>
          <w:left w:w="28" w:type="dxa"/>
          <w:bottom w:w="28" w:type="dxa"/>
          <w:right w:w="28" w:type="dxa"/>
        </w:tblCellMar>
      </w:tblPr>
      <w:tblGrid>
        <w:gridCol w:w="4456"/>
        <w:gridCol w:w="146"/>
        <w:gridCol w:w="296"/>
        <w:gridCol w:w="1099"/>
        <w:gridCol w:w="146"/>
        <w:gridCol w:w="146"/>
        <w:gridCol w:w="528"/>
        <w:gridCol w:w="867"/>
        <w:gridCol w:w="39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Included in cash equivalents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Included in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93,322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contractual maturities of the investments at January 31, 2023 and 2022 were as follows:</w:t>
      </w:r>
    </w:p>
    <w:p>
      <w:pPr>
        <w:pStyle w:val="TextBody"/>
        <w:spacing w:before="0" w:after="0"/>
        <w:jc w:val="left"/>
        <w:rPr/>
      </w:pPr>
      <w:r>
        <w:rPr/>
        <w:t> </w:t>
      </w:r>
    </w:p>
    <w:tbl>
      <w:tblPr>
        <w:tblW w:w="8075" w:type="dxa"/>
        <w:jc w:val="left"/>
        <w:tblInd w:w="0" w:type="dxa"/>
        <w:tblCellMar>
          <w:top w:w="28" w:type="dxa"/>
          <w:left w:w="28" w:type="dxa"/>
          <w:bottom w:w="28" w:type="dxa"/>
          <w:right w:w="28" w:type="dxa"/>
        </w:tblCellMar>
      </w:tblPr>
      <w:tblGrid>
        <w:gridCol w:w="4456"/>
        <w:gridCol w:w="146"/>
        <w:gridCol w:w="296"/>
        <w:gridCol w:w="1099"/>
        <w:gridCol w:w="146"/>
        <w:gridCol w:w="146"/>
        <w:gridCol w:w="528"/>
        <w:gridCol w:w="867"/>
        <w:gridCol w:w="39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8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within one year</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1-5 years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pPr>
            <w:r>
              <w:rPr/>
              <w:t> </w:t>
            </w:r>
          </w:p>
        </w:tc>
        <w:tc>
          <w:tcPr>
            <w:tcW w:w="10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Due in 5-7 years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loss in the consolidated balance sheets. The credit-related losses were not material for the fiscal years ended January 31, 2023, 2022 and 2021, respectively.</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Interest income, including amortization of premiums and accretion of discounts related to the investments, as well as realized gains and losses from sales of the investments are recorded in other income, net, in the consolidated statements of operations. For the fiscal years ended January 31, 2023, 2022, and 2021, interest income and realized gains and losses, net, were approximately $1.7</w:t>
      </w:r>
      <w:r>
        <w:rPr>
          <w:rFonts w:ascii="Times New Roman" w:hAnsi="Times New Roman"/>
          <w:sz w:val="20"/>
        </w:rPr>
        <w:t xml:space="preserve"> </w:t>
      </w:r>
      <w:r>
        <w:rPr>
          <w:rFonts w:ascii="Times New Roman;serif" w:hAnsi="Times New Roman;serif"/>
          <w:b w:val="false"/>
          <w:sz w:val="20"/>
        </w:rPr>
        <w:t>million, $1.7</w:t>
      </w:r>
      <w:r>
        <w:rPr>
          <w:rFonts w:ascii="Times New Roman" w:hAnsi="Times New Roman"/>
          <w:sz w:val="20"/>
        </w:rPr>
        <w:t xml:space="preserve"> </w:t>
      </w:r>
      <w:r>
        <w:rPr>
          <w:rFonts w:ascii="Times New Roman;serif" w:hAnsi="Times New Roman;serif"/>
          <w:b w:val="false"/>
          <w:sz w:val="20"/>
        </w:rPr>
        <w:t>million and $3.6</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 w:hAnsi="Times New Roman"/>
          <w:sz w:val="20"/>
        </w:rPr>
      </w:pPr>
      <w:r>
        <w:rPr>
          <w:rFonts w:ascii="Times New Roman;serif" w:hAnsi="Times New Roman;serif"/>
          <w:b w:val="false"/>
          <w:sz w:val="20"/>
        </w:rPr>
        <w:t>The following fair value hierarchy is applied for disclosure of the inputs used to measure fair value. This hierarchy prioritizes the inputs into three broad levels as follows: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1—Inputs are unadjusted quoted prices in active markets for identical assets or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2—Inputs are quoted prices for similar assets and liabilities in active markets or inputs that are observable for the assets or liabilities, either directly or indirectly through market corroboration, for substantially the full term of the financial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Level 3—Unobservable inputs based on the Company’s own assumptions used to measure assets and liabilities at fair value. The inputs require significant management judgment or estimation.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tables present the fair value of the financial instruments measured on a recurring basis as of January 31, 2023 and 2022, respectively:</w:t>
      </w:r>
      <w:r>
        <w:rPr>
          <w:rFonts w:ascii="Times New Roman" w:hAnsi="Times New Roman"/>
          <w:sz w:val="20"/>
        </w:rPr>
        <w:t xml:space="preserve"> </w:t>
      </w:r>
    </w:p>
    <w:p>
      <w:pPr>
        <w:pStyle w:val="TextBody"/>
        <w:spacing w:before="0" w:after="0"/>
        <w:jc w:val="left"/>
        <w:rPr/>
      </w:pPr>
      <w:r>
        <w:rPr/>
        <w:t> </w:t>
      </w:r>
    </w:p>
    <w:tbl>
      <w:tblPr>
        <w:tblW w:w="9160" w:type="dxa"/>
        <w:jc w:val="left"/>
        <w:tblInd w:w="0" w:type="dxa"/>
        <w:tblCellMar>
          <w:top w:w="28" w:type="dxa"/>
          <w:left w:w="28" w:type="dxa"/>
          <w:bottom w:w="28" w:type="dxa"/>
          <w:right w:w="28" w:type="dxa"/>
        </w:tblCellMar>
      </w:tblPr>
      <w:tblGrid>
        <w:gridCol w:w="4456"/>
        <w:gridCol w:w="146"/>
        <w:gridCol w:w="211"/>
        <w:gridCol w:w="781"/>
        <w:gridCol w:w="146"/>
        <w:gridCol w:w="146"/>
        <w:gridCol w:w="211"/>
        <w:gridCol w:w="571"/>
        <w:gridCol w:w="146"/>
        <w:gridCol w:w="146"/>
        <w:gridCol w:w="211"/>
        <w:gridCol w:w="676"/>
        <w:gridCol w:w="146"/>
        <w:gridCol w:w="146"/>
        <w:gridCol w:w="239"/>
        <w:gridCol w:w="391"/>
        <w:gridCol w:w="391"/>
      </w:tblGrid>
      <w:tr>
        <w:trPr/>
        <w:tc>
          <w:tcPr>
            <w:tcW w:w="4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6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67"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Asset-backed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93,322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6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67"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44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4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marketable debt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4. Inventories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Inventories at January 31, 2023 and 2022 consisted of the following:</w:t>
      </w:r>
      <w:r>
        <w:rPr>
          <w:rFonts w:ascii="Times New Roman" w:hAnsi="Times New Roman"/>
          <w:sz w:val="20"/>
        </w:rPr>
        <w:t xml:space="preserve"> </w:t>
      </w:r>
    </w:p>
    <w:p>
      <w:pPr>
        <w:pStyle w:val="TextBody"/>
        <w:spacing w:before="0" w:after="0"/>
        <w:jc w:val="left"/>
        <w:rPr/>
      </w:pPr>
      <w:r>
        <w:rPr/>
        <w:t> </w:t>
      </w:r>
    </w:p>
    <w:tbl>
      <w:tblPr>
        <w:tblW w:w="4134" w:type="dxa"/>
        <w:jc w:val="left"/>
        <w:tblInd w:w="0" w:type="dxa"/>
        <w:tblCellMar>
          <w:top w:w="28" w:type="dxa"/>
          <w:left w:w="28" w:type="dxa"/>
          <w:bottom w:w="28" w:type="dxa"/>
          <w:right w:w="28" w:type="dxa"/>
        </w:tblCellMar>
      </w:tblPr>
      <w:tblGrid>
        <w:gridCol w:w="1531"/>
        <w:gridCol w:w="146"/>
        <w:gridCol w:w="211"/>
        <w:gridCol w:w="676"/>
        <w:gridCol w:w="146"/>
        <w:gridCol w:w="146"/>
        <w:gridCol w:w="211"/>
        <w:gridCol w:w="676"/>
        <w:gridCol w:w="391"/>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Work-in-progress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25,844</w:t>
            </w:r>
          </w:p>
        </w:tc>
        <w:tc>
          <w:tcPr>
            <w:tcW w:w="3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19,375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5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40,486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45,219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5. Property and Equipment, net</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Depreciation expense was approximately $3.9</w:t>
      </w:r>
      <w:r>
        <w:rPr>
          <w:rFonts w:ascii="Times New Roman" w:hAnsi="Times New Roman"/>
          <w:sz w:val="20"/>
        </w:rPr>
        <w:t xml:space="preserve"> </w:t>
      </w:r>
      <w:r>
        <w:rPr>
          <w:rFonts w:ascii="Times New Roman;serif" w:hAnsi="Times New Roman;serif"/>
          <w:b w:val="false"/>
          <w:sz w:val="20"/>
        </w:rPr>
        <w:t>million, $2.8</w:t>
      </w:r>
      <w:r>
        <w:rPr>
          <w:rFonts w:ascii="Times New Roman" w:hAnsi="Times New Roman"/>
          <w:sz w:val="20"/>
        </w:rPr>
        <w:t xml:space="preserve"> </w:t>
      </w:r>
      <w:r>
        <w:rPr>
          <w:rFonts w:ascii="Times New Roman;serif" w:hAnsi="Times New Roman;serif"/>
          <w:b w:val="false"/>
          <w:sz w:val="20"/>
        </w:rPr>
        <w:t>million and $2.6</w:t>
      </w:r>
      <w:r>
        <w:rPr>
          <w:rFonts w:ascii="Times New Roman" w:hAnsi="Times New Roman"/>
          <w:sz w:val="20"/>
        </w:rPr>
        <w:t xml:space="preserve"> </w:t>
      </w:r>
      <w:r>
        <w:rPr>
          <w:rFonts w:ascii="Times New Roman;serif" w:hAnsi="Times New Roman;serif"/>
          <w:b w:val="false"/>
          <w:sz w:val="20"/>
        </w:rPr>
        <w:t xml:space="preserve">million for the fiscal years ended January 31, 2023, 2022 and 2021, respectively. Property and equipment at January 31, 2023 and 2022 consisted of the following: </w:t>
      </w:r>
    </w:p>
    <w:p>
      <w:pPr>
        <w:pStyle w:val="TextBody"/>
        <w:spacing w:before="0" w:after="0"/>
        <w:jc w:val="left"/>
        <w:rPr/>
      </w:pPr>
      <w:r>
        <w:rPr/>
        <w:t> </w:t>
      </w:r>
    </w:p>
    <w:tbl>
      <w:tblPr>
        <w:tblW w:w="6874" w:type="dxa"/>
        <w:jc w:val="left"/>
        <w:tblInd w:w="0" w:type="dxa"/>
        <w:tblCellMar>
          <w:top w:w="28" w:type="dxa"/>
          <w:left w:w="28" w:type="dxa"/>
          <w:bottom w:w="28" w:type="dxa"/>
          <w:right w:w="28" w:type="dxa"/>
        </w:tblCellMar>
      </w:tblPr>
      <w:tblGrid>
        <w:gridCol w:w="4111"/>
        <w:gridCol w:w="146"/>
        <w:gridCol w:w="211"/>
        <w:gridCol w:w="736"/>
        <w:gridCol w:w="166"/>
        <w:gridCol w:w="146"/>
        <w:gridCol w:w="211"/>
        <w:gridCol w:w="736"/>
        <w:gridCol w:w="41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hardware and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16,488</w:t>
            </w:r>
          </w:p>
        </w:tc>
        <w:tc>
          <w:tcPr>
            <w:tcW w:w="4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Tools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7,532</w:t>
            </w:r>
          </w:p>
        </w:tc>
        <w:tc>
          <w:tcPr>
            <w:tcW w:w="4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4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2,942</w:t>
            </w:r>
          </w:p>
        </w:tc>
        <w:tc>
          <w:tcPr>
            <w:tcW w:w="4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29,265</w:t>
            </w:r>
          </w:p>
        </w:tc>
        <w:tc>
          <w:tcPr>
            <w:tcW w:w="41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10,134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6. Intangible Assets, net</w:t>
      </w:r>
    </w:p>
    <w:p>
      <w:pPr>
        <w:pStyle w:val="TextBody"/>
        <w:spacing w:before="120" w:after="0"/>
        <w:jc w:val="left"/>
        <w:rPr>
          <w:rFonts w:ascii="Times New Roman" w:hAnsi="Times New Roman"/>
          <w:sz w:val="20"/>
        </w:rPr>
      </w:pPr>
      <w:r>
        <w:rPr>
          <w:rFonts w:ascii="Times New Roman;serif" w:hAnsi="Times New Roman;serif"/>
          <w:b w:val="false"/>
          <w:sz w:val="20"/>
        </w:rPr>
        <w:t>Intangible assets primarily consist of software licenses as well as developed technology, customer relationships and trade name that were acquired from business combinations. In fiscal year 2022, the Company determined that the underlying project incorporating IPR&amp;D from the prior acquisition of VisLab S.r.l., or VisLab,</w:t>
      </w:r>
      <w:r>
        <w:rPr>
          <w:rFonts w:ascii="Times New Roman" w:hAnsi="Times New Roman"/>
          <w:sz w:val="20"/>
        </w:rPr>
        <w:t xml:space="preserve"> </w:t>
      </w:r>
      <w:r>
        <w:rPr>
          <w:rFonts w:ascii="Times New Roman;serif" w:hAnsi="Times New Roman;serif"/>
          <w:b w:val="false"/>
          <w:sz w:val="20"/>
        </w:rPr>
        <w:t>was completed. As a result, the $4.1</w:t>
      </w:r>
      <w:r>
        <w:rPr>
          <w:rFonts w:ascii="Times New Roman" w:hAnsi="Times New Roman"/>
          <w:sz w:val="20"/>
        </w:rPr>
        <w:t xml:space="preserve"> </w:t>
      </w:r>
      <w:r>
        <w:rPr>
          <w:rFonts w:ascii="Times New Roman;serif" w:hAnsi="Times New Roman;serif"/>
          <w:b w:val="false"/>
          <w:sz w:val="20"/>
        </w:rPr>
        <w:t>million of IPR&amp;D was reclassified as definite-lived developed technology and started amortization over its estimated economic life of 7</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January 31, 2023, $7.1</w:t>
      </w:r>
      <w:r>
        <w:rPr>
          <w:rFonts w:ascii="Times New Roman" w:hAnsi="Times New Roman"/>
          <w:sz w:val="20"/>
        </w:rPr>
        <w:t xml:space="preserve"> </w:t>
      </w:r>
      <w:r>
        <w:rPr>
          <w:rFonts w:ascii="Times New Roman;serif" w:hAnsi="Times New Roman;serif"/>
          <w:b w:val="false"/>
          <w:sz w:val="20"/>
        </w:rPr>
        <w:t>million was recorded in accrued and other current liabilities and $9.6</w:t>
      </w:r>
      <w:r>
        <w:rPr>
          <w:rFonts w:ascii="Times New Roman" w:hAnsi="Times New Roman"/>
          <w:sz w:val="20"/>
        </w:rPr>
        <w:t xml:space="preserve"> </w:t>
      </w:r>
      <w:r>
        <w:rPr>
          <w:rFonts w:ascii="Times New Roman;serif" w:hAnsi="Times New Roman;serif"/>
          <w:b w:val="false"/>
          <w:sz w:val="20"/>
        </w:rPr>
        <w:t>million was recorded in other long-term liabilities in the consolidated balance sheets.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components of intangible assets as of January 31, 2023 and 2022 were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419"/>
        <w:gridCol w:w="146"/>
        <w:gridCol w:w="262"/>
        <w:gridCol w:w="842"/>
        <w:gridCol w:w="146"/>
        <w:gridCol w:w="146"/>
        <w:gridCol w:w="288"/>
        <w:gridCol w:w="1011"/>
        <w:gridCol w:w="166"/>
        <w:gridCol w:w="146"/>
        <w:gridCol w:w="254"/>
        <w:gridCol w:w="814"/>
        <w:gridCol w:w="146"/>
        <w:gridCol w:w="146"/>
        <w:gridCol w:w="262"/>
        <w:gridCol w:w="842"/>
        <w:gridCol w:w="146"/>
        <w:gridCol w:w="146"/>
        <w:gridCol w:w="288"/>
        <w:gridCol w:w="1011"/>
        <w:gridCol w:w="166"/>
        <w:gridCol w:w="146"/>
        <w:gridCol w:w="254"/>
        <w:gridCol w:w="814"/>
        <w:gridCol w:w="198"/>
      </w:tblGrid>
      <w:tr>
        <w:trPr/>
        <w:tc>
          <w:tcPr>
            <w:tcW w:w="14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41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7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 2022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Carrying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Carrying Amount</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1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42" w:type="dxa"/>
            <w:gridSpan w:val="2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8" w:type="dxa"/>
            <w:tcBorders/>
            <w:shd w:fill="auto" w:val="clear"/>
            <w:vAlign w:val="center"/>
          </w:tcPr>
          <w:p>
            <w:pPr>
              <w:pStyle w:val="TableContents"/>
              <w:spacing w:before="0" w:after="0"/>
              <w:ind w:left="0" w:right="0" w:hanging="0"/>
              <w:jc w:val="center"/>
              <w:rPr/>
            </w:pPr>
            <w:r>
              <w:rPr/>
              <w:t> </w:t>
            </w:r>
          </w:p>
        </w:tc>
      </w:tr>
      <w:tr>
        <w:trPr/>
        <w:tc>
          <w:tcPr>
            <w:tcW w:w="1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 licenses</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10,762</w:t>
            </w:r>
          </w:p>
        </w:tc>
        <w:tc>
          <w:tcPr>
            <w:tcW w:w="198" w:type="dxa"/>
            <w:tcBorders/>
            <w:shd w:fill="auto" w:val="clear"/>
            <w:vAlign w:val="center"/>
          </w:tcPr>
          <w:p>
            <w:pPr>
              <w:pStyle w:val="TableContents"/>
              <w:spacing w:before="0" w:after="0"/>
              <w:ind w:left="0" w:right="0" w:hanging="0"/>
              <w:jc w:val="left"/>
              <w:rPr/>
            </w:pPr>
            <w:r>
              <w:rPr/>
              <w:t> </w:t>
            </w:r>
          </w:p>
        </w:tc>
      </w:tr>
      <w:tr>
        <w:trPr/>
        <w:tc>
          <w:tcPr>
            <w:tcW w:w="1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Developed technology</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20,296</w:t>
            </w:r>
          </w:p>
        </w:tc>
        <w:tc>
          <w:tcPr>
            <w:tcW w:w="198" w:type="dxa"/>
            <w:tcBorders/>
            <w:shd w:fill="auto" w:val="clear"/>
            <w:vAlign w:val="center"/>
          </w:tcPr>
          <w:p>
            <w:pPr>
              <w:pStyle w:val="TableContents"/>
              <w:spacing w:before="0" w:after="0"/>
              <w:ind w:left="0" w:right="0" w:hanging="0"/>
              <w:jc w:val="left"/>
              <w:rPr/>
            </w:pPr>
            <w:r>
              <w:rPr/>
              <w:t> </w:t>
            </w:r>
          </w:p>
        </w:tc>
      </w:tr>
      <w:tr>
        <w:trPr/>
        <w:tc>
          <w:tcPr>
            <w:tcW w:w="1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12,833</w:t>
            </w:r>
          </w:p>
        </w:tc>
        <w:tc>
          <w:tcPr>
            <w:tcW w:w="198" w:type="dxa"/>
            <w:tcBorders/>
            <w:shd w:fill="auto" w:val="clear"/>
            <w:vAlign w:val="center"/>
          </w:tcPr>
          <w:p>
            <w:pPr>
              <w:pStyle w:val="TableContents"/>
              <w:spacing w:before="0" w:after="0"/>
              <w:ind w:left="0" w:right="0" w:hanging="0"/>
              <w:jc w:val="left"/>
              <w:rPr/>
            </w:pPr>
            <w:r>
              <w:rPr/>
              <w:t> </w:t>
            </w:r>
          </w:p>
        </w:tc>
      </w:tr>
      <w:tr>
        <w:trPr/>
        <w:tc>
          <w:tcPr>
            <w:tcW w:w="1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name</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2,411</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intangible assets, net</w:t>
            </w:r>
          </w:p>
        </w:tc>
        <w:tc>
          <w:tcPr>
            <w:tcW w:w="146" w:type="dxa"/>
            <w:tcBorders/>
            <w:shd w:fill="auto" w:val="clear"/>
            <w:vAlign w:val="center"/>
          </w:tcPr>
          <w:p>
            <w:pPr>
              <w:pStyle w:val="TableContents"/>
              <w:spacing w:before="0" w:after="0"/>
              <w:ind w:left="0" w:right="0" w:hanging="0"/>
              <w:jc w:val="righ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46,302</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twelve months ended January 31, 2023, there were approximately $24.5</w:t>
      </w:r>
      <w:r>
        <w:rPr>
          <w:rFonts w:ascii="Times New Roman" w:hAnsi="Times New Roman"/>
          <w:sz w:val="20"/>
        </w:rPr>
        <w:t xml:space="preserve"> </w:t>
      </w:r>
      <w:r>
        <w:rPr>
          <w:rFonts w:ascii="Times New Roman;serif" w:hAnsi="Times New Roman;serif"/>
          <w:b w:val="false"/>
          <w:sz w:val="20"/>
        </w:rPr>
        <w:t>million of software licenses purchased and approximately $12.5</w:t>
      </w:r>
      <w:r>
        <w:rPr>
          <w:rFonts w:ascii="Times New Roman" w:hAnsi="Times New Roman"/>
          <w:sz w:val="20"/>
        </w:rPr>
        <w:t xml:space="preserve"> </w:t>
      </w:r>
      <w:r>
        <w:rPr>
          <w:rFonts w:ascii="Times New Roman;serif" w:hAnsi="Times New Roman;serif"/>
          <w:b w:val="false"/>
          <w:sz w:val="20"/>
        </w:rPr>
        <w:t>million of software licenses retired. The amortization expense associated with software licenses was approximately $7.5</w:t>
      </w:r>
      <w:r>
        <w:rPr>
          <w:rFonts w:ascii="Times New Roman" w:hAnsi="Times New Roman"/>
          <w:sz w:val="20"/>
        </w:rPr>
        <w:t xml:space="preserve"> </w:t>
      </w:r>
      <w:r>
        <w:rPr>
          <w:rFonts w:ascii="Times New Roman;serif" w:hAnsi="Times New Roman;serif"/>
          <w:b w:val="false"/>
          <w:sz w:val="20"/>
        </w:rPr>
        <w:t>million, $6.4</w:t>
      </w:r>
      <w:r>
        <w:rPr>
          <w:rFonts w:ascii="Times New Roman" w:hAnsi="Times New Roman"/>
          <w:sz w:val="20"/>
        </w:rPr>
        <w:t xml:space="preserve"> </w:t>
      </w:r>
      <w:r>
        <w:rPr>
          <w:rFonts w:ascii="Times New Roman;serif" w:hAnsi="Times New Roman;serif"/>
          <w:b w:val="false"/>
          <w:sz w:val="20"/>
        </w:rPr>
        <w:t>million and $6.5</w:t>
      </w:r>
      <w:r>
        <w:rPr>
          <w:rFonts w:ascii="Times New Roman" w:hAnsi="Times New Roman"/>
          <w:sz w:val="20"/>
        </w:rPr>
        <w:t xml:space="preserve"> </w:t>
      </w:r>
      <w:r>
        <w:rPr>
          <w:rFonts w:ascii="Times New Roman;serif" w:hAnsi="Times New Roman;serif"/>
          <w:b w:val="false"/>
          <w:sz w:val="20"/>
        </w:rPr>
        <w:t>million for the fiscal years ended January 31, 2023, 2022 and 2021 respectively. The amortization expense associated with acquisition-related intangible assets, including developed technology, customer relationship and trade name, was approximately $4.9</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for the fiscal years ended January 31, 2023 and 2022, respectively. There was no</w:t>
      </w:r>
      <w:r>
        <w:rPr>
          <w:rFonts w:ascii="Times New Roman" w:hAnsi="Times New Roman"/>
          <w:sz w:val="20"/>
        </w:rPr>
        <w:t xml:space="preserve"> </w:t>
      </w:r>
      <w:r>
        <w:rPr>
          <w:rFonts w:ascii="Times New Roman;serif" w:hAnsi="Times New Roman;serif"/>
          <w:b w:val="false"/>
          <w:sz w:val="20"/>
        </w:rPr>
        <w:t>amortization expense associated with acquisition-related intangible assets for the fiscal year ended January 31, 2021. The expected future amortization expense related to these intangible assets as of January 31, 2023 is as follows:</w:t>
      </w:r>
    </w:p>
    <w:p>
      <w:pPr>
        <w:pStyle w:val="TextBody"/>
        <w:spacing w:before="0" w:after="0"/>
        <w:jc w:val="left"/>
        <w:rPr/>
      </w:pPr>
      <w:r>
        <w:rPr/>
        <w:t> </w:t>
      </w:r>
    </w:p>
    <w:tbl>
      <w:tblPr>
        <w:tblW w:w="5133" w:type="dxa"/>
        <w:jc w:val="left"/>
        <w:tblInd w:w="0" w:type="dxa"/>
        <w:tblCellMar>
          <w:top w:w="28" w:type="dxa"/>
          <w:left w:w="28" w:type="dxa"/>
          <w:bottom w:w="28" w:type="dxa"/>
          <w:right w:w="28" w:type="dxa"/>
        </w:tblCellMar>
      </w:tblPr>
      <w:tblGrid>
        <w:gridCol w:w="3001"/>
        <w:gridCol w:w="146"/>
        <w:gridCol w:w="332"/>
        <w:gridCol w:w="1063"/>
        <w:gridCol w:w="59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591" w:type="dxa"/>
            <w:tcBorders/>
            <w:shd w:fill="auto" w:val="cle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01"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Fiscal Year</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shd w:fill="auto" w:val="clear"/>
            <w:vAlign w:val="center"/>
          </w:tcPr>
          <w:p>
            <w:pPr>
              <w:pStyle w:val="TableContents"/>
              <w:spacing w:before="0" w:after="0"/>
              <w:ind w:left="0" w:right="0" w:firstLine="200"/>
              <w:jc w:val="center"/>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13,754</w:t>
            </w:r>
          </w:p>
        </w:tc>
        <w:tc>
          <w:tcPr>
            <w:tcW w:w="5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11,996</w:t>
            </w:r>
          </w:p>
        </w:tc>
        <w:tc>
          <w:tcPr>
            <w:tcW w:w="5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9,944</w:t>
            </w:r>
          </w:p>
        </w:tc>
        <w:tc>
          <w:tcPr>
            <w:tcW w:w="5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5,711</w:t>
            </w:r>
          </w:p>
        </w:tc>
        <w:tc>
          <w:tcPr>
            <w:tcW w:w="5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10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5,711</w:t>
            </w:r>
          </w:p>
        </w:tc>
        <w:tc>
          <w:tcPr>
            <w:tcW w:w="591" w:type="dxa"/>
            <w:tcBorders/>
            <w:shd w:fill="auto" w:val="clear"/>
            <w:vAlign w:val="center"/>
          </w:tcPr>
          <w:p>
            <w:pPr>
              <w:pStyle w:val="TableContents"/>
              <w:spacing w:before="0" w:after="0"/>
              <w:ind w:left="0" w:right="0" w:firstLine="200"/>
              <w:jc w:val="left"/>
              <w:rPr/>
            </w:pPr>
            <w:r>
              <w:rPr/>
              <w:t> </w:t>
            </w:r>
          </w:p>
        </w:tc>
      </w:tr>
      <w:tr>
        <w:trPr/>
        <w:tc>
          <w:tcPr>
            <w:tcW w:w="30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11,381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00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future amortization expenses:</w:t>
            </w:r>
          </w:p>
        </w:tc>
        <w:tc>
          <w:tcPr>
            <w:tcW w:w="146" w:type="dxa"/>
            <w:tcBorders/>
            <w:shd w:fill="auto" w:val="clear"/>
            <w:vAlign w:val="center"/>
          </w:tcPr>
          <w:p>
            <w:pPr>
              <w:pStyle w:val="TableContents"/>
              <w:spacing w:before="0" w:after="0"/>
              <w:ind w:left="0" w:right="0" w:hanging="0"/>
              <w:jc w:val="lef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58,497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Intangible assets are tested for impairment at least annually, in the fourth fiscal quarter, or more frequently if events or changes in circumstances indicate that the assets may be impaired. The Company is also required to test the impairment prior to changing the IPR&amp;D from an indefinite-lived asset to a finite-lived asset. There were no</w:t>
      </w:r>
      <w:r>
        <w:rPr>
          <w:rFonts w:ascii="Times New Roman" w:hAnsi="Times New Roman"/>
          <w:sz w:val="20"/>
        </w:rPr>
        <w:t xml:space="preserve"> </w:t>
      </w:r>
      <w:r>
        <w:rPr>
          <w:rFonts w:ascii="Times New Roman;serif" w:hAnsi="Times New Roman;serif"/>
          <w:b w:val="false"/>
          <w:sz w:val="20"/>
        </w:rPr>
        <w:t>intangible asset impairments for the fiscal years ended January 31, 2023, 2022 and 2021, respectively.</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7. Goodwill</w:t>
      </w:r>
    </w:p>
    <w:p>
      <w:pPr>
        <w:pStyle w:val="TextBody"/>
        <w:spacing w:before="120" w:after="0"/>
        <w:jc w:val="left"/>
        <w:rPr>
          <w:rFonts w:ascii="Times New Roman" w:hAnsi="Times New Roman"/>
          <w:sz w:val="20"/>
        </w:rPr>
      </w:pPr>
      <w:r>
        <w:rPr>
          <w:rFonts w:ascii="Times New Roman;serif" w:hAnsi="Times New Roman;serif"/>
          <w:b w:val="false"/>
          <w:sz w:val="20"/>
        </w:rPr>
        <w:t>The Company has one</w:t>
      </w:r>
      <w:r>
        <w:rPr>
          <w:rFonts w:ascii="Times New Roman" w:hAnsi="Times New Roman"/>
          <w:sz w:val="20"/>
        </w:rPr>
        <w:t xml:space="preserve"> </w:t>
      </w:r>
      <w:r>
        <w:rPr>
          <w:rFonts w:ascii="Times New Roman;serif" w:hAnsi="Times New Roman;serif"/>
          <w:b w:val="false"/>
          <w:sz w:val="20"/>
        </w:rPr>
        <w:t>reporting segment and accordingly, there is no goodwill assignment based on reporting units (refer to Note 16). As of January 31, 2023 and 2022, the total carrying amount of goodwill was $303.6</w:t>
      </w:r>
      <w:r>
        <w:rPr>
          <w:rFonts w:ascii="Times New Roman" w:hAnsi="Times New Roman"/>
          <w:sz w:val="20"/>
        </w:rPr>
        <w:t xml:space="preserve"> </w:t>
      </w:r>
      <w:r>
        <w:rPr>
          <w:rFonts w:ascii="Times New Roman;serif" w:hAnsi="Times New Roman;serif"/>
          <w:b w:val="false"/>
          <w:sz w:val="20"/>
        </w:rPr>
        <w:t>million, respectively. The Company does not amortize goodwill. In the fourth quarter of fiscal year 2023, 2022 and 2021, the Company performed annual goodwill tests and there were no</w:t>
      </w:r>
      <w:r>
        <w:rPr>
          <w:rFonts w:ascii="Times New Roman" w:hAnsi="Times New Roman"/>
          <w:sz w:val="20"/>
        </w:rPr>
        <w:t xml:space="preserve"> </w:t>
      </w:r>
      <w:r>
        <w:rPr>
          <w:rFonts w:ascii="Times New Roman;serif" w:hAnsi="Times New Roman;serif"/>
          <w:b w:val="false"/>
          <w:sz w:val="20"/>
        </w:rPr>
        <w:t>goodwill impairments for the fiscal years ended January 31, 2023, 2022 and 2021, respectively.</w:t>
      </w:r>
    </w:p>
    <w:p>
      <w:pPr>
        <w:pStyle w:val="TextBody"/>
        <w:spacing w:before="12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8. Accrued and Other Current Liabilities</w:t>
      </w:r>
    </w:p>
    <w:p>
      <w:pPr>
        <w:pStyle w:val="TextBody"/>
        <w:spacing w:before="120" w:after="0"/>
        <w:jc w:val="left"/>
        <w:rPr>
          <w:rFonts w:ascii="Times New Roman" w:hAnsi="Times New Roman"/>
          <w:sz w:val="20"/>
        </w:rPr>
      </w:pPr>
      <w:r>
        <w:rPr>
          <w:rFonts w:ascii="Times New Roman;serif" w:hAnsi="Times New Roman;serif"/>
          <w:b w:val="false"/>
          <w:sz w:val="20"/>
        </w:rPr>
        <w:t>Accrued and other current liabilities at January 31, 2023 and 2022 consisted of the following:</w:t>
      </w:r>
      <w:r>
        <w:rPr>
          <w:rFonts w:ascii="Times New Roman" w:hAnsi="Times New Roman"/>
          <w:sz w:val="20"/>
        </w:rPr>
        <w:t xml:space="preserve"> </w:t>
      </w:r>
    </w:p>
    <w:p>
      <w:pPr>
        <w:pStyle w:val="TextBody"/>
        <w:spacing w:before="0" w:after="0"/>
        <w:jc w:val="left"/>
        <w:rPr/>
      </w:pPr>
      <w:r>
        <w:rPr/>
        <w:t> </w:t>
      </w:r>
    </w:p>
    <w:tbl>
      <w:tblPr>
        <w:tblW w:w="6084" w:type="dxa"/>
        <w:jc w:val="left"/>
        <w:tblInd w:w="0" w:type="dxa"/>
        <w:tblCellMar>
          <w:top w:w="28" w:type="dxa"/>
          <w:left w:w="28" w:type="dxa"/>
          <w:bottom w:w="28" w:type="dxa"/>
          <w:right w:w="28" w:type="dxa"/>
        </w:tblCellMar>
      </w:tblPr>
      <w:tblGrid>
        <w:gridCol w:w="3481"/>
        <w:gridCol w:w="146"/>
        <w:gridCol w:w="211"/>
        <w:gridCol w:w="676"/>
        <w:gridCol w:w="146"/>
        <w:gridCol w:w="146"/>
        <w:gridCol w:w="211"/>
        <w:gridCol w:w="676"/>
        <w:gridCol w:w="39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employee compensation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30,044</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product development costs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10,523</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 license liabilities, current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6,001</w:t>
            </w:r>
          </w:p>
        </w:tc>
        <w:tc>
          <w:tcPr>
            <w:tcW w:w="391" w:type="dxa"/>
            <w:tcBorders/>
            <w:shd w:fill="auto" w:val="clear"/>
            <w:vAlign w:val="center"/>
          </w:tcPr>
          <w:p>
            <w:pPr>
              <w:pStyle w:val="TableContents"/>
              <w:spacing w:before="0" w:after="0"/>
              <w:ind w:left="0" w:right="0" w:hanging="0"/>
              <w:jc w:val="left"/>
              <w:rPr/>
            </w:pPr>
            <w:r>
              <w:rPr/>
              <w:t> </w:t>
            </w:r>
          </w:p>
        </w:tc>
      </w:tr>
      <w:tr>
        <w:trPr/>
        <w:tc>
          <w:tcPr>
            <w:tcW w:w="3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5,496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and other current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52,064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The timing of SoC development progress and payments to outside foundries resulted in fluctuation in the accrued product development costs. Approximately $10.9</w:t>
      </w:r>
      <w:r>
        <w:rPr>
          <w:rFonts w:ascii="Times New Roman" w:hAnsi="Times New Roman"/>
          <w:sz w:val="20"/>
        </w:rPr>
        <w:t xml:space="preserve"> </w:t>
      </w:r>
      <w:r>
        <w:rPr>
          <w:rFonts w:ascii="Times New Roman;serif" w:hAnsi="Times New Roman;serif"/>
          <w:b w:val="false"/>
          <w:sz w:val="20"/>
        </w:rPr>
        <w:t>million of annual bonus was paid in fiscal year 2023, of which $3.2</w:t>
      </w:r>
      <w:r>
        <w:rPr>
          <w:rFonts w:ascii="Times New Roman" w:hAnsi="Times New Roman"/>
          <w:sz w:val="20"/>
        </w:rPr>
        <w:t xml:space="preserve"> </w:t>
      </w:r>
      <w:r>
        <w:rPr>
          <w:rFonts w:ascii="Times New Roman;serif" w:hAnsi="Times New Roman;serif"/>
          <w:b w:val="false"/>
          <w:sz w:val="20"/>
        </w:rPr>
        <w:t>million was paid in cash and $7.7</w:t>
      </w:r>
      <w:r>
        <w:rPr>
          <w:rFonts w:ascii="Times New Roman" w:hAnsi="Times New Roman"/>
          <w:sz w:val="20"/>
        </w:rPr>
        <w:t xml:space="preserve"> </w:t>
      </w:r>
      <w:r>
        <w:rPr>
          <w:rFonts w:ascii="Times New Roman;serif" w:hAnsi="Times New Roman;serif"/>
          <w:b w:val="false"/>
          <w:sz w:val="20"/>
        </w:rPr>
        <w:t>million was settled with restricted stock units.</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9. Leases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enters into various operating leases for its worldwide facilities.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twelve months ended January 31, 2023, the Company extended leases for its Shenzhen office and one of its facilities in Santa Clara, California for an additional two years</w:t>
      </w:r>
      <w:r>
        <w:rPr>
          <w:rFonts w:ascii="Times New Roman" w:hAnsi="Times New Roman"/>
          <w:sz w:val="20"/>
        </w:rPr>
        <w:t xml:space="preserve"> </w:t>
      </w:r>
      <w:r>
        <w:rPr>
          <w:rFonts w:ascii="Times New Roman;serif" w:hAnsi="Times New Roman;serif"/>
          <w:b w:val="false"/>
          <w:sz w:val="20"/>
        </w:rPr>
        <w:t>beginning October 1, 2022</w:t>
      </w:r>
      <w:r>
        <w:rPr>
          <w:rFonts w:ascii="Times New Roman" w:hAnsi="Times New Roman"/>
          <w:sz w:val="20"/>
        </w:rPr>
        <w:t xml:space="preserve"> </w:t>
      </w:r>
      <w:r>
        <w:rPr>
          <w:rFonts w:ascii="Times New Roman;serif" w:hAnsi="Times New Roman;serif"/>
          <w:b w:val="false"/>
          <w:sz w:val="20"/>
        </w:rPr>
        <w:t>to September 30, 2024. For the lease extensions, the Company recorded an increase to the operating lease ROU assets and corresponding operating lease liabilities of approximately $0.8</w:t>
      </w:r>
      <w:r>
        <w:rPr>
          <w:rFonts w:ascii="Times New Roman" w:hAnsi="Times New Roman"/>
          <w:sz w:val="20"/>
        </w:rPr>
        <w:t xml:space="preserve"> </w:t>
      </w:r>
      <w:r>
        <w:rPr>
          <w:rFonts w:ascii="Times New Roman;serif" w:hAnsi="Times New Roman;serif"/>
          <w:b w:val="false"/>
          <w:sz w:val="20"/>
        </w:rPr>
        <w:t>million in the consolidated balance sheets.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twelve months ended January 31, 2022, the Company extended its existing Shanghai office lease for an additional three years</w:t>
      </w:r>
      <w:r>
        <w:rPr>
          <w:rFonts w:ascii="Times New Roman" w:hAnsi="Times New Roman"/>
          <w:sz w:val="20"/>
        </w:rPr>
        <w:t xml:space="preserve"> </w:t>
      </w:r>
      <w:r>
        <w:rPr>
          <w:rFonts w:ascii="Times New Roman;serif" w:hAnsi="Times New Roman;serif"/>
          <w:b w:val="false"/>
          <w:sz w:val="20"/>
        </w:rPr>
        <w:t>beginning December 1, 2021</w:t>
      </w:r>
      <w:r>
        <w:rPr>
          <w:rFonts w:ascii="Times New Roman" w:hAnsi="Times New Roman"/>
          <w:sz w:val="20"/>
        </w:rPr>
        <w:t xml:space="preserve"> </w:t>
      </w:r>
      <w:r>
        <w:rPr>
          <w:rFonts w:ascii="Times New Roman;serif" w:hAnsi="Times New Roman;serif"/>
          <w:b w:val="false"/>
          <w:sz w:val="20"/>
        </w:rPr>
        <w:t>to</w:t>
      </w:r>
      <w:r>
        <w:rPr>
          <w:rFonts w:ascii="Times New Roman" w:hAnsi="Times New Roman"/>
          <w:sz w:val="20"/>
        </w:rPr>
        <w:t xml:space="preserve"> </w:t>
      </w:r>
      <w:r>
        <w:rPr>
          <w:rFonts w:ascii="Times New Roman;serif" w:hAnsi="Times New Roman;serif"/>
          <w:b w:val="false"/>
          <w:sz w:val="20"/>
        </w:rPr>
        <w:t>November 30, 2024</w:t>
      </w:r>
      <w:r>
        <w:rPr>
          <w:rFonts w:ascii="Times New Roman" w:hAnsi="Times New Roman"/>
          <w:sz w:val="20"/>
        </w:rPr>
        <w:t xml:space="preserve"> </w:t>
      </w:r>
      <w:r>
        <w:rPr>
          <w:rFonts w:ascii="Times New Roman;serif" w:hAnsi="Times New Roman;serif"/>
          <w:b w:val="false"/>
          <w:sz w:val="20"/>
        </w:rPr>
        <w:t>and extended its existing Hong Kong office lease for an additional five years</w:t>
      </w:r>
      <w:r>
        <w:rPr>
          <w:rFonts w:ascii="Times New Roman" w:hAnsi="Times New Roman"/>
          <w:sz w:val="20"/>
        </w:rPr>
        <w:t xml:space="preserve"> </w:t>
      </w:r>
      <w:r>
        <w:rPr>
          <w:rFonts w:ascii="Times New Roman;serif" w:hAnsi="Times New Roman;serif"/>
          <w:b w:val="false"/>
          <w:sz w:val="20"/>
        </w:rPr>
        <w:t>beginning</w:t>
      </w:r>
      <w:r>
        <w:rPr>
          <w:rFonts w:ascii="Times New Roman" w:hAnsi="Times New Roman"/>
          <w:sz w:val="20"/>
        </w:rPr>
        <w:t xml:space="preserve"> </w:t>
      </w:r>
      <w:r>
        <w:rPr>
          <w:rFonts w:ascii="Times New Roman;serif" w:hAnsi="Times New Roman;serif"/>
          <w:b w:val="false"/>
          <w:sz w:val="20"/>
        </w:rPr>
        <w:t>December 1, 2021</w:t>
      </w:r>
      <w:r>
        <w:rPr>
          <w:rFonts w:ascii="Times New Roman" w:hAnsi="Times New Roman"/>
          <w:sz w:val="20"/>
        </w:rPr>
        <w:t xml:space="preserve"> </w:t>
      </w:r>
      <w:r>
        <w:rPr>
          <w:rFonts w:ascii="Times New Roman;serif" w:hAnsi="Times New Roman;serif"/>
          <w:b w:val="false"/>
          <w:sz w:val="20"/>
        </w:rPr>
        <w:t>to November 30, 2026. The Company also leased an additional space for its Shanghai office for a period of 40 months</w:t>
      </w:r>
      <w:r>
        <w:rPr>
          <w:rFonts w:ascii="Times New Roman" w:hAnsi="Times New Roman"/>
          <w:sz w:val="20"/>
        </w:rPr>
        <w:t xml:space="preserve"> </w:t>
      </w:r>
      <w:r>
        <w:rPr>
          <w:rFonts w:ascii="Times New Roman;serif" w:hAnsi="Times New Roman;serif"/>
          <w:b w:val="false"/>
          <w:sz w:val="20"/>
        </w:rPr>
        <w:t>starting from August 1, 2021</w:t>
      </w:r>
      <w:r>
        <w:rPr>
          <w:rFonts w:ascii="Times New Roman" w:hAnsi="Times New Roman"/>
          <w:sz w:val="20"/>
        </w:rPr>
        <w:t xml:space="preserve"> </w:t>
      </w:r>
      <w:r>
        <w:rPr>
          <w:rFonts w:ascii="Times New Roman;serif" w:hAnsi="Times New Roman;serif"/>
          <w:b w:val="false"/>
          <w:sz w:val="20"/>
        </w:rPr>
        <w:t>through November 30, 2024. The Company recorded an aggregate increase of approximately $4.4</w:t>
      </w:r>
      <w:r>
        <w:rPr>
          <w:rFonts w:ascii="Times New Roman" w:hAnsi="Times New Roman"/>
          <w:sz w:val="20"/>
        </w:rPr>
        <w:t xml:space="preserve"> </w:t>
      </w:r>
      <w:r>
        <w:rPr>
          <w:rFonts w:ascii="Times New Roman;serif" w:hAnsi="Times New Roman;serif"/>
          <w:b w:val="false"/>
          <w:sz w:val="20"/>
        </w:rPr>
        <w:t>million to the operating lease ROU assets and corresponding operating lease liabilities in the consolidated balance sheets as a result of these lease extensions and additional leased space.</w:t>
      </w:r>
    </w:p>
    <w:p>
      <w:pPr>
        <w:pStyle w:val="TextBody"/>
        <w:spacing w:before="240" w:after="0"/>
        <w:jc w:val="left"/>
        <w:rPr>
          <w:rFonts w:ascii="Times New Roman" w:hAnsi="Times New Roman"/>
          <w:sz w:val="20"/>
        </w:rPr>
      </w:pPr>
      <w:r>
        <w:rPr>
          <w:rFonts w:ascii="Times New Roman;serif" w:hAnsi="Times New Roman;serif"/>
          <w:b w:val="false"/>
          <w:sz w:val="20"/>
        </w:rPr>
        <w:t>For the fiscal years ended January 31, 2023, 2022 and 2021, the operating lease expense was approximately $3.7</w:t>
      </w:r>
      <w:r>
        <w:rPr>
          <w:rFonts w:ascii="Times New Roman" w:hAnsi="Times New Roman"/>
          <w:sz w:val="20"/>
        </w:rPr>
        <w:t xml:space="preserve"> </w:t>
      </w:r>
      <w:r>
        <w:rPr>
          <w:rFonts w:ascii="Times New Roman;serif" w:hAnsi="Times New Roman;serif"/>
          <w:b w:val="false"/>
          <w:sz w:val="20"/>
        </w:rPr>
        <w:t>million, $3.5</w:t>
      </w:r>
      <w:r>
        <w:rPr>
          <w:rFonts w:ascii="Times New Roman" w:hAnsi="Times New Roman"/>
          <w:sz w:val="20"/>
        </w:rPr>
        <w:t xml:space="preserve"> </w:t>
      </w:r>
      <w:r>
        <w:rPr>
          <w:rFonts w:ascii="Times New Roman;serif" w:hAnsi="Times New Roman;serif"/>
          <w:b w:val="false"/>
          <w:sz w:val="20"/>
        </w:rPr>
        <w:t>million and $3.0</w:t>
      </w:r>
      <w:r>
        <w:rPr>
          <w:rFonts w:ascii="Times New Roman" w:hAnsi="Times New Roman"/>
          <w:sz w:val="20"/>
        </w:rPr>
        <w:t xml:space="preserve"> </w:t>
      </w:r>
      <w:r>
        <w:rPr>
          <w:rFonts w:ascii="Times New Roman;serif" w:hAnsi="Times New Roman;serif"/>
          <w:b w:val="false"/>
          <w:sz w:val="20"/>
        </w:rPr>
        <w:t>million, respectively. The Company's short-term leases and finance leases were immaterial as of January 31, 2023 and 2022, respectively.</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Supplemental cash flow information related to the operating leases is as follows:</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7031"/>
        <w:gridCol w:w="146"/>
        <w:gridCol w:w="343"/>
        <w:gridCol w:w="929"/>
        <w:gridCol w:w="146"/>
        <w:gridCol w:w="146"/>
        <w:gridCol w:w="343"/>
        <w:gridCol w:w="929"/>
        <w:gridCol w:w="192"/>
      </w:tblGrid>
      <w:tr>
        <w:trPr/>
        <w:tc>
          <w:tcPr>
            <w:tcW w:w="7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7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2022</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2" w:type="dxa"/>
            <w:tcBorders/>
            <w:shd w:fill="auto" w:val="clear"/>
            <w:vAlign w:val="center"/>
          </w:tcPr>
          <w:p>
            <w:pPr>
              <w:pStyle w:val="TableContents"/>
              <w:spacing w:before="0" w:after="0"/>
              <w:ind w:left="0" w:right="0" w:hanging="0"/>
              <w:jc w:val="center"/>
              <w:rPr/>
            </w:pPr>
            <w:r>
              <w:rPr/>
              <w:t> </w:t>
            </w:r>
          </w:p>
        </w:tc>
      </w:tr>
      <w:tr>
        <w:trPr/>
        <w:tc>
          <w:tcPr>
            <w:tcW w:w="7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operating leases included in operating cash flows</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3,608</w:t>
            </w:r>
          </w:p>
        </w:tc>
        <w:tc>
          <w:tcPr>
            <w:tcW w:w="192" w:type="dxa"/>
            <w:tcBorders/>
            <w:shd w:fill="auto" w:val="clear"/>
            <w:vAlign w:val="center"/>
          </w:tcPr>
          <w:p>
            <w:pPr>
              <w:pStyle w:val="TableContents"/>
              <w:spacing w:before="0" w:after="0"/>
              <w:ind w:left="0" w:right="0" w:hanging="0"/>
              <w:jc w:val="left"/>
              <w:rPr/>
            </w:pPr>
            <w:r>
              <w:rPr/>
              <w:t> </w:t>
            </w:r>
          </w:p>
        </w:tc>
      </w:tr>
      <w:tr>
        <w:trPr/>
        <w:tc>
          <w:tcPr>
            <w:tcW w:w="7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non-cash information related to lease liabilities arising from obtaining right-of-use assets</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w:t>
            </w:r>
          </w:p>
        </w:tc>
        <w:tc>
          <w:tcPr>
            <w:tcW w:w="192" w:type="dxa"/>
            <w:tcBorders/>
            <w:shd w:fill="auto" w:val="clear"/>
            <w:vAlign w:val="center"/>
          </w:tcPr>
          <w:p>
            <w:pPr>
              <w:pStyle w:val="TableContents"/>
              <w:spacing w:before="0" w:after="0"/>
              <w:ind w:left="0" w:right="0" w:hanging="0"/>
              <w:jc w:val="left"/>
              <w:rPr/>
            </w:pPr>
            <w:r>
              <w:rPr/>
              <w:t> </w:t>
            </w:r>
          </w:p>
        </w:tc>
      </w:tr>
      <w:tr>
        <w:trPr/>
        <w:tc>
          <w:tcPr>
            <w:tcW w:w="7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Leased assets changes arising from lease modifications</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2,798</w:t>
            </w:r>
          </w:p>
        </w:tc>
        <w:tc>
          <w:tcPr>
            <w:tcW w:w="192"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January 31, 2023, the weighted average remaining lease term is 2.61</w:t>
      </w:r>
      <w:r>
        <w:rPr>
          <w:rFonts w:ascii="Times New Roman" w:hAnsi="Times New Roman"/>
          <w:sz w:val="20"/>
        </w:rPr>
        <w:t xml:space="preserve"> </w:t>
      </w:r>
      <w:r>
        <w:rPr>
          <w:rFonts w:ascii="Times New Roman;serif" w:hAnsi="Times New Roman;serif"/>
          <w:b w:val="false"/>
          <w:sz w:val="20"/>
        </w:rPr>
        <w:t>years, and the weighted average discount rate is 3.58%. Future minimum lease payments for the lease liabilities are as follows:</w:t>
      </w:r>
    </w:p>
    <w:p>
      <w:pPr>
        <w:pStyle w:val="TextBody"/>
        <w:spacing w:before="40" w:after="0"/>
        <w:jc w:val="left"/>
        <w:rPr/>
      </w:pPr>
      <w:r>
        <w:rPr/>
        <w:t> </w:t>
      </w:r>
    </w:p>
    <w:tbl>
      <w:tblPr>
        <w:tblW w:w="5933" w:type="dxa"/>
        <w:jc w:val="left"/>
        <w:tblInd w:w="0" w:type="dxa"/>
        <w:tblCellMar>
          <w:top w:w="28" w:type="dxa"/>
          <w:left w:w="28" w:type="dxa"/>
          <w:bottom w:w="28" w:type="dxa"/>
          <w:right w:w="28" w:type="dxa"/>
        </w:tblCellMar>
      </w:tblPr>
      <w:tblGrid>
        <w:gridCol w:w="3781"/>
        <w:gridCol w:w="146"/>
        <w:gridCol w:w="376"/>
        <w:gridCol w:w="1019"/>
        <w:gridCol w:w="61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611" w:type="dxa"/>
            <w:tcBorders/>
            <w:shd w:fill="auto" w:val="cle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January 31, 2023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Fiscal Year</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11" w:type="dxa"/>
            <w:tcBorders/>
            <w:shd w:fill="auto" w:val="clear"/>
            <w:vAlign w:val="center"/>
          </w:tcPr>
          <w:p>
            <w:pPr>
              <w:pStyle w:val="TableContents"/>
              <w:spacing w:before="0" w:after="0"/>
              <w:ind w:left="0" w:right="0" w:firstLine="200"/>
              <w:jc w:val="center"/>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3,766</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3,420</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1,370</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7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future annual minimum lease payments</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0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8,980</w:t>
            </w:r>
          </w:p>
        </w:tc>
        <w:tc>
          <w:tcPr>
            <w:tcW w:w="611" w:type="dxa"/>
            <w:tcBorders/>
            <w:shd w:fill="auto" w:val="cle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interest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7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8,636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95"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10. Other Long-Term Liabilities</w:t>
      </w:r>
    </w:p>
    <w:p>
      <w:pPr>
        <w:pStyle w:val="TextBody"/>
        <w:spacing w:before="120" w:after="0"/>
        <w:jc w:val="left"/>
        <w:rPr>
          <w:rFonts w:ascii="Times New Roman" w:hAnsi="Times New Roman"/>
          <w:sz w:val="20"/>
        </w:rPr>
      </w:pPr>
      <w:r>
        <w:rPr>
          <w:rFonts w:ascii="Times New Roman;serif" w:hAnsi="Times New Roman;serif"/>
          <w:b w:val="false"/>
          <w:sz w:val="20"/>
        </w:rPr>
        <w:t>Other long-term liabilities at January 31, 2023 and 2022 consisted of the following:</w:t>
      </w:r>
      <w:r>
        <w:rPr>
          <w:rFonts w:ascii="Times New Roman" w:hAnsi="Times New Roman"/>
          <w:sz w:val="20"/>
        </w:rPr>
        <w:t xml:space="preserve"> </w:t>
      </w:r>
    </w:p>
    <w:p>
      <w:pPr>
        <w:pStyle w:val="TextBody"/>
        <w:spacing w:before="0" w:after="0"/>
        <w:jc w:val="left"/>
        <w:rPr/>
      </w:pPr>
      <w:r>
        <w:rPr/>
        <w:t> </w:t>
      </w:r>
    </w:p>
    <w:tbl>
      <w:tblPr>
        <w:tblW w:w="6384" w:type="dxa"/>
        <w:jc w:val="left"/>
        <w:tblInd w:w="0" w:type="dxa"/>
        <w:tblCellMar>
          <w:top w:w="28" w:type="dxa"/>
          <w:left w:w="28" w:type="dxa"/>
          <w:bottom w:w="28" w:type="dxa"/>
          <w:right w:w="28" w:type="dxa"/>
        </w:tblCellMar>
      </w:tblPr>
      <w:tblGrid>
        <w:gridCol w:w="3781"/>
        <w:gridCol w:w="146"/>
        <w:gridCol w:w="211"/>
        <w:gridCol w:w="676"/>
        <w:gridCol w:w="146"/>
        <w:gridCol w:w="146"/>
        <w:gridCol w:w="211"/>
        <w:gridCol w:w="676"/>
        <w:gridCol w:w="391"/>
      </w:tblGrid>
      <w:tr>
        <w:trPr/>
        <w:tc>
          <w:tcPr>
            <w:tcW w:w="3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6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tax benefits, including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9,313</w:t>
            </w:r>
          </w:p>
        </w:tc>
        <w:tc>
          <w:tcPr>
            <w:tcW w:w="3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 non-current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3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 license liabilities, non-current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1,674</w:t>
            </w:r>
          </w:p>
        </w:tc>
        <w:tc>
          <w:tcPr>
            <w:tcW w:w="391" w:type="dxa"/>
            <w:tcBorders/>
            <w:shd w:fill="auto" w:val="clear"/>
            <w:vAlign w:val="center"/>
          </w:tcPr>
          <w:p>
            <w:pPr>
              <w:pStyle w:val="TableContents"/>
              <w:spacing w:before="0" w:after="0"/>
              <w:ind w:left="0" w:right="0" w:hanging="0"/>
              <w:jc w:val="left"/>
              <w:rPr/>
            </w:pPr>
            <w:r>
              <w:rPr/>
              <w:t> </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7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long-term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11. Capital Stock</w:t>
      </w:r>
    </w:p>
    <w:p>
      <w:pPr>
        <w:pStyle w:val="TextBody"/>
        <w:spacing w:before="120" w:after="0"/>
        <w:jc w:val="left"/>
        <w:rPr>
          <w:rFonts w:ascii="Times New Roman" w:hAnsi="Times New Roman"/>
          <w:sz w:val="20"/>
        </w:rPr>
      </w:pPr>
      <w:r>
        <w:rPr>
          <w:rFonts w:ascii="Times New Roman;serif" w:hAnsi="Times New Roman;serif"/>
          <w:b/>
          <w:i/>
          <w:sz w:val="20"/>
        </w:rPr>
        <w:t>Preference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the Company’s initial public offering, or IPO, a total of 20,000,000</w:t>
      </w:r>
      <w:r>
        <w:rPr>
          <w:rFonts w:ascii="Times New Roman" w:hAnsi="Times New Roman"/>
          <w:sz w:val="20"/>
        </w:rPr>
        <w:t xml:space="preserve"> </w:t>
      </w:r>
      <w:r>
        <w:rPr>
          <w:rFonts w:ascii="Times New Roman;serif" w:hAnsi="Times New Roman;serif"/>
          <w:b w:val="false"/>
          <w:sz w:val="20"/>
        </w:rPr>
        <w:t>preference shares, with a $0.00045</w:t>
      </w:r>
      <w:r>
        <w:rPr>
          <w:rFonts w:ascii="Times New Roman" w:hAnsi="Times New Roman"/>
          <w:sz w:val="20"/>
        </w:rPr>
        <w:t xml:space="preserve"> </w:t>
      </w:r>
      <w:r>
        <w:rPr>
          <w:rFonts w:ascii="Times New Roman;serif" w:hAnsi="Times New Roman;serif"/>
          <w:b w:val="false"/>
          <w:sz w:val="20"/>
        </w:rPr>
        <w:t>par value per share, were authorized. There were no</w:t>
      </w:r>
      <w:r>
        <w:rPr>
          <w:rFonts w:ascii="Times New Roman" w:hAnsi="Times New Roman"/>
          <w:sz w:val="20"/>
        </w:rPr>
        <w:t xml:space="preserve"> </w:t>
      </w:r>
      <w:r>
        <w:rPr>
          <w:rFonts w:ascii="Times New Roman;serif" w:hAnsi="Times New Roman;serif"/>
          <w:b w:val="false"/>
          <w:sz w:val="20"/>
        </w:rPr>
        <w:t>preference shares issued and outstanding as of January 31, 2023 and 2022, respectively.</w:t>
      </w:r>
    </w:p>
    <w:p>
      <w:pPr>
        <w:pStyle w:val="TextBody"/>
        <w:spacing w:before="120" w:after="0"/>
        <w:jc w:val="left"/>
        <w:rPr>
          <w:rFonts w:ascii="Times New Roman" w:hAnsi="Times New Roman"/>
          <w:sz w:val="20"/>
        </w:rPr>
      </w:pPr>
      <w:r>
        <w:rPr>
          <w:rFonts w:ascii="Times New Roman;serif" w:hAnsi="Times New Roman;serif"/>
          <w:b/>
          <w:i/>
          <w:sz w:val="20"/>
        </w:rPr>
        <w:t>Ordinary shares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January 31, 2023 and 2022, the following ordinary shares were reserved for future issuance under the Company’s equity plans and employee stock purchase plan:</w:t>
      </w:r>
    </w:p>
    <w:p>
      <w:pPr>
        <w:pStyle w:val="TextBody"/>
        <w:spacing w:before="0" w:after="0"/>
        <w:jc w:val="left"/>
        <w:rPr/>
      </w:pPr>
      <w:r>
        <w:rPr/>
        <w:t> </w:t>
      </w:r>
    </w:p>
    <w:tbl>
      <w:tblPr>
        <w:tblW w:w="10029" w:type="dxa"/>
        <w:jc w:val="left"/>
        <w:tblInd w:w="0" w:type="dxa"/>
        <w:tblCellMar>
          <w:top w:w="28" w:type="dxa"/>
          <w:left w:w="28" w:type="dxa"/>
          <w:bottom w:w="28" w:type="dxa"/>
          <w:right w:w="28" w:type="dxa"/>
        </w:tblCellMar>
      </w:tblPr>
      <w:tblGrid>
        <w:gridCol w:w="7246"/>
        <w:gridCol w:w="146"/>
        <w:gridCol w:w="146"/>
        <w:gridCol w:w="931"/>
        <w:gridCol w:w="146"/>
        <w:gridCol w:w="146"/>
        <w:gridCol w:w="146"/>
        <w:gridCol w:w="931"/>
        <w:gridCol w:w="191"/>
      </w:tblGrid>
      <w:tr>
        <w:trPr/>
        <w:tc>
          <w:tcPr>
            <w:tcW w:w="72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931" w:type="dxa"/>
            <w:tcBorders/>
            <w:shd w:fill="FFFFFF" w:val="clear"/>
            <w:vAlign w:val="center"/>
          </w:tcPr>
          <w:p>
            <w:pPr>
              <w:pStyle w:val="TableContents"/>
              <w:spacing w:before="0" w:after="283"/>
              <w:rPr>
                <w:sz w:val="4"/>
                <w:szCs w:val="4"/>
              </w:rPr>
            </w:pPr>
            <w:r>
              <w:rPr>
                <w:sz w:val="4"/>
                <w:szCs w:val="4"/>
              </w:rPr>
            </w:r>
          </w:p>
        </w:tc>
        <w:tc>
          <w:tcPr>
            <w:tcW w:w="191" w:type="dxa"/>
            <w:tcBorders/>
            <w:shd w:fill="FFFFFF" w:val="clear"/>
            <w:vAlign w:val="center"/>
          </w:tcPr>
          <w:p>
            <w:pPr>
              <w:pStyle w:val="TableContents"/>
              <w:spacing w:before="0" w:after="283"/>
              <w:rPr>
                <w:sz w:val="4"/>
                <w:szCs w:val="4"/>
              </w:rPr>
            </w:pPr>
            <w:r>
              <w:rPr>
                <w:sz w:val="4"/>
                <w:szCs w:val="4"/>
              </w:rPr>
            </w:r>
          </w:p>
        </w:tc>
      </w:tr>
      <w:tr>
        <w:trPr/>
        <w:tc>
          <w:tcPr>
            <w:tcW w:w="7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options, restricted stock and restricted stock units under equity plans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5,822,819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7,461,541</w:t>
            </w:r>
          </w:p>
        </w:tc>
        <w:tc>
          <w:tcPr>
            <w:tcW w:w="191" w:type="dxa"/>
            <w:tcBorders/>
            <w:shd w:fill="auto" w:val="clear"/>
            <w:vAlign w:val="center"/>
          </w:tcPr>
          <w:p>
            <w:pPr>
              <w:pStyle w:val="TableContents"/>
              <w:spacing w:before="0" w:after="0"/>
              <w:ind w:left="0" w:right="0" w:hanging="0"/>
              <w:jc w:val="left"/>
              <w:rPr/>
            </w:pPr>
            <w:r>
              <w:rPr/>
              <w:t> </w:t>
            </w:r>
          </w:p>
        </w:tc>
      </w:tr>
      <w:tr>
        <w:trPr/>
        <w:tc>
          <w:tcPr>
            <w:tcW w:w="72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reserved for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2,986,403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2,624,704</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serif" w:hAnsi="Times New Roman;serif"/>
          <w:b/>
          <w:i/>
          <w:sz w:val="20"/>
        </w:rPr>
      </w:pPr>
      <w:r>
        <w:rPr>
          <w:rFonts w:ascii="Times New Roman;serif" w:hAnsi="Times New Roman;serif"/>
          <w:b/>
          <w:i/>
          <w:sz w:val="20"/>
        </w:rPr>
        <w:t>Shares repurchased</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shares repurchased in fiscal years 2023 and 2022. On March 16, 2020, the Company repurchased a total of 25,719</w:t>
      </w:r>
      <w:r>
        <w:rPr>
          <w:rFonts w:ascii="Times New Roman" w:hAnsi="Times New Roman"/>
          <w:sz w:val="20"/>
        </w:rPr>
        <w:t xml:space="preserve"> </w:t>
      </w:r>
      <w:r>
        <w:rPr>
          <w:rFonts w:ascii="Times New Roman;serif" w:hAnsi="Times New Roman;serif"/>
          <w:b w:val="false"/>
          <w:sz w:val="20"/>
        </w:rPr>
        <w:t>of its ordinary shares for approximately $1.0</w:t>
      </w:r>
      <w:r>
        <w:rPr>
          <w:rFonts w:ascii="Times New Roman" w:hAnsi="Times New Roman"/>
          <w:sz w:val="20"/>
        </w:rPr>
        <w:t xml:space="preserve"> </w:t>
      </w:r>
      <w:r>
        <w:rPr>
          <w:rFonts w:ascii="Times New Roman;serif" w:hAnsi="Times New Roman;serif"/>
          <w:b w:val="false"/>
          <w:sz w:val="20"/>
        </w:rPr>
        <w:t>million in cash under an authorized repurchase program up to $50.0</w:t>
      </w:r>
      <w:r>
        <w:rPr>
          <w:rFonts w:ascii="Times New Roman" w:hAnsi="Times New Roman"/>
          <w:sz w:val="20"/>
        </w:rPr>
        <w:t xml:space="preserve"> </w:t>
      </w:r>
      <w:r>
        <w:rPr>
          <w:rFonts w:ascii="Times New Roman;serif" w:hAnsi="Times New Roman;serif"/>
          <w:b w:val="false"/>
          <w:sz w:val="20"/>
        </w:rPr>
        <w:t>million. The Company's Board of Directors has approved extensions of the repurchase program through June 30, 2023. As of January 31, 2023, there was approximately $49.0</w:t>
      </w:r>
      <w:r>
        <w:rPr>
          <w:rFonts w:ascii="Times New Roman" w:hAnsi="Times New Roman"/>
          <w:sz w:val="20"/>
        </w:rPr>
        <w:t xml:space="preserve"> </w:t>
      </w:r>
      <w:r>
        <w:rPr>
          <w:rFonts w:ascii="Times New Roman;serif" w:hAnsi="Times New Roman;serif"/>
          <w:b w:val="false"/>
          <w:sz w:val="20"/>
        </w:rPr>
        <w:t>million available for repurchases through June 30, 2023. Repurchases under the program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Repurchases are funded using working capital and any repurchased shares are recorded as authorized but unissued shares.</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12. Employee Benefits and 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401(k)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Company’s contribution expense for the fiscal years ended January 31, 2023 and 2022 was approximately $0.8</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The Company did not make any matching contributions prior to fiscal year 2022.</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Stock OptioPlans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2012 Equity Incentive Plan.</w:t>
      </w:r>
      <w:r>
        <w:rPr>
          <w:rFonts w:ascii="Times New Roman" w:hAnsi="Times New Roman"/>
          <w:sz w:val="20"/>
        </w:rPr>
        <w:t xml:space="preserve"> </w:t>
      </w:r>
      <w:r>
        <w:rPr>
          <w:rFonts w:ascii="Times New Roman;serif" w:hAnsi="Times New Roman;serif"/>
          <w:b w:val="false"/>
          <w:sz w:val="20"/>
        </w:rPr>
        <w:t>The 2012 Equity Incentive Plan, or 2012 EIP, permits the grant of ISOs, within the meaning of Section 422 of the Code, to employees of the Company and any of the Company’s subsidiary corporations, and the grant of NSOs, stock appreciation rights, restricted stock, restricted stock units, performance units, performance shares, deferred stock units and dividend equivalents to employees, directors and consultants of the Company and any of the Company’s subsidiary corporations’ employees and consultants.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2021 Equity Incentive Plan.</w:t>
      </w:r>
      <w:r>
        <w:rPr>
          <w:rFonts w:ascii="Times New Roman" w:hAnsi="Times New Roman"/>
          <w:sz w:val="20"/>
        </w:rPr>
        <w:t xml:space="preserve"> </w:t>
      </w:r>
      <w:r>
        <w:rPr>
          <w:rFonts w:ascii="Times New Roman;serif" w:hAnsi="Times New Roman;serif"/>
          <w:b w:val="false"/>
          <w:sz w:val="20"/>
        </w:rPr>
        <w:t>In June 2021, the Company’s shareholders approved the 2021 Equity Incentive Plan, or 2021 EIP. The 2021 EIP permits the grant of ISOs, within the meaning of Section 422 of the Code, to employees of the Company and any of the Company’s subsidiary or parent corporations, and the grant of NSOs, stock appreciation rights, restricted stock, restricted stock units, and performance awards to employees, directors and consultants of the Company and any of the Company’s subsidiary or parent corporations’ employees and consultants. Upon adoption of the 2021 EIP, the total number of ordinary shares of the Company reserved for issuance under the 2021 Plan was equal to, subject to adjustments upon changes in capitalization as provided under the 2021 EIP, 1,350,000</w:t>
      </w:r>
      <w:r>
        <w:rPr>
          <w:rFonts w:ascii="Times New Roman" w:hAnsi="Times New Roman"/>
          <w:sz w:val="20"/>
        </w:rPr>
        <w:t xml:space="preserve"> </w:t>
      </w:r>
      <w:r>
        <w:rPr>
          <w:rFonts w:ascii="Times New Roman;serif" w:hAnsi="Times New Roman;serif"/>
          <w:b w:val="false"/>
          <w:sz w:val="20"/>
        </w:rPr>
        <w:t>ordinary shares, plus (i) any ordinary shares subject to outstanding awards granted under the 2012 EIP, that, after the date the 2012 EIP is terminated, are cancelled, expire or otherwise terminate without having been exercised in full or are forfeited to or repurchased by the Company due to failure to vest, and (ii) any ordinary shares that, as of immediately prior to the termination of the 2012 EIP, were available for grant under the 2012 EIP, up to a maximum of 6,834,208</w:t>
      </w:r>
      <w:r>
        <w:rPr>
          <w:rFonts w:ascii="Times New Roman" w:hAnsi="Times New Roman"/>
          <w:sz w:val="20"/>
        </w:rPr>
        <w:t xml:space="preserve"> </w:t>
      </w:r>
      <w:r>
        <w:rPr>
          <w:rFonts w:ascii="Times New Roman;serif" w:hAnsi="Times New Roman;serif"/>
          <w:b w:val="false"/>
          <w:sz w:val="20"/>
        </w:rPr>
        <w:t>ordinary shares pursuant to clauses (i) and (ii).</w:t>
      </w:r>
    </w:p>
    <w:p>
      <w:pPr>
        <w:pStyle w:val="TextBody"/>
        <w:spacing w:before="240" w:after="0"/>
        <w:jc w:val="left"/>
        <w:rPr>
          <w:rFonts w:ascii="Times New Roman" w:hAnsi="Times New Roman"/>
          <w:sz w:val="20"/>
        </w:rPr>
      </w:pPr>
      <w:r>
        <w:rPr>
          <w:rFonts w:ascii="Times New Roman;serif" w:hAnsi="Times New Roman;serif"/>
          <w:b w:val="false"/>
          <w:sz w:val="20"/>
        </w:rPr>
        <w:t>In the first quarter of fiscal year 2022, the Company added 1,599,634</w:t>
      </w:r>
      <w:r>
        <w:rPr>
          <w:rFonts w:ascii="Times New Roman" w:hAnsi="Times New Roman"/>
          <w:sz w:val="20"/>
        </w:rPr>
        <w:t xml:space="preserve"> </w:t>
      </w:r>
      <w:r>
        <w:rPr>
          <w:rFonts w:ascii="Times New Roman;serif" w:hAnsi="Times New Roman;serif"/>
          <w:b w:val="false"/>
          <w:sz w:val="20"/>
        </w:rPr>
        <w:t>shares to the ordinary shares reserved for issuance, pursuant to an “evergreen” provision contained in the 2012 EIP. Upon the approval of the 2021 EIP, the 2012 EIP was terminated. No</w:t>
      </w:r>
      <w:r>
        <w:rPr>
          <w:rFonts w:ascii="Times New Roman" w:hAnsi="Times New Roman"/>
          <w:sz w:val="20"/>
        </w:rPr>
        <w:t xml:space="preserve"> </w:t>
      </w:r>
      <w:r>
        <w:rPr>
          <w:rFonts w:ascii="Times New Roman;serif" w:hAnsi="Times New Roman;serif"/>
          <w:b w:val="false"/>
          <w:sz w:val="20"/>
        </w:rPr>
        <w:t>additional awards will be granted under the 2012 EIP and any shares that were reserved but not issued under the 2012 EIP became available for future grant or sale under the 2021 EIP. However, all outstanding stock options and other awards previously granted under the 2012 EIP will remain subject to the terms of the 2012 EIP.</w:t>
      </w:r>
    </w:p>
    <w:p>
      <w:pPr>
        <w:pStyle w:val="TextBody"/>
        <w:spacing w:before="240" w:after="0"/>
        <w:jc w:val="left"/>
        <w:rPr>
          <w:rFonts w:ascii="Times New Roman" w:hAnsi="Times New Roman"/>
          <w:sz w:val="20"/>
        </w:rPr>
      </w:pPr>
      <w:r>
        <w:rPr>
          <w:rFonts w:ascii="Times New Roman;serif" w:hAnsi="Times New Roman;serif"/>
          <w:b/>
          <w:i/>
          <w:sz w:val="20"/>
        </w:rPr>
        <w:t>Oculii Corp. 2017 Stock Option Plan.</w:t>
      </w:r>
      <w:r>
        <w:rPr>
          <w:rFonts w:ascii="Times New Roman" w:hAnsi="Times New Roman"/>
          <w:sz w:val="20"/>
        </w:rPr>
        <w:t xml:space="preserve"> </w:t>
      </w:r>
      <w:r>
        <w:rPr>
          <w:rFonts w:ascii="Times New Roman;serif" w:hAnsi="Times New Roman;serif"/>
          <w:b w:val="false"/>
          <w:sz w:val="20"/>
        </w:rPr>
        <w:t>In November 2021, the Company assumed the Oculii Corp. 2017 Stock Option Plan, or 2017 Plan, as part of the acquisition of Oculii. No</w:t>
      </w:r>
      <w:r>
        <w:rPr>
          <w:rFonts w:ascii="Times New Roman" w:hAnsi="Times New Roman"/>
          <w:sz w:val="20"/>
        </w:rPr>
        <w:t xml:space="preserve"> </w:t>
      </w:r>
      <w:r>
        <w:rPr>
          <w:rFonts w:ascii="Times New Roman;serif" w:hAnsi="Times New Roman;serif"/>
          <w:b w:val="false"/>
          <w:sz w:val="20"/>
        </w:rPr>
        <w:t>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pStyle w:val="TextBody"/>
        <w:spacing w:before="240" w:after="0"/>
        <w:jc w:val="left"/>
        <w:rPr>
          <w:rFonts w:ascii="Times New Roman" w:hAnsi="Times New Roman"/>
          <w:sz w:val="20"/>
        </w:rPr>
      </w:pPr>
      <w:r>
        <w:rPr>
          <w:rFonts w:ascii="Times New Roman;serif" w:hAnsi="Times New Roman;serif"/>
          <w:b w:val="false"/>
          <w:sz w:val="20"/>
        </w:rPr>
        <w:t>The exercise price of ISOs granted to a holder of more than 10% of the voting power of all classes of the Company’s shares shall be no less than 110% of fair market value on the grant date. The exercise price of ISOs granted to other employees and NSOs shall be no less than 100% of fair market value on the grant date. Options granted under the Plan have a term of up to 10</w:t>
      </w:r>
      <w:r>
        <w:rPr>
          <w:rFonts w:ascii="Times New Roman" w:hAnsi="Times New Roman"/>
          <w:sz w:val="20"/>
        </w:rPr>
        <w:t xml:space="preserve"> </w:t>
      </w:r>
      <w:r>
        <w:rPr>
          <w:rFonts w:ascii="Times New Roman;serif" w:hAnsi="Times New Roman;serif"/>
          <w:b w:val="false"/>
          <w:sz w:val="20"/>
        </w:rPr>
        <w:t>years from grant date. Options granted to new employees generally vest 25% on the first anniversary service date of the grant and the remainder vest ratably over the following 36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Vesting schedules for other service condition, market condition or performance condition awards vary and are subject to approval by the Board of Directors; provided that the performance condition associated awards shall not vest at all until the performance conditions are achieved and are subject to the award’s holders continuing to provide services to the Company through such vesting dates. The performance condition awards are automatically forfeited in their entirety, without any cost to or action by the Company, if there has been no achievement of the performance. The holders of restricted stock have voting power and other rights with respect to such shares, provided, however, that such shares are held in escrow and subject to forfeiture until the shares vested.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i/>
          <w:sz w:val="20"/>
        </w:rPr>
        <w:t>Amended and Restated</w:t>
      </w:r>
      <w:r>
        <w:rPr>
          <w:rFonts w:ascii="Times New Roman" w:hAnsi="Times New Roman"/>
          <w:sz w:val="20"/>
        </w:rPr>
        <w:t xml:space="preserve"> </w:t>
      </w:r>
      <w:r>
        <w:rPr>
          <w:rFonts w:ascii="Times New Roman;serif" w:hAnsi="Times New Roman;serif"/>
          <w:b/>
          <w:i/>
          <w:sz w:val="20"/>
        </w:rPr>
        <w:t>2012 Employee Stock Purchase Plan.</w:t>
      </w:r>
      <w:r>
        <w:rPr>
          <w:rFonts w:ascii="Times New Roman" w:hAnsi="Times New Roman"/>
          <w:sz w:val="20"/>
        </w:rPr>
        <w:t xml:space="preserve"> </w:t>
      </w:r>
      <w:r>
        <w:rPr>
          <w:rFonts w:ascii="Times New Roman;serif" w:hAnsi="Times New Roman;serif"/>
          <w:b w:val="false"/>
          <w:sz w:val="20"/>
        </w:rPr>
        <w:t>The Amended and Restated 2012 Employee Stock Purchase Plan, or ESPP, permits 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the first quarter of fiscal year 2023 and 2022, the Company added 466,285</w:t>
      </w:r>
      <w:r>
        <w:rPr>
          <w:rFonts w:ascii="Times New Roman" w:hAnsi="Times New Roman"/>
          <w:sz w:val="20"/>
        </w:rPr>
        <w:t xml:space="preserve"> </w:t>
      </w:r>
      <w:r>
        <w:rPr>
          <w:rFonts w:ascii="Times New Roman;serif" w:hAnsi="Times New Roman;serif"/>
          <w:b w:val="false"/>
          <w:sz w:val="20"/>
        </w:rPr>
        <w:t>and 444,343</w:t>
      </w:r>
      <w:r>
        <w:rPr>
          <w:rFonts w:ascii="Times New Roman" w:hAnsi="Times New Roman"/>
          <w:sz w:val="20"/>
        </w:rPr>
        <w:t xml:space="preserve"> </w:t>
      </w:r>
      <w:r>
        <w:rPr>
          <w:rFonts w:ascii="Times New Roman;serif" w:hAnsi="Times New Roman;serif"/>
          <w:b w:val="false"/>
          <w:sz w:val="20"/>
        </w:rPr>
        <w:t>shares, respectively,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w:t>
      </w:r>
      <w:r>
        <w:rPr>
          <w:rFonts w:ascii="Times New Roman" w:hAnsi="Times New Roman"/>
          <w:sz w:val="20"/>
        </w:rPr>
        <w:t xml:space="preserve"> </w:t>
      </w:r>
      <w:r>
        <w:rPr>
          <w:rFonts w:ascii="Times New Roman;serif" w:hAnsi="Times New Roman;serif"/>
          <w:b w:val="false"/>
          <w:sz w:val="20"/>
        </w:rPr>
        <w:t>ordinary shares, (ii) one and one quarter percent (1.25%) of the aggregate number of ordinary shares outstanding on such date, or (iii) an amount determined by the Company’s Board of Directors or a duly authorized committee of the Board of Directors.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the classification of stock-based compensation for the periods indicated:</w:t>
      </w:r>
    </w:p>
    <w:p>
      <w:pPr>
        <w:pStyle w:val="TextBody"/>
        <w:spacing w:before="0" w:after="0"/>
        <w:jc w:val="left"/>
        <w:rPr/>
      </w:pPr>
      <w:r>
        <w:rPr/>
        <w:t> </w:t>
      </w:r>
    </w:p>
    <w:tbl>
      <w:tblPr>
        <w:tblW w:w="6843" w:type="dxa"/>
        <w:jc w:val="left"/>
        <w:tblInd w:w="0" w:type="dxa"/>
        <w:tblCellMar>
          <w:top w:w="28" w:type="dxa"/>
          <w:left w:w="28" w:type="dxa"/>
          <w:bottom w:w="28" w:type="dxa"/>
          <w:right w:w="28" w:type="dxa"/>
        </w:tblCellMar>
      </w:tblPr>
      <w:tblGrid>
        <w:gridCol w:w="2956"/>
        <w:gridCol w:w="146"/>
        <w:gridCol w:w="211"/>
        <w:gridCol w:w="781"/>
        <w:gridCol w:w="146"/>
        <w:gridCol w:w="146"/>
        <w:gridCol w:w="211"/>
        <w:gridCol w:w="676"/>
        <w:gridCol w:w="146"/>
        <w:gridCol w:w="146"/>
        <w:gridCol w:w="211"/>
        <w:gridCol w:w="676"/>
        <w:gridCol w:w="391"/>
      </w:tblGrid>
      <w:tr>
        <w:trPr/>
        <w:tc>
          <w:tcPr>
            <w:tcW w:w="295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76"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1,328</w:t>
            </w:r>
          </w:p>
        </w:tc>
        <w:tc>
          <w:tcPr>
            <w:tcW w:w="39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42,903</w:t>
            </w:r>
          </w:p>
        </w:tc>
        <w:tc>
          <w:tcPr>
            <w:tcW w:w="391" w:type="dxa"/>
            <w:tcBorders/>
            <w:shd w:fill="auto" w:val="clear"/>
            <w:vAlign w:val="center"/>
          </w:tcPr>
          <w:p>
            <w:pPr>
              <w:pStyle w:val="TableContents"/>
              <w:spacing w:before="0" w:after="0"/>
              <w:ind w:left="0" w:right="0" w:firstLine="200"/>
              <w:jc w:val="left"/>
              <w:rPr/>
            </w:pPr>
            <w:r>
              <w:rPr/>
              <w:t> </w:t>
            </w:r>
          </w:p>
        </w:tc>
      </w:tr>
      <w:tr>
        <w:trPr/>
        <w:tc>
          <w:tcPr>
            <w:tcW w:w="29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111,158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87,801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70,134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January 31, 2023 and 2022, approximately $4.6</w:t>
      </w:r>
      <w:r>
        <w:rPr>
          <w:rFonts w:ascii="Times New Roman" w:hAnsi="Times New Roman"/>
          <w:sz w:val="20"/>
        </w:rPr>
        <w:t xml:space="preserve"> </w:t>
      </w:r>
      <w:r>
        <w:rPr>
          <w:rFonts w:ascii="Times New Roman;serif" w:hAnsi="Times New Roman;serif"/>
          <w:b w:val="false"/>
          <w:sz w:val="20"/>
        </w:rPr>
        <w:t>million and $7.8</w:t>
      </w:r>
      <w:r>
        <w:rPr>
          <w:rFonts w:ascii="Times New Roman" w:hAnsi="Times New Roman"/>
          <w:sz w:val="20"/>
        </w:rPr>
        <w:t xml:space="preserve"> </w:t>
      </w:r>
      <w:r>
        <w:rPr>
          <w:rFonts w:ascii="Times New Roman;serif" w:hAnsi="Times New Roman;serif"/>
          <w:b w:val="false"/>
          <w:sz w:val="20"/>
        </w:rPr>
        <w:t>million of stock-based compensation expense, respectively, was accrued in accrued and other current liabilities in the consolidated balance sheets. Total unrecognized compensation cost related to unvested stock options at January 31, 2023 was $15.9</w:t>
      </w:r>
      <w:r>
        <w:rPr>
          <w:rFonts w:ascii="Times New Roman" w:hAnsi="Times New Roman"/>
          <w:sz w:val="20"/>
        </w:rPr>
        <w:t xml:space="preserve"> </w:t>
      </w:r>
      <w:r>
        <w:rPr>
          <w:rFonts w:ascii="Times New Roman;serif" w:hAnsi="Times New Roman;serif"/>
          <w:b w:val="false"/>
          <w:sz w:val="20"/>
        </w:rPr>
        <w:t>million and is expected to be recognized over a weighted-average period of 1.85</w:t>
      </w:r>
      <w:r>
        <w:rPr>
          <w:rFonts w:ascii="Times New Roman" w:hAnsi="Times New Roman"/>
          <w:sz w:val="20"/>
        </w:rPr>
        <w:t xml:space="preserve"> </w:t>
      </w:r>
      <w:r>
        <w:rPr>
          <w:rFonts w:ascii="Times New Roman;serif" w:hAnsi="Times New Roman;serif"/>
          <w:b w:val="false"/>
          <w:sz w:val="20"/>
        </w:rPr>
        <w:t>years. Total unrecognized compensation cost related to unvested restricted stock units was $189.7</w:t>
      </w:r>
      <w:r>
        <w:rPr>
          <w:rFonts w:ascii="Times New Roman" w:hAnsi="Times New Roman"/>
          <w:sz w:val="20"/>
        </w:rPr>
        <w:t xml:space="preserve"> </w:t>
      </w:r>
      <w:r>
        <w:rPr>
          <w:rFonts w:ascii="Times New Roman;serif" w:hAnsi="Times New Roman;serif"/>
          <w:b w:val="false"/>
          <w:sz w:val="20"/>
        </w:rPr>
        <w:t>million and is expected to be recognized over a weighted-average period of 2.41</w:t>
      </w:r>
      <w:r>
        <w:rPr>
          <w:rFonts w:ascii="Times New Roman" w:hAnsi="Times New Roman"/>
          <w:sz w:val="20"/>
        </w:rPr>
        <w:t xml:space="preserve"> </w:t>
      </w:r>
      <w:r>
        <w:rPr>
          <w:rFonts w:ascii="Times New Roman;serif" w:hAnsi="Times New Roman;serif"/>
          <w:b w:val="false"/>
          <w:sz w:val="20"/>
        </w:rPr>
        <w:t>years. In April 2022, the Company’s Compensation Committee of the Board of Directors approved the acceleration of vesting of 35,703</w:t>
      </w:r>
      <w:r>
        <w:rPr>
          <w:rFonts w:ascii="Times New Roman" w:hAnsi="Times New Roman"/>
          <w:sz w:val="20"/>
        </w:rPr>
        <w:t xml:space="preserve"> </w:t>
      </w:r>
      <w:r>
        <w:rPr>
          <w:rFonts w:ascii="Times New Roman;serif" w:hAnsi="Times New Roman;serif"/>
          <w:b w:val="false"/>
          <w:sz w:val="20"/>
        </w:rPr>
        <w:t>shares of unvested equity awards associated with the departure of Mr. Casey Eichler, who was the Company’s Chief Financial Officer until March 2022. As a result, there was approximately $1.7</w:t>
      </w:r>
      <w:r>
        <w:rPr>
          <w:rFonts w:ascii="Times New Roman" w:hAnsi="Times New Roman"/>
          <w:sz w:val="20"/>
        </w:rPr>
        <w:t xml:space="preserve"> </w:t>
      </w:r>
      <w:r>
        <w:rPr>
          <w:rFonts w:ascii="Times New Roman;serif" w:hAnsi="Times New Roman;serif"/>
          <w:b w:val="false"/>
          <w:sz w:val="20"/>
        </w:rPr>
        <w:t>million of additional stock-based compensation expense, net recognized in fiscal year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sets forth the weighted-average assumptions used to estimate the fair value of stock options and employee stock purchase plan awards for the periods indicated:</w:t>
      </w:r>
      <w:r>
        <w:rPr>
          <w:rFonts w:ascii="Times New Roman" w:hAnsi="Times New Roman"/>
          <w:sz w:val="20"/>
        </w:rPr>
        <w:t xml:space="preserve"> </w:t>
      </w:r>
    </w:p>
    <w:p>
      <w:pPr>
        <w:pStyle w:val="TextBody"/>
        <w:spacing w:before="0" w:after="0"/>
        <w:jc w:val="left"/>
        <w:rPr/>
      </w:pPr>
      <w:r>
        <w:rPr/>
        <w:t> </w:t>
      </w:r>
    </w:p>
    <w:tbl>
      <w:tblPr>
        <w:tblW w:w="6588" w:type="dxa"/>
        <w:jc w:val="left"/>
        <w:tblInd w:w="0" w:type="dxa"/>
        <w:tblCellMar>
          <w:top w:w="28" w:type="dxa"/>
          <w:left w:w="28" w:type="dxa"/>
          <w:bottom w:w="28" w:type="dxa"/>
          <w:right w:w="28" w:type="dxa"/>
        </w:tblCellMar>
      </w:tblPr>
      <w:tblGrid>
        <w:gridCol w:w="3256"/>
        <w:gridCol w:w="146"/>
        <w:gridCol w:w="146"/>
        <w:gridCol w:w="466"/>
        <w:gridCol w:w="271"/>
        <w:gridCol w:w="146"/>
        <w:gridCol w:w="146"/>
        <w:gridCol w:w="466"/>
        <w:gridCol w:w="271"/>
        <w:gridCol w:w="146"/>
        <w:gridCol w:w="146"/>
        <w:gridCol w:w="466"/>
        <w:gridCol w:w="516"/>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7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516" w:type="dxa"/>
            <w:tcBorders/>
            <w:shd w:fill="auto" w:val="clear"/>
            <w:vAlign w:val="center"/>
          </w:tcPr>
          <w:p>
            <w:pPr>
              <w:pStyle w:val="TableContents"/>
              <w:spacing w:before="0" w:after="0"/>
              <w:ind w:left="0" w:right="0" w:firstLine="200"/>
              <w:jc w:val="left"/>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 awards:</w:t>
            </w:r>
          </w:p>
        </w:tc>
        <w:tc>
          <w:tcPr>
            <w:tcW w:w="146" w:type="dxa"/>
            <w:tcBorders/>
            <w:shd w:fill="auto" w:val="clear"/>
            <w:vAlign w:val="center"/>
          </w:tcPr>
          <w:p>
            <w:pPr>
              <w:pStyle w:val="TableContents"/>
              <w:spacing w:before="0" w:after="0"/>
              <w:ind w:left="0" w:right="0" w:hanging="0"/>
              <w:jc w:val="lef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0.21</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516" w:type="dxa"/>
            <w:tcBorders/>
            <w:shd w:fill="auto" w:val="clear"/>
            <w:vAlign w:val="center"/>
          </w:tcPr>
          <w:p>
            <w:pPr>
              <w:pStyle w:val="TableContents"/>
              <w:spacing w:before="0" w:after="0"/>
              <w:ind w:left="0" w:right="0" w:firstLine="200"/>
              <w:jc w:val="left"/>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table summarizes stock option activities for the periods indicated: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tbl>
      <w:tblPr>
        <w:tblW w:w="10240" w:type="dxa"/>
        <w:jc w:val="left"/>
        <w:tblInd w:w="0" w:type="dxa"/>
        <w:tblCellMar>
          <w:top w:w="28" w:type="dxa"/>
          <w:left w:w="28" w:type="dxa"/>
          <w:bottom w:w="28" w:type="dxa"/>
          <w:right w:w="28" w:type="dxa"/>
        </w:tblCellMar>
      </w:tblPr>
      <w:tblGrid>
        <w:gridCol w:w="1126"/>
        <w:gridCol w:w="146"/>
        <w:gridCol w:w="146"/>
        <w:gridCol w:w="931"/>
        <w:gridCol w:w="166"/>
        <w:gridCol w:w="146"/>
        <w:gridCol w:w="211"/>
        <w:gridCol w:w="676"/>
        <w:gridCol w:w="146"/>
        <w:gridCol w:w="146"/>
        <w:gridCol w:w="250"/>
        <w:gridCol w:w="681"/>
        <w:gridCol w:w="146"/>
        <w:gridCol w:w="146"/>
        <w:gridCol w:w="307"/>
        <w:gridCol w:w="984"/>
        <w:gridCol w:w="146"/>
        <w:gridCol w:w="146"/>
        <w:gridCol w:w="211"/>
        <w:gridCol w:w="676"/>
        <w:gridCol w:w="146"/>
        <w:gridCol w:w="146"/>
        <w:gridCol w:w="991"/>
        <w:gridCol w:w="146"/>
        <w:gridCol w:w="211"/>
        <w:gridCol w:w="676"/>
        <w:gridCol w:w="391"/>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77" w:type="dxa"/>
            <w:gridSpan w:val="2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 Outstanding</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Total</w:t>
            </w:r>
            <w:r>
              <w:rPr>
                <w:rFonts w:ascii="Times New Roman" w:hAnsi="Times New Roman"/>
                <w:sz w:val="16"/>
              </w:rPr>
              <w:t xml:space="preserve"> </w:t>
            </w:r>
            <w:r>
              <w:rPr>
                <w:rFonts w:ascii="Times New Roman;serif" w:hAnsi="Times New Roman;serif"/>
                <w:b/>
                <w:sz w:val="16"/>
              </w:rPr>
              <w:t>Intrinsic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3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options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3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Acquisition-date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Exercised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Term</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391" w:type="dxa"/>
            <w:tcBorders/>
            <w:shd w:fill="auto" w:val="cle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Exercise</w:t>
            </w:r>
            <w:r>
              <w:rPr>
                <w:rFonts w:ascii="Times New Roman" w:hAnsi="Times New Roman"/>
                <w:sz w:val="16"/>
              </w:rPr>
              <w:t xml:space="preserve"> </w:t>
            </w:r>
            <w:r>
              <w:rPr>
                <w:rFonts w:ascii="Times New Roman;serif" w:hAnsi="Times New Roman;serif"/>
                <w:b/>
                <w:sz w:val="16"/>
              </w:rP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1,124,646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(421,736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719,143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Assumed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163,581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(269,287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619,322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1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January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484,791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23,346</w:t>
            </w:r>
          </w:p>
        </w:tc>
        <w:tc>
          <w:tcPr>
            <w:tcW w:w="391" w:type="dxa"/>
            <w:tcBorders/>
            <w:shd w:fill="auto" w:val="clear"/>
            <w:vAlign w:val="center"/>
          </w:tcPr>
          <w:p>
            <w:pPr>
              <w:pStyle w:val="TableContents"/>
              <w:spacing w:before="0" w:after="0"/>
              <w:ind w:left="0" w:right="0" w:hanging="0"/>
              <w:jc w:val="left"/>
              <w:rPr/>
            </w:pPr>
            <w:r>
              <w:rPr/>
              <w:t> </w:t>
            </w:r>
          </w:p>
        </w:tc>
      </w:tr>
      <w:tr>
        <w:trPr/>
        <w:tc>
          <w:tcPr>
            <w:tcW w:w="11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at January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16,927</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intrinsic value of options outstanding and exercisable is calculated based on the difference between the fair market value of the Company’s ordinary shares on the reporting date and the exercise price. The closing price of the Company’s stock was $89.84</w:t>
      </w:r>
      <w:r>
        <w:rPr>
          <w:rFonts w:ascii="Times New Roman" w:hAnsi="Times New Roman"/>
          <w:sz w:val="20"/>
        </w:rPr>
        <w:t xml:space="preserve"> </w:t>
      </w:r>
      <w:r>
        <w:rPr>
          <w:rFonts w:ascii="Times New Roman;serif" w:hAnsi="Times New Roman;serif"/>
          <w:b w:val="false"/>
          <w:sz w:val="20"/>
        </w:rPr>
        <w:t>on January 31, 2023, as reported by The NASDAQ Global Market. The intrinsic value of exercised options is calculated based on the difference between the fair market value of the Company’s stock on the exercise date and the exercise price.</w:t>
      </w:r>
    </w:p>
    <w:p>
      <w:pPr>
        <w:pStyle w:val="TextBody"/>
        <w:spacing w:before="240" w:after="0"/>
        <w:jc w:val="left"/>
        <w:rPr>
          <w:rFonts w:ascii="Times New Roman" w:hAnsi="Times New Roman"/>
          <w:sz w:val="20"/>
        </w:rPr>
      </w:pPr>
      <w:r>
        <w:rPr>
          <w:rFonts w:ascii="Times New Roman;serif" w:hAnsi="Times New Roman;serif"/>
          <w:b w:val="false"/>
          <w:sz w:val="20"/>
        </w:rPr>
        <w:t>The following table summarizes restricted stock unit activities for the periods indicated:</w:t>
      </w:r>
      <w:r>
        <w:rPr>
          <w:rFonts w:ascii="Times New Roman" w:hAnsi="Times New Roman"/>
          <w:sz w:val="20"/>
        </w:rPr>
        <w:t xml:space="preserve"> </w:t>
      </w:r>
    </w:p>
    <w:p>
      <w:pPr>
        <w:pStyle w:val="TextBody"/>
        <w:spacing w:before="0" w:after="0"/>
        <w:jc w:val="left"/>
        <w:rPr/>
      </w:pPr>
      <w:r>
        <w:rPr/>
        <w:t> </w:t>
      </w:r>
    </w:p>
    <w:tbl>
      <w:tblPr>
        <w:tblW w:w="5468" w:type="dxa"/>
        <w:jc w:val="left"/>
        <w:tblInd w:w="0" w:type="dxa"/>
        <w:tblCellMar>
          <w:top w:w="28" w:type="dxa"/>
          <w:left w:w="28" w:type="dxa"/>
          <w:bottom w:w="28" w:type="dxa"/>
          <w:right w:w="28" w:type="dxa"/>
        </w:tblCellMar>
      </w:tblPr>
      <w:tblGrid>
        <w:gridCol w:w="2521"/>
        <w:gridCol w:w="146"/>
        <w:gridCol w:w="146"/>
        <w:gridCol w:w="991"/>
        <w:gridCol w:w="166"/>
        <w:gridCol w:w="146"/>
        <w:gridCol w:w="228"/>
        <w:gridCol w:w="733"/>
        <w:gridCol w:w="3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Grant-Date</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31, 2020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2,617,266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50.30</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1,499,203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53.45</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(1,162,883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50.53</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54.48</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2,871,801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51.73</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1,213,257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128.80</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(1,367,309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53.85</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71.59</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2,651,135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85.41</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1,549,174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74.45</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(1,513,972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71.32</w:t>
            </w:r>
          </w:p>
        </w:tc>
        <w:tc>
          <w:tcPr>
            <w:tcW w:w="391" w:type="dxa"/>
            <w:tcBorders/>
            <w:shd w:fill="auto" w:val="cle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(112,978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pPr>
            <w:r>
              <w:rPr/>
              <w:t> </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99.46</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at January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2,573,359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86.81</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Total fair value as of the respective vesting dates of restricted stock units vested for the fiscal years ended January 31, 2023, 2022 and 2021 was approximately $122.0</w:t>
      </w:r>
      <w:r>
        <w:rPr>
          <w:rFonts w:ascii="Times New Roman" w:hAnsi="Times New Roman"/>
          <w:sz w:val="20"/>
        </w:rPr>
        <w:t xml:space="preserve"> </w:t>
      </w:r>
      <w:r>
        <w:rPr>
          <w:rFonts w:ascii="Times New Roman;serif" w:hAnsi="Times New Roman;serif"/>
          <w:b w:val="false"/>
          <w:sz w:val="20"/>
        </w:rPr>
        <w:t>million, $192.5</w:t>
      </w:r>
      <w:r>
        <w:rPr>
          <w:rFonts w:ascii="Times New Roman" w:hAnsi="Times New Roman"/>
          <w:sz w:val="20"/>
        </w:rPr>
        <w:t xml:space="preserve"> </w:t>
      </w:r>
      <w:r>
        <w:rPr>
          <w:rFonts w:ascii="Times New Roman;serif" w:hAnsi="Times New Roman;serif"/>
          <w:b w:val="false"/>
          <w:sz w:val="20"/>
        </w:rPr>
        <w:t>million, and $69.0</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r>
        <w:rPr>
          <w:rFonts w:ascii="Times New Roman;serif" w:hAnsi="Times New Roman;serif"/>
          <w:b w:val="false"/>
          <w:sz w:val="20"/>
        </w:rPr>
        <w:t>As of January 31, 2023, the aggregate intrinsic value of unvested restricted stock units was $231.2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13. Net Loss Per Ordinary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computation of basic and diluted net loss per ordinary share for the periods indicated:</w:t>
      </w:r>
      <w:r>
        <w:rPr>
          <w:rFonts w:ascii="Times New Roman" w:hAnsi="Times New Roman"/>
          <w:sz w:val="20"/>
        </w:rPr>
        <w:t xml:space="preserve"> </w:t>
      </w:r>
    </w:p>
    <w:p>
      <w:pPr>
        <w:pStyle w:val="TextBody"/>
        <w:spacing w:before="0" w:after="0"/>
        <w:jc w:val="left"/>
        <w:rPr/>
      </w:pPr>
      <w:r>
        <w:rPr/>
        <w:t> </w:t>
      </w:r>
    </w:p>
    <w:tbl>
      <w:tblPr>
        <w:tblW w:w="8538" w:type="dxa"/>
        <w:jc w:val="left"/>
        <w:tblInd w:w="0" w:type="dxa"/>
        <w:tblCellMar>
          <w:top w:w="28" w:type="dxa"/>
          <w:left w:w="28" w:type="dxa"/>
          <w:bottom w:w="28" w:type="dxa"/>
          <w:right w:w="28" w:type="dxa"/>
        </w:tblCellMar>
      </w:tblPr>
      <w:tblGrid>
        <w:gridCol w:w="3616"/>
        <w:gridCol w:w="146"/>
        <w:gridCol w:w="211"/>
        <w:gridCol w:w="1036"/>
        <w:gridCol w:w="166"/>
        <w:gridCol w:w="146"/>
        <w:gridCol w:w="211"/>
        <w:gridCol w:w="1036"/>
        <w:gridCol w:w="166"/>
        <w:gridCol w:w="146"/>
        <w:gridCol w:w="211"/>
        <w:gridCol w:w="1036"/>
        <w:gridCol w:w="41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share and per share data)</w:t>
            </w:r>
          </w:p>
        </w:tc>
        <w:tc>
          <w:tcPr>
            <w:tcW w:w="411" w:type="dxa"/>
            <w:tcBorders/>
            <w:shd w:fill="auto" w:val="cle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(59,786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hanging="0"/>
              <w:jc w:val="righ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ordinary shares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38,363,638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36,577,120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34,679,717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ordinary shares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38,363,638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36,577,120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34,679,717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ordinary share: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following weighted-average potentially dilutive securities were excluded from the computation of diluted net loss per ordinary share as their effect would have been antidilutive:</w:t>
      </w:r>
      <w:r>
        <w:rPr>
          <w:rFonts w:ascii="Times New Roman" w:hAnsi="Times New Roman"/>
          <w:sz w:val="20"/>
        </w:rPr>
        <w:t xml:space="preserve"> </w:t>
      </w:r>
    </w:p>
    <w:p>
      <w:pPr>
        <w:pStyle w:val="TextBody"/>
        <w:spacing w:before="0" w:after="0"/>
        <w:jc w:val="left"/>
        <w:rPr/>
      </w:pPr>
      <w:r>
        <w:rPr/>
        <w:t> </w:t>
      </w:r>
    </w:p>
    <w:tbl>
      <w:tblPr>
        <w:tblW w:w="7168" w:type="dxa"/>
        <w:jc w:val="left"/>
        <w:tblInd w:w="0" w:type="dxa"/>
        <w:tblCellMar>
          <w:top w:w="28" w:type="dxa"/>
          <w:left w:w="28" w:type="dxa"/>
          <w:bottom w:w="28" w:type="dxa"/>
          <w:right w:w="28" w:type="dxa"/>
        </w:tblCellMar>
      </w:tblPr>
      <w:tblGrid>
        <w:gridCol w:w="3016"/>
        <w:gridCol w:w="146"/>
        <w:gridCol w:w="146"/>
        <w:gridCol w:w="931"/>
        <w:gridCol w:w="146"/>
        <w:gridCol w:w="146"/>
        <w:gridCol w:w="146"/>
        <w:gridCol w:w="931"/>
        <w:gridCol w:w="146"/>
        <w:gridCol w:w="146"/>
        <w:gridCol w:w="146"/>
        <w:gridCol w:w="931"/>
        <w:gridCol w:w="1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ordinary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327,747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660,025</w:t>
            </w:r>
          </w:p>
        </w:tc>
        <w:tc>
          <w:tcPr>
            <w:tcW w:w="1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1,550,679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1,388,091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1,440,176</w:t>
            </w:r>
          </w:p>
        </w:tc>
        <w:tc>
          <w:tcPr>
            <w:tcW w:w="1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27,789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1,898,390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1,724,742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2,127,990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14. Income Taxes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Loss before income taxes consisted of the following for the periods indicated:</w:t>
      </w:r>
    </w:p>
    <w:p>
      <w:pPr>
        <w:pStyle w:val="TextBody"/>
        <w:spacing w:before="0" w:after="0"/>
        <w:jc w:val="left"/>
        <w:rPr/>
      </w:pPr>
      <w:r>
        <w:rPr/>
        <w:t> </w:t>
      </w:r>
    </w:p>
    <w:tbl>
      <w:tblPr>
        <w:tblW w:w="6058" w:type="dxa"/>
        <w:jc w:val="left"/>
        <w:tblInd w:w="0" w:type="dxa"/>
        <w:tblCellMar>
          <w:top w:w="28" w:type="dxa"/>
          <w:left w:w="28" w:type="dxa"/>
          <w:bottom w:w="28" w:type="dxa"/>
          <w:right w:w="28" w:type="dxa"/>
        </w:tblCellMar>
      </w:tblPr>
      <w:tblGrid>
        <w:gridCol w:w="2236"/>
        <w:gridCol w:w="146"/>
        <w:gridCol w:w="211"/>
        <w:gridCol w:w="736"/>
        <w:gridCol w:w="166"/>
        <w:gridCol w:w="146"/>
        <w:gridCol w:w="211"/>
        <w:gridCol w:w="736"/>
        <w:gridCol w:w="166"/>
        <w:gridCol w:w="146"/>
        <w:gridCol w:w="211"/>
        <w:gridCol w:w="736"/>
        <w:gridCol w:w="211"/>
      </w:tblGrid>
      <w:tr>
        <w:trPr/>
        <w:tc>
          <w:tcPr>
            <w:tcW w:w="223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r>
      <w:tr>
        <w:trPr/>
        <w:tc>
          <w:tcPr>
            <w:tcW w:w="22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shd w:fill="auto" w:val="clear"/>
            <w:vAlign w:val="center"/>
          </w:tcPr>
          <w:p>
            <w:pPr>
              <w:pStyle w:val="TableContents"/>
              <w:spacing w:before="0" w:after="0"/>
              <w:ind w:left="0" w:right="0" w:hanging="0"/>
              <w:jc w:val="center"/>
              <w:rPr/>
            </w:pPr>
            <w:r>
              <w:rPr/>
              <w:t> </w:t>
            </w:r>
          </w:p>
        </w:tc>
      </w:tr>
      <w:tr>
        <w:trPr/>
        <w:tc>
          <w:tcPr>
            <w:tcW w:w="2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(18,968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11" w:type="dxa"/>
            <w:tcBorders/>
            <w:shd w:fill="auto" w:val="clear"/>
            <w:vAlign w:val="center"/>
          </w:tcPr>
          <w:p>
            <w:pPr>
              <w:pStyle w:val="TableContents"/>
              <w:spacing w:before="0" w:after="0"/>
              <w:ind w:left="0" w:right="0" w:hanging="0"/>
              <w:jc w:val="left"/>
              <w:rPr/>
            </w:pPr>
            <w:r>
              <w:rPr/>
              <w:t> </w:t>
            </w:r>
          </w:p>
        </w:tc>
      </w:tr>
      <w:tr>
        <w:trPr/>
        <w:tc>
          <w:tcPr>
            <w:tcW w:w="2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Non-U.S.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(22,799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(57,311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(70,938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(57,303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Income tax provision (benefit) consisted of the following for the periods indicated:</w:t>
      </w:r>
      <w:r>
        <w:rPr>
          <w:rFonts w:ascii="Times New Roman" w:hAnsi="Times New Roman"/>
          <w:sz w:val="20"/>
        </w:rPr>
        <w:t xml:space="preserve"> </w:t>
      </w:r>
    </w:p>
    <w:p>
      <w:pPr>
        <w:pStyle w:val="TextBody"/>
        <w:spacing w:before="0" w:after="0"/>
        <w:jc w:val="left"/>
        <w:rPr/>
      </w:pPr>
      <w:r>
        <w:rPr/>
        <w:t> </w:t>
      </w:r>
    </w:p>
    <w:tbl>
      <w:tblPr>
        <w:tblW w:w="6768" w:type="dxa"/>
        <w:jc w:val="left"/>
        <w:tblInd w:w="0" w:type="dxa"/>
        <w:tblCellMar>
          <w:top w:w="28" w:type="dxa"/>
          <w:left w:w="28" w:type="dxa"/>
          <w:bottom w:w="28" w:type="dxa"/>
          <w:right w:w="28" w:type="dxa"/>
        </w:tblCellMar>
      </w:tblPr>
      <w:tblGrid>
        <w:gridCol w:w="3121"/>
        <w:gridCol w:w="146"/>
        <w:gridCol w:w="211"/>
        <w:gridCol w:w="631"/>
        <w:gridCol w:w="166"/>
        <w:gridCol w:w="146"/>
        <w:gridCol w:w="211"/>
        <w:gridCol w:w="631"/>
        <w:gridCol w:w="166"/>
        <w:gridCol w:w="146"/>
        <w:gridCol w:w="211"/>
        <w:gridCol w:w="571"/>
        <w:gridCol w:w="411"/>
      </w:tblGrid>
      <w:tr>
        <w:trPr/>
        <w:tc>
          <w:tcPr>
            <w:tcW w:w="312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631" w:type="dxa"/>
            <w:tcBorders/>
            <w:shd w:fill="FFFFFF" w:val="clear"/>
            <w:vAlign w:val="center"/>
          </w:tcPr>
          <w:p>
            <w:pPr>
              <w:pStyle w:val="TableContents"/>
              <w:spacing w:before="0" w:after="283"/>
              <w:rPr>
                <w:sz w:val="4"/>
                <w:szCs w:val="4"/>
              </w:rPr>
            </w:pPr>
            <w:r>
              <w:rPr>
                <w:sz w:val="4"/>
                <w:szCs w:val="4"/>
              </w:rPr>
            </w:r>
          </w:p>
        </w:tc>
        <w:tc>
          <w:tcPr>
            <w:tcW w:w="16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571" w:type="dxa"/>
            <w:tcBorders/>
            <w:shd w:fill="FFFFFF" w:val="clear"/>
            <w:vAlign w:val="center"/>
          </w:tcPr>
          <w:p>
            <w:pPr>
              <w:pStyle w:val="TableContents"/>
              <w:spacing w:before="0" w:after="283"/>
              <w:rPr>
                <w:sz w:val="4"/>
                <w:szCs w:val="4"/>
              </w:rPr>
            </w:pPr>
            <w:r>
              <w:rPr>
                <w:sz w:val="4"/>
                <w:szCs w:val="4"/>
              </w:rPr>
            </w:r>
          </w:p>
        </w:tc>
        <w:tc>
          <w:tcPr>
            <w:tcW w:w="411" w:type="dxa"/>
            <w:tcBorders/>
            <w:shd w:fill="FFFFFF"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9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9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Current:</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federal tax</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1,705</w:t>
            </w:r>
          </w:p>
        </w:tc>
        <w:tc>
          <w:tcPr>
            <w:tcW w:w="41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state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41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Non-U.S. foreign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Deferred:</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federal tax</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state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Non-U.S. foreign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Provision (benefit) for income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94</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Company consists of a Cayman Islands parent company with various foreign and U.S. subsidiaries. Effective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 rate is applied to pretax income (loss) as a result of the following for the periods indicated, respectively: </w:t>
      </w:r>
    </w:p>
    <w:p>
      <w:pPr>
        <w:pStyle w:val="TextBody"/>
        <w:spacing w:before="0" w:after="0"/>
        <w:jc w:val="left"/>
        <w:rPr/>
      </w:pPr>
      <w:r>
        <w:rPr/>
        <w:t> </w:t>
      </w:r>
    </w:p>
    <w:tbl>
      <w:tblPr>
        <w:tblW w:w="7213" w:type="dxa"/>
        <w:jc w:val="left"/>
        <w:tblInd w:w="0" w:type="dxa"/>
        <w:tblCellMar>
          <w:top w:w="28" w:type="dxa"/>
          <w:left w:w="28" w:type="dxa"/>
          <w:bottom w:w="28" w:type="dxa"/>
          <w:right w:w="28" w:type="dxa"/>
        </w:tblCellMar>
      </w:tblPr>
      <w:tblGrid>
        <w:gridCol w:w="3316"/>
        <w:gridCol w:w="146"/>
        <w:gridCol w:w="211"/>
        <w:gridCol w:w="736"/>
        <w:gridCol w:w="166"/>
        <w:gridCol w:w="146"/>
        <w:gridCol w:w="211"/>
        <w:gridCol w:w="631"/>
        <w:gridCol w:w="166"/>
        <w:gridCol w:w="146"/>
        <w:gridCol w:w="211"/>
        <w:gridCol w:w="736"/>
        <w:gridCol w:w="3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6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at U.S. notional statutory rate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(14,897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(12,034</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state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Non-U.S. foreign tax differential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12,989</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4,943</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R&amp;D credit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(3,928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Valuation allowance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FIN48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Uncertain tax position release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Provision (benefit) for income taxes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Temporary differences that gave rise to significant portions of the Company’s deferred tax assets and liabilities at January 31, 2023 and 2022 were as follows: </w:t>
      </w:r>
    </w:p>
    <w:p>
      <w:pPr>
        <w:pStyle w:val="TextBody"/>
        <w:spacing w:before="0" w:after="0"/>
        <w:jc w:val="left"/>
        <w:rPr/>
      </w:pPr>
      <w:r>
        <w:rPr/>
        <w:t> </w:t>
      </w:r>
    </w:p>
    <w:tbl>
      <w:tblPr>
        <w:tblW w:w="6039" w:type="dxa"/>
        <w:jc w:val="left"/>
        <w:tblInd w:w="0" w:type="dxa"/>
        <w:tblCellMar>
          <w:top w:w="28" w:type="dxa"/>
          <w:left w:w="28" w:type="dxa"/>
          <w:bottom w:w="28" w:type="dxa"/>
          <w:right w:w="28" w:type="dxa"/>
        </w:tblCellMar>
      </w:tblPr>
      <w:tblGrid>
        <w:gridCol w:w="2896"/>
        <w:gridCol w:w="146"/>
        <w:gridCol w:w="211"/>
        <w:gridCol w:w="736"/>
        <w:gridCol w:w="166"/>
        <w:gridCol w:w="146"/>
        <w:gridCol w:w="211"/>
        <w:gridCol w:w="736"/>
        <w:gridCol w:w="7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January 31,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791" w:type="dxa"/>
            <w:tcBorders/>
            <w:shd w:fill="auto" w:val="cle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Deferred tax assets: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200"/>
              <w:jc w:val="righ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and state credits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33,485</w:t>
            </w:r>
          </w:p>
        </w:tc>
        <w:tc>
          <w:tcPr>
            <w:tcW w:w="7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7,466</w:t>
            </w:r>
          </w:p>
        </w:tc>
        <w:tc>
          <w:tcPr>
            <w:tcW w:w="7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Expenses not currently deductible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7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2,096</w:t>
            </w:r>
          </w:p>
        </w:tc>
        <w:tc>
          <w:tcPr>
            <w:tcW w:w="7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3,632</w:t>
            </w:r>
          </w:p>
        </w:tc>
        <w:tc>
          <w:tcPr>
            <w:tcW w:w="7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deferred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2896" w:type="dxa"/>
            <w:tcBorders/>
            <w:shd w:fill="auto" w:val="clear"/>
            <w:vAlign w:val="center"/>
          </w:tcPr>
          <w:p>
            <w:pPr>
              <w:pStyle w:val="TableContents"/>
              <w:spacing w:before="0" w:after="0"/>
              <w:ind w:left="600" w:right="0" w:hanging="0"/>
              <w:jc w:val="left"/>
              <w:rPr>
                <w:rFonts w:ascii="Times New Roman;serif" w:hAnsi="Times New Roman;serif"/>
                <w:b/>
                <w:sz w:val="20"/>
              </w:rPr>
            </w:pPr>
            <w:r>
              <w:rPr>
                <w:rFonts w:ascii="Times New Roman;serif" w:hAnsi="Times New Roman;serif"/>
                <w:b/>
                <w:sz w:val="20"/>
              </w:rPr>
              <w:t>Gross deferred tax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48,164</w:t>
            </w:r>
          </w:p>
        </w:tc>
        <w:tc>
          <w:tcPr>
            <w:tcW w:w="791" w:type="dxa"/>
            <w:tcBorders/>
            <w:shd w:fill="auto" w:val="clear"/>
            <w:vAlign w:val="center"/>
          </w:tcPr>
          <w:p>
            <w:pPr>
              <w:pStyle w:val="TableContents"/>
              <w:spacing w:before="0" w:after="0"/>
              <w:ind w:left="0" w:right="0" w:firstLine="600"/>
              <w:jc w:val="left"/>
              <w:rPr/>
            </w:pPr>
            <w:r>
              <w:rPr/>
              <w:t> </w:t>
            </w:r>
          </w:p>
        </w:tc>
      </w:tr>
      <w:tr>
        <w:trPr/>
        <w:tc>
          <w:tcPr>
            <w:tcW w:w="2896" w:type="dxa"/>
            <w:tcBorders/>
            <w:shd w:fill="auto" w:val="clear"/>
            <w:vAlign w:val="center"/>
          </w:tcPr>
          <w:p>
            <w:pPr>
              <w:pStyle w:val="TableContents"/>
              <w:spacing w:before="0" w:after="0"/>
              <w:ind w:left="600" w:right="0" w:hanging="0"/>
              <w:jc w:val="left"/>
              <w:rPr>
                <w:rFonts w:ascii="Times New Roman;serif" w:hAnsi="Times New Roman;serif"/>
                <w:b/>
                <w:sz w:val="20"/>
              </w:rPr>
            </w:pPr>
            <w:r>
              <w:rPr>
                <w:rFonts w:ascii="Times New Roman;serif" w:hAnsi="Times New Roman;serif"/>
                <w:b/>
                <w:sz w:val="20"/>
              </w:rPr>
              <w:t>Valuation allowance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(24,083</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deferred tax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24,081</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Deferred tax liabilities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791" w:type="dxa"/>
            <w:tcBorders/>
            <w:shd w:fill="auto" w:val="clear"/>
            <w:vAlign w:val="center"/>
          </w:tcPr>
          <w:p>
            <w:pPr>
              <w:pStyle w:val="TableContents"/>
              <w:spacing w:before="0" w:after="0"/>
              <w:ind w:left="0" w:right="0" w:firstLine="400"/>
              <w:jc w:val="right"/>
              <w:rPr/>
            </w:pPr>
            <w:r>
              <w:rPr/>
              <w:t> </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(8,150</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79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7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deferred tax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13,574</w:t>
            </w:r>
          </w:p>
        </w:tc>
        <w:tc>
          <w:tcPr>
            <w:tcW w:w="7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Tax valuation allowance for the periods indicated below were as follows: </w:t>
      </w:r>
    </w:p>
    <w:p>
      <w:pPr>
        <w:pStyle w:val="TextBody"/>
        <w:spacing w:before="0" w:after="0"/>
        <w:jc w:val="left"/>
        <w:rPr/>
      </w:pPr>
      <w:r>
        <w:rPr/>
        <w:t> </w:t>
      </w:r>
    </w:p>
    <w:tbl>
      <w:tblPr>
        <w:tblW w:w="8678" w:type="dxa"/>
        <w:jc w:val="left"/>
        <w:tblInd w:w="0" w:type="dxa"/>
        <w:tblCellMar>
          <w:top w:w="28" w:type="dxa"/>
          <w:left w:w="28" w:type="dxa"/>
          <w:bottom w:w="28" w:type="dxa"/>
          <w:right w:w="28" w:type="dxa"/>
        </w:tblCellMar>
      </w:tblPr>
      <w:tblGrid>
        <w:gridCol w:w="2476"/>
        <w:gridCol w:w="146"/>
        <w:gridCol w:w="242"/>
        <w:gridCol w:w="778"/>
        <w:gridCol w:w="146"/>
        <w:gridCol w:w="146"/>
        <w:gridCol w:w="189"/>
        <w:gridCol w:w="741"/>
        <w:gridCol w:w="146"/>
        <w:gridCol w:w="146"/>
        <w:gridCol w:w="189"/>
        <w:gridCol w:w="741"/>
        <w:gridCol w:w="146"/>
        <w:gridCol w:w="146"/>
        <w:gridCol w:w="275"/>
        <w:gridCol w:w="655"/>
        <w:gridCol w:w="146"/>
        <w:gridCol w:w="146"/>
        <w:gridCol w:w="211"/>
        <w:gridCol w:w="6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Deductions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Charged to</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Charged to</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Expenses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Balance at</w:t>
            </w:r>
          </w:p>
        </w:tc>
        <w:tc>
          <w:tcPr>
            <w:tcW w:w="19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Beginning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Charged to</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or 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End of</w:t>
            </w:r>
          </w:p>
        </w:tc>
        <w:tc>
          <w:tcPr>
            <w:tcW w:w="19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Expenses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Accounts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5"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Valuation Allowance</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January 31, 2023</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28,596</w:t>
            </w:r>
          </w:p>
        </w:tc>
        <w:tc>
          <w:tcPr>
            <w:tcW w:w="19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January 31, 2022</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24,083</w:t>
            </w:r>
          </w:p>
        </w:tc>
        <w:tc>
          <w:tcPr>
            <w:tcW w:w="19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January 31, 2021</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17,962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2023 would be $15.6</w:t>
      </w:r>
      <w:r>
        <w:rPr>
          <w:rFonts w:ascii="Times New Roman" w:hAnsi="Times New Roman"/>
          <w:sz w:val="20"/>
        </w:rPr>
        <w:t xml:space="preserve"> </w:t>
      </w:r>
      <w:r>
        <w:rPr>
          <w:rFonts w:ascii="Times New Roman;serif" w:hAnsi="Times New Roman;serif"/>
          <w:b w:val="false"/>
          <w:sz w:val="20"/>
        </w:rPr>
        <w:t>million. Cumulative undistributed earnings of foreign subsidiaries for which no deferred taxes have been provided approximated $107.9</w:t>
      </w:r>
      <w:r>
        <w:rPr>
          <w:rFonts w:ascii="Times New Roman" w:hAnsi="Times New Roman"/>
          <w:sz w:val="20"/>
        </w:rPr>
        <w:t xml:space="preserve"> </w:t>
      </w:r>
      <w:r>
        <w:rPr>
          <w:rFonts w:ascii="Times New Roman;serif" w:hAnsi="Times New Roman;serif"/>
          <w:b w:val="false"/>
          <w:sz w:val="20"/>
        </w:rPr>
        <w:t>million at January 31,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January 31, 2023 and 2022, the Company had deferred tax assets (net of deferred tax liabilities) before valuation allowance, of $46.6</w:t>
      </w:r>
      <w:r>
        <w:rPr>
          <w:rFonts w:ascii="Times New Roman" w:hAnsi="Times New Roman"/>
          <w:sz w:val="20"/>
        </w:rPr>
        <w:t xml:space="preserve"> </w:t>
      </w:r>
      <w:r>
        <w:rPr>
          <w:rFonts w:ascii="Times New Roman;serif" w:hAnsi="Times New Roman;serif"/>
          <w:b w:val="false"/>
          <w:sz w:val="20"/>
        </w:rPr>
        <w:t>million and $37.7</w:t>
      </w:r>
      <w:r>
        <w:rPr>
          <w:rFonts w:ascii="Times New Roman" w:hAnsi="Times New Roman"/>
          <w:sz w:val="20"/>
        </w:rPr>
        <w:t xml:space="preserve"> </w:t>
      </w:r>
      <w:r>
        <w:rPr>
          <w:rFonts w:ascii="Times New Roman;serif" w:hAnsi="Times New Roman;serif"/>
          <w:b w:val="false"/>
          <w:sz w:val="20"/>
        </w:rPr>
        <w:t>million, respectively. The Company assesses whether a valuation allowance should be established against its deferred tax assets based on the consideration of all available evidence, using a “more likely than not” standard.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Federal and California net operating losses of $31.4</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respectively, as of January 31, 2023. The Federal net operating loss carryforwards begin to expire in fiscal year 2037. The California net operating loss carryforwards begin to expire in fiscal year 2040, if not utilized. For financial statement purposes these carry forwards are offset by uncertain tax positions.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also has Federal and California state research and development credit carryforwards of approximately $27.5</w:t>
      </w:r>
      <w:r>
        <w:rPr>
          <w:rFonts w:ascii="Times New Roman" w:hAnsi="Times New Roman"/>
          <w:sz w:val="20"/>
        </w:rPr>
        <w:t xml:space="preserve"> </w:t>
      </w:r>
      <w:r>
        <w:rPr>
          <w:rFonts w:ascii="Times New Roman;serif" w:hAnsi="Times New Roman;serif"/>
          <w:b w:val="false"/>
          <w:sz w:val="20"/>
        </w:rPr>
        <w:t>million and $37.5</w:t>
      </w:r>
      <w:r>
        <w:rPr>
          <w:rFonts w:ascii="Times New Roman" w:hAnsi="Times New Roman"/>
          <w:sz w:val="20"/>
        </w:rPr>
        <w:t xml:space="preserve"> </w:t>
      </w:r>
      <w:r>
        <w:rPr>
          <w:rFonts w:ascii="Times New Roman;serif" w:hAnsi="Times New Roman;serif"/>
          <w:b w:val="false"/>
          <w:sz w:val="20"/>
        </w:rPr>
        <w:t>million, respectively, at January 31, 2023. The Federal credits begin to expire in fiscal year 2037. The California credits can be carried forward indefinitely.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reports its U.S. state deferred tax assets and related valuation allowance, net of the U.S federal tax rate of 21%. As of January 31, 2023, the Company has recorded a valuation allowance of $24.5</w:t>
      </w:r>
      <w:r>
        <w:rPr>
          <w:rFonts w:ascii="Times New Roman" w:hAnsi="Times New Roman"/>
          <w:sz w:val="20"/>
        </w:rPr>
        <w:t xml:space="preserve"> </w:t>
      </w:r>
      <w:r>
        <w:rPr>
          <w:rFonts w:ascii="Times New Roman;serif" w:hAnsi="Times New Roman;serif"/>
          <w:b w:val="false"/>
          <w:sz w:val="20"/>
        </w:rPr>
        <w:t>million against all of its U.S. state deferred tax assets due to uncertainty regarding the future utilization of these deferred tax assets. In addition, the Company has recorded a valuation allowance of $4.1</w:t>
      </w:r>
      <w:r>
        <w:rPr>
          <w:rFonts w:ascii="Times New Roman" w:hAnsi="Times New Roman"/>
          <w:sz w:val="20"/>
        </w:rPr>
        <w:t xml:space="preserve"> </w:t>
      </w:r>
      <w:r>
        <w:rPr>
          <w:rFonts w:ascii="Times New Roman;serif" w:hAnsi="Times New Roman;serif"/>
          <w:b w:val="false"/>
          <w:sz w:val="20"/>
        </w:rPr>
        <w:t>million against the federal deferred tax assets of Oculii Corp.</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Utilization of the net operating loss and research credit carryforwards may be subject to an annual limitation due to the ownership percentage change limitations as defined by the U.S. Internal Revenue Code Section 382, as amended, and similar state provisions. The annual limitation may result in the expiration of the U.S. Federal and state research credit carryforwards before utilization. The Company does not expect any net operating loss or tax credit carryforwards to expire as a result of a Section 382 limitation.</w:t>
      </w:r>
    </w:p>
    <w:p>
      <w:pPr>
        <w:pStyle w:val="TextBody"/>
        <w:spacing w:before="240" w:after="0"/>
        <w:jc w:val="left"/>
        <w:rPr>
          <w:rFonts w:ascii="Times New Roman" w:hAnsi="Times New Roman"/>
          <w:sz w:val="20"/>
        </w:rPr>
      </w:pPr>
      <w:r>
        <w:rPr>
          <w:rFonts w:ascii="Times New Roman;serif" w:hAnsi="Times New Roman;serif"/>
          <w:b w:val="false"/>
          <w:sz w:val="20"/>
        </w:rPr>
        <w:t>The Company applies the provisions of FASB’s guidance on accounting for uncertainty in income taxes. As of January 31, 2023, the Company had approximately $21.7</w:t>
      </w:r>
      <w:r>
        <w:rPr>
          <w:rFonts w:ascii="Times New Roman" w:hAnsi="Times New Roman"/>
          <w:sz w:val="20"/>
        </w:rPr>
        <w:t xml:space="preserve"> </w:t>
      </w:r>
      <w:r>
        <w:rPr>
          <w:rFonts w:ascii="Times New Roman;serif" w:hAnsi="Times New Roman;serif"/>
          <w:b w:val="false"/>
          <w:sz w:val="20"/>
        </w:rPr>
        <w:t>million in unrecognized tax benefits, $14.8</w:t>
      </w:r>
      <w:r>
        <w:rPr>
          <w:rFonts w:ascii="Times New Roman" w:hAnsi="Times New Roman"/>
          <w:sz w:val="20"/>
        </w:rPr>
        <w:t xml:space="preserve"> </w:t>
      </w:r>
      <w:r>
        <w:rPr>
          <w:rFonts w:ascii="Times New Roman;serif" w:hAnsi="Times New Roman;serif"/>
          <w:b w:val="false"/>
          <w:sz w:val="20"/>
        </w:rPr>
        <w:t xml:space="preserve">million of which would affect the Company’s effective tax rate if recognized. The remainder of the unrecognized tax benefits would not affect the effective tax rate due to the full valuation recorded for state deferred tax assets. Certain fiscal year 2021 amounts have been revised to reflect unrecognized tax benefits on a gross basis. The following table sets forth a reconciliation of the beginning and ending amount of unrecognized tax benefits: </w:t>
      </w:r>
    </w:p>
    <w:p>
      <w:pPr>
        <w:pStyle w:val="TextBody"/>
        <w:spacing w:before="0" w:after="0"/>
        <w:jc w:val="left"/>
        <w:rPr/>
      </w:pPr>
      <w:r>
        <w:rPr/>
        <w:t> </w:t>
      </w:r>
    </w:p>
    <w:tbl>
      <w:tblPr>
        <w:tblW w:w="7863" w:type="dxa"/>
        <w:jc w:val="left"/>
        <w:tblInd w:w="0" w:type="dxa"/>
        <w:tblCellMar>
          <w:top w:w="28" w:type="dxa"/>
          <w:left w:w="28" w:type="dxa"/>
          <w:bottom w:w="28" w:type="dxa"/>
          <w:right w:w="28" w:type="dxa"/>
        </w:tblCellMar>
      </w:tblPr>
      <w:tblGrid>
        <w:gridCol w:w="3901"/>
        <w:gridCol w:w="146"/>
        <w:gridCol w:w="211"/>
        <w:gridCol w:w="736"/>
        <w:gridCol w:w="166"/>
        <w:gridCol w:w="146"/>
        <w:gridCol w:w="211"/>
        <w:gridCol w:w="676"/>
        <w:gridCol w:w="166"/>
        <w:gridCol w:w="146"/>
        <w:gridCol w:w="211"/>
        <w:gridCol w:w="736"/>
        <w:gridCol w:w="411"/>
      </w:tblGrid>
      <w:tr>
        <w:trPr/>
        <w:tc>
          <w:tcPr>
            <w:tcW w:w="3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05"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shd w:fill="auto" w:val="cle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Beginning balance: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42,695</w:t>
            </w:r>
          </w:p>
        </w:tc>
        <w:tc>
          <w:tcPr>
            <w:tcW w:w="411"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based on tax positions related to the</w:t>
              <w:br/>
              <w:t>   current year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3,360</w:t>
            </w:r>
          </w:p>
        </w:tc>
        <w:tc>
          <w:tcPr>
            <w:tcW w:w="411"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Additions for tax positions of prior years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411" w:type="dxa"/>
            <w:tcBorders/>
            <w:shd w:fill="auto" w:val="clear"/>
            <w:vAlign w:val="center"/>
          </w:tcPr>
          <w:p>
            <w:pPr>
              <w:pStyle w:val="TableContents"/>
              <w:spacing w:before="0" w:after="0"/>
              <w:ind w:left="0" w:right="0" w:firstLine="200"/>
              <w:jc w:val="left"/>
              <w:rPr/>
            </w:pPr>
            <w:r>
              <w:rPr/>
              <w:t> </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Reductions for tax positions in prior years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(10,212</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Settlements for prior periods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Lapse of applicable statute of limitations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Ending balance: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21,656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29,527</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Company classified $3.2</w:t>
      </w:r>
      <w:r>
        <w:rPr>
          <w:rFonts w:ascii="Times New Roman" w:hAnsi="Times New Roman"/>
          <w:sz w:val="20"/>
        </w:rPr>
        <w:t xml:space="preserve"> </w:t>
      </w:r>
      <w:r>
        <w:rPr>
          <w:rFonts w:ascii="Times New Roman;serif" w:hAnsi="Times New Roman;serif"/>
          <w:b w:val="false"/>
          <w:sz w:val="20"/>
        </w:rPr>
        <w:t>million and $8.0</w:t>
      </w:r>
      <w:r>
        <w:rPr>
          <w:rFonts w:ascii="Times New Roman" w:hAnsi="Times New Roman"/>
          <w:sz w:val="20"/>
        </w:rPr>
        <w:t xml:space="preserve"> </w:t>
      </w:r>
      <w:r>
        <w:rPr>
          <w:rFonts w:ascii="Times New Roman;serif" w:hAnsi="Times New Roman;serif"/>
          <w:b w:val="false"/>
          <w:sz w:val="20"/>
        </w:rPr>
        <w:t>million of income tax liabilities as other long-term liabilities as of January 31, 2023 and 2022, respectively, because payment of cash or settlement is not anticipated within one year from the balance sheet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recognizes interest and penalties related to uncertain tax positions as a component of income tax expense. The Company recorded a benefit of $0.7</w:t>
      </w:r>
      <w:r>
        <w:rPr>
          <w:rFonts w:ascii="Times New Roman" w:hAnsi="Times New Roman"/>
          <w:sz w:val="20"/>
        </w:rPr>
        <w:t xml:space="preserve"> </w:t>
      </w:r>
      <w:r>
        <w:rPr>
          <w:rFonts w:ascii="Times New Roman;serif" w:hAnsi="Times New Roman;serif"/>
          <w:b w:val="false"/>
          <w:sz w:val="20"/>
        </w:rPr>
        <w:t>million, expense of $0.3</w:t>
      </w:r>
      <w:r>
        <w:rPr>
          <w:rFonts w:ascii="Times New Roman" w:hAnsi="Times New Roman"/>
          <w:sz w:val="20"/>
        </w:rPr>
        <w:t xml:space="preserve"> </w:t>
      </w:r>
      <w:r>
        <w:rPr>
          <w:rFonts w:ascii="Times New Roman;serif" w:hAnsi="Times New Roman;serif"/>
          <w:b w:val="false"/>
          <w:sz w:val="20"/>
        </w:rPr>
        <w:t>million and expense of $0.3</w:t>
      </w:r>
      <w:r>
        <w:rPr>
          <w:rFonts w:ascii="Times New Roman" w:hAnsi="Times New Roman"/>
          <w:sz w:val="20"/>
        </w:rPr>
        <w:t xml:space="preserve"> </w:t>
      </w:r>
      <w:r>
        <w:rPr>
          <w:rFonts w:ascii="Times New Roman;serif" w:hAnsi="Times New Roman;serif"/>
          <w:b w:val="false"/>
          <w:sz w:val="20"/>
        </w:rPr>
        <w:t>million for interest and penalties related to uncertain tax positions for the fiscal years ended January 31, 2023, 2022 and 2021, respectively. The benefit in fiscal year 2023 was due to the release of a prior year reserve upon lapse of statute of limitations. The Company recorded noncurrent liabilities of $0.6</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related to interest and penalties for uncertain tax positions at January 31, 2023 and 2022,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primary jurisdiction where our foreign earnings are derived is the Cayman Islands, where the Company is domiciled. The Company files income tax returns in the U.S. federal jurisdiction as well as many U.S. state and foreign jurisdictions. The Internal Revenue Service has closed the examination of the Company’s U.S. federal income tax return for the fiscal year ended January 31, 2017. At January 31, 2023, the Company’s fiscal year 2020</w:t>
      </w:r>
      <w:r>
        <w:rPr>
          <w:rFonts w:ascii="Times New Roman" w:hAnsi="Times New Roman"/>
          <w:sz w:val="20"/>
        </w:rPr>
        <w:t xml:space="preserve"> </w:t>
      </w:r>
      <w:r>
        <w:rPr>
          <w:rFonts w:ascii="Times New Roman;serif" w:hAnsi="Times New Roman;serif"/>
          <w:b w:val="false"/>
          <w:sz w:val="20"/>
        </w:rPr>
        <w:t>through 2023</w:t>
      </w:r>
      <w:r>
        <w:rPr>
          <w:rFonts w:ascii="Times New Roman" w:hAnsi="Times New Roman"/>
          <w:sz w:val="20"/>
        </w:rPr>
        <w:t xml:space="preserve"> </w:t>
      </w:r>
      <w:r>
        <w:rPr>
          <w:rFonts w:ascii="Times New Roman;serif" w:hAnsi="Times New Roman;serif"/>
          <w:b w:val="false"/>
          <w:sz w:val="20"/>
        </w:rPr>
        <w:t>tax years are generally open and subject to potential examination by U.S. federal tax authorities. The Company’s fiscal year 2019</w:t>
      </w:r>
      <w:r>
        <w:rPr>
          <w:rFonts w:ascii="Times New Roman" w:hAnsi="Times New Roman"/>
          <w:sz w:val="20"/>
        </w:rPr>
        <w:t xml:space="preserve"> </w:t>
      </w:r>
      <w:r>
        <w:rPr>
          <w:rFonts w:ascii="Times New Roman;serif" w:hAnsi="Times New Roman;serif"/>
          <w:b w:val="false"/>
          <w:sz w:val="20"/>
        </w:rPr>
        <w:t>through 2023</w:t>
      </w:r>
      <w:r>
        <w:rPr>
          <w:rFonts w:ascii="Times New Roman" w:hAnsi="Times New Roman"/>
          <w:sz w:val="20"/>
        </w:rPr>
        <w:t xml:space="preserve"> </w:t>
      </w:r>
      <w:r>
        <w:rPr>
          <w:rFonts w:ascii="Times New Roman;serif" w:hAnsi="Times New Roman;serif"/>
          <w:b w:val="false"/>
          <w:sz w:val="20"/>
        </w:rPr>
        <w:t>tax years are generally open and subject to potential examination by state tax authorities. The Company’s fiscal years 2016</w:t>
      </w:r>
      <w:r>
        <w:rPr>
          <w:rFonts w:ascii="Times New Roman" w:hAnsi="Times New Roman"/>
          <w:sz w:val="20"/>
        </w:rPr>
        <w:t xml:space="preserve"> </w:t>
      </w:r>
      <w:r>
        <w:rPr>
          <w:rFonts w:ascii="Times New Roman;serif" w:hAnsi="Times New Roman;serif"/>
          <w:b w:val="false"/>
          <w:sz w:val="20"/>
        </w:rPr>
        <w:t>to 2023</w:t>
      </w:r>
      <w:r>
        <w:rPr>
          <w:rFonts w:ascii="Times New Roman" w:hAnsi="Times New Roman"/>
          <w:sz w:val="20"/>
        </w:rPr>
        <w:t xml:space="preserve"> </w:t>
      </w:r>
      <w:r>
        <w:rPr>
          <w:rFonts w:ascii="Times New Roman;serif" w:hAnsi="Times New Roman;serif"/>
          <w:b w:val="false"/>
          <w:sz w:val="20"/>
        </w:rPr>
        <w:t>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2023, the gross amount of unrecognized tax benefits decreased by $9.2</w:t>
      </w:r>
      <w:r>
        <w:rPr>
          <w:rFonts w:ascii="Times New Roman" w:hAnsi="Times New Roman"/>
          <w:sz w:val="20"/>
        </w:rPr>
        <w:t xml:space="preserve"> </w:t>
      </w:r>
      <w:r>
        <w:rPr>
          <w:rFonts w:ascii="Times New Roman;serif" w:hAnsi="Times New Roman;serif"/>
          <w:b w:val="false"/>
          <w:sz w:val="20"/>
        </w:rPr>
        <w:t>million to $21.7</w:t>
      </w:r>
      <w:r>
        <w:rPr>
          <w:rFonts w:ascii="Times New Roman" w:hAnsi="Times New Roman"/>
          <w:sz w:val="20"/>
        </w:rPr>
        <w:t xml:space="preserve"> </w:t>
      </w:r>
      <w:r>
        <w:rPr>
          <w:rFonts w:ascii="Times New Roman;serif" w:hAnsi="Times New Roman;serif"/>
          <w:b w:val="false"/>
          <w:sz w:val="20"/>
        </w:rPr>
        <w:t>million. The decrease was primarily due to the release of prior year reserves upon the lapse of the statute of limitations.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January 31, 2023, the Company’s long-term income taxes payable, including estimated interest and penalties, was approximately $3.8</w:t>
      </w:r>
      <w:r>
        <w:rPr>
          <w:rFonts w:ascii="Times New Roman" w:hAnsi="Times New Roman"/>
          <w:sz w:val="20"/>
        </w:rPr>
        <w:t xml:space="preserve"> </w:t>
      </w:r>
      <w:r>
        <w:rPr>
          <w:rFonts w:ascii="Times New Roman;serif" w:hAnsi="Times New Roman;serif"/>
          <w:b w:val="false"/>
          <w:sz w:val="20"/>
        </w:rPr>
        <w:t>million. The Company was unable to make a reasonably reliable estimate of the timing of payments in individual years due to uncertainties in the timing of tax audits, if any, or their outcomes.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On July 27, 2015, the United States Tax Court issued a decision (“Tax Court Decision”) in </w:t>
      </w:r>
      <w:r>
        <w:rPr>
          <w:rFonts w:ascii="Times New Roman;serif" w:hAnsi="Times New Roman;serif"/>
          <w:b w:val="false"/>
          <w:i/>
          <w:sz w:val="20"/>
        </w:rPr>
        <w:t>Altera Corp. v. Commissioner</w:t>
      </w:r>
      <w:r>
        <w:rPr>
          <w:rFonts w:ascii="Times New Roman;serif" w:hAnsi="Times New Roman;serif"/>
          <w:b w:val="false"/>
          <w:sz w:val="20"/>
        </w:rPr>
        <w:t>,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provision for income taxes.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15. Commitments and Contingencies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Contract Manufacturer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January 31, 2023 and 2022, total manufacturing purchase commitments were approximately $43.6</w:t>
      </w:r>
      <w:r>
        <w:rPr>
          <w:rFonts w:ascii="Times New Roman" w:hAnsi="Times New Roman"/>
          <w:sz w:val="20"/>
        </w:rPr>
        <w:t xml:space="preserve"> </w:t>
      </w:r>
      <w:r>
        <w:rPr>
          <w:rFonts w:ascii="Times New Roman;serif" w:hAnsi="Times New Roman;serif"/>
          <w:b w:val="false"/>
          <w:sz w:val="20"/>
        </w:rPr>
        <w:t>million and $71.5</w:t>
      </w:r>
      <w:r>
        <w:rPr>
          <w:rFonts w:ascii="Times New Roman" w:hAnsi="Times New Roman"/>
          <w:sz w:val="20"/>
        </w:rPr>
        <w:t xml:space="preserve"> </w:t>
      </w:r>
      <w:r>
        <w:rPr>
          <w:rFonts w:ascii="Times New Roman;serif" w:hAnsi="Times New Roman;serif"/>
          <w:b w:val="false"/>
          <w:sz w:val="20"/>
        </w:rPr>
        <w:t>million, respectively. The Company also reviews and assesses the need for any expected loss liabilities on quarterly basis for all products that it does not expect to sell for which it has committed purchases from suppliers. As of January 31, 2023, an approximately $2.9</w:t>
      </w:r>
      <w:r>
        <w:rPr>
          <w:rFonts w:ascii="Times New Roman" w:hAnsi="Times New Roman"/>
          <w:sz w:val="20"/>
        </w:rPr>
        <w:t xml:space="preserve"> </w:t>
      </w:r>
      <w:r>
        <w:rPr>
          <w:rFonts w:ascii="Times New Roman;serif" w:hAnsi="Times New Roman;serif"/>
          <w:b w:val="false"/>
          <w:sz w:val="20"/>
        </w:rPr>
        <w:t>million loss was recognized in the consolidated balance sheets from adverse purchase commitments. There were no</w:t>
      </w:r>
      <w:r>
        <w:rPr>
          <w:rFonts w:ascii="Times New Roman" w:hAnsi="Times New Roman"/>
          <w:sz w:val="20"/>
        </w:rPr>
        <w:t xml:space="preserve"> </w:t>
      </w:r>
      <w:r>
        <w:rPr>
          <w:rFonts w:ascii="Times New Roman;serif" w:hAnsi="Times New Roman;serif"/>
          <w:b w:val="false"/>
          <w:sz w:val="20"/>
        </w:rPr>
        <w:t>material loss liabilities recorded in the consolidated balance sheets from adverse purchase commitments as of January 31,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97</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i/>
          <w:sz w:val="20"/>
        </w:rPr>
        <w:t>Indemnification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January 31, 2023, and no</w:t>
      </w:r>
      <w:r>
        <w:rPr>
          <w:rFonts w:ascii="Times New Roman" w:hAnsi="Times New Roman"/>
          <w:sz w:val="20"/>
        </w:rPr>
        <w:t xml:space="preserve"> </w:t>
      </w:r>
      <w:r>
        <w:rPr>
          <w:rFonts w:ascii="Times New Roman;serif" w:hAnsi="Times New Roman;serif"/>
          <w:b w:val="false"/>
          <w:sz w:val="20"/>
        </w:rPr>
        <w:t>liabilities have been recorded for these obligations in the consolidated balance sheets as of January 31, 2023 and 2022, respectively.</w:t>
      </w:r>
    </w:p>
    <w:p>
      <w:pPr>
        <w:pStyle w:val="TextBody"/>
        <w:spacing w:before="0" w:after="0"/>
        <w:jc w:val="left"/>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Other Matters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January 31, 2023 and 2022, there were not any accruals for contingent liabilities related to such matters recorded in the consolidated balance sheets.</w:t>
      </w:r>
    </w:p>
    <w:p>
      <w:pPr>
        <w:pStyle w:val="TextBody"/>
        <w:spacing w:before="12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16. Segment Reporting</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operates in one</w:t>
      </w:r>
      <w:r>
        <w:rPr>
          <w:rFonts w:ascii="Times New Roman" w:hAnsi="Times New Roman"/>
          <w:sz w:val="20"/>
        </w:rPr>
        <w:t xml:space="preserve"> </w:t>
      </w:r>
      <w:r>
        <w:rPr>
          <w:rFonts w:ascii="Times New Roman;serif" w:hAnsi="Times New Roman;serif"/>
          <w:b w:val="false"/>
          <w:sz w:val="20"/>
        </w:rPr>
        <w:t>operating and reporting segment related to the development and sales of low-power,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Geographic 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Company’s revenue by geographic region based on bill-to location for the periods indicated.</w:t>
      </w:r>
      <w:r>
        <w:rPr>
          <w:rFonts w:ascii="Times New Roman" w:hAnsi="Times New Roman"/>
          <w:sz w:val="20"/>
        </w:rPr>
        <w:t xml:space="preserve"> </w:t>
      </w:r>
    </w:p>
    <w:p>
      <w:pPr>
        <w:pStyle w:val="TextBody"/>
        <w:spacing w:before="0" w:after="0"/>
        <w:jc w:val="left"/>
        <w:rPr/>
      </w:pPr>
      <w:r>
        <w:rPr/>
        <w:t> </w:t>
      </w:r>
    </w:p>
    <w:tbl>
      <w:tblPr>
        <w:tblW w:w="7398" w:type="dxa"/>
        <w:jc w:val="left"/>
        <w:tblInd w:w="0" w:type="dxa"/>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1"/>
        <w:gridCol w:w="781"/>
        <w:gridCol w:w="391"/>
      </w:tblGrid>
      <w:tr>
        <w:trPr/>
        <w:tc>
          <w:tcPr>
            <w:tcW w:w="330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11" w:type="dxa"/>
            <w:tcBorders/>
            <w:shd w:fill="FFFFFF" w:val="clear"/>
            <w:vAlign w:val="center"/>
          </w:tcPr>
          <w:p>
            <w:pPr>
              <w:pStyle w:val="TableContents"/>
              <w:spacing w:before="0" w:after="283"/>
              <w:rPr>
                <w:sz w:val="4"/>
                <w:szCs w:val="4"/>
              </w:rPr>
            </w:pPr>
            <w:r>
              <w:rPr>
                <w:sz w:val="4"/>
                <w:szCs w:val="4"/>
              </w:rPr>
            </w:r>
          </w:p>
        </w:tc>
        <w:tc>
          <w:tcPr>
            <w:tcW w:w="781" w:type="dxa"/>
            <w:tcBorders/>
            <w:shd w:fill="FFFFFF" w:val="clear"/>
            <w:vAlign w:val="center"/>
          </w:tcPr>
          <w:p>
            <w:pPr>
              <w:pStyle w:val="TableContents"/>
              <w:spacing w:before="0" w:after="283"/>
              <w:rPr>
                <w:sz w:val="4"/>
                <w:szCs w:val="4"/>
              </w:rPr>
            </w:pPr>
            <w:r>
              <w:rPr>
                <w:sz w:val="4"/>
                <w:szCs w:val="4"/>
              </w:rPr>
            </w:r>
          </w:p>
        </w:tc>
        <w:tc>
          <w:tcPr>
            <w:tcW w:w="391" w:type="dxa"/>
            <w:tcBorders/>
            <w:shd w:fill="FFFFFF"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Year Ended January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0"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Taiwan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203,828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139,327</w:t>
            </w:r>
          </w:p>
        </w:tc>
        <w:tc>
          <w:tcPr>
            <w:tcW w:w="3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Asia Pacific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57,270</w:t>
            </w:r>
          </w:p>
        </w:tc>
        <w:tc>
          <w:tcPr>
            <w:tcW w:w="3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9,415</w:t>
            </w:r>
          </w:p>
        </w:tc>
        <w:tc>
          <w:tcPr>
            <w:tcW w:w="3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North America other than United States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10,304</w:t>
            </w:r>
          </w:p>
        </w:tc>
        <w:tc>
          <w:tcPr>
            <w:tcW w:w="391" w:type="dxa"/>
            <w:tcBorders/>
            <w:shd w:fill="auto" w:val="clear"/>
            <w:vAlign w:val="center"/>
          </w:tcPr>
          <w:p>
            <w:pPr>
              <w:pStyle w:val="TableContents"/>
              <w:spacing w:before="0" w:after="0"/>
              <w:ind w:left="0" w:right="0" w:hanging="0"/>
              <w:jc w:val="lef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337,606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331,856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222,990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Substantially all of the Company’s property and equipment were located in the Asia Pacific region, United States and Europe. As of January 31, 2023, the net amount of these fixed assets located in these regions was approximately $6.3</w:t>
      </w:r>
      <w:r>
        <w:rPr>
          <w:rFonts w:ascii="Times New Roman" w:hAnsi="Times New Roman"/>
          <w:sz w:val="20"/>
        </w:rPr>
        <w:t xml:space="preserve"> </w:t>
      </w:r>
      <w:r>
        <w:rPr>
          <w:rFonts w:ascii="Times New Roman;serif" w:hAnsi="Times New Roman;serif"/>
          <w:b w:val="false"/>
          <w:sz w:val="20"/>
        </w:rPr>
        <w:t>million, $4.0</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respectively. As of January 31, 2022, the net amount of these fixed assets located in these regions was approximate $5.6</w:t>
      </w:r>
      <w:r>
        <w:rPr>
          <w:rFonts w:ascii="Times New Roman" w:hAnsi="Times New Roman"/>
          <w:sz w:val="20"/>
        </w:rPr>
        <w:t xml:space="preserve"> </w:t>
      </w:r>
      <w:r>
        <w:rPr>
          <w:rFonts w:ascii="Times New Roman;serif" w:hAnsi="Times New Roman;serif"/>
          <w:b w:val="false"/>
          <w:sz w:val="20"/>
        </w:rPr>
        <w:t>million, $3.1</w:t>
      </w:r>
      <w:r>
        <w:rPr>
          <w:rFonts w:ascii="Times New Roman" w:hAnsi="Times New Roman"/>
          <w:sz w:val="20"/>
        </w:rPr>
        <w:t xml:space="preserve"> </w:t>
      </w:r>
      <w:r>
        <w:rPr>
          <w:rFonts w:ascii="Times New Roman;serif" w:hAnsi="Times New Roman;serif"/>
          <w:b w:val="false"/>
          <w:sz w:val="20"/>
        </w:rPr>
        <w:t>million and $1.5</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Major Customers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customers representing 10% or more of revenue and accounts receivable for the fiscal years ended January 31, 2023, 2022 ad 2021 were Wintech and Chicony. For the fiscal years ended January 31, 2023, 2022 and 2021, Wintech accounted for approximately 57%, 62% and 63% of total revenue, respectively. For the fiscal years ended January 31, 2023, 2022 and 2021, Chicony accounted for approximately 12%, 13% and 16% of total revenue, respectively. Accounts receivable with Wintech and Chicony were approximately $21.0</w:t>
      </w:r>
      <w:r>
        <w:rPr>
          <w:rFonts w:ascii="Times New Roman" w:hAnsi="Times New Roman"/>
          <w:sz w:val="20"/>
        </w:rPr>
        <w:t xml:space="preserve"> </w:t>
      </w:r>
      <w:r>
        <w:rPr>
          <w:rFonts w:ascii="Times New Roman;serif" w:hAnsi="Times New Roman;serif"/>
          <w:b w:val="false"/>
          <w:sz w:val="20"/>
        </w:rPr>
        <w:t>million and $9.4</w:t>
      </w:r>
      <w:r>
        <w:rPr>
          <w:rFonts w:ascii="Times New Roman" w:hAnsi="Times New Roman"/>
          <w:sz w:val="20"/>
        </w:rPr>
        <w:t xml:space="preserve"> </w:t>
      </w:r>
      <w:r>
        <w:rPr>
          <w:rFonts w:ascii="Times New Roman;serif" w:hAnsi="Times New Roman;serif"/>
          <w:b w:val="false"/>
          <w:sz w:val="20"/>
        </w:rPr>
        <w:t>million as of January 31, 2023, respectively. Accounts receivable with Wintech and Chicony were approximately $23.3</w:t>
      </w:r>
      <w:r>
        <w:rPr>
          <w:rFonts w:ascii="Times New Roman" w:hAnsi="Times New Roman"/>
          <w:sz w:val="20"/>
        </w:rPr>
        <w:t xml:space="preserve"> </w:t>
      </w:r>
      <w:r>
        <w:rPr>
          <w:rFonts w:ascii="Times New Roman;serif" w:hAnsi="Times New Roman;serif"/>
          <w:b w:val="false"/>
          <w:sz w:val="20"/>
        </w:rPr>
        <w:t>million and $7.4</w:t>
      </w:r>
      <w:r>
        <w:rPr>
          <w:rFonts w:ascii="Times New Roman" w:hAnsi="Times New Roman"/>
          <w:sz w:val="20"/>
        </w:rPr>
        <w:t xml:space="preserve"> </w:t>
      </w:r>
      <w:r>
        <w:rPr>
          <w:rFonts w:ascii="Times New Roman;serif" w:hAnsi="Times New Roman;serif"/>
          <w:b w:val="false"/>
          <w:sz w:val="20"/>
        </w:rPr>
        <w:t>million as of January 31, 2022, respectively.</w:t>
      </w:r>
      <w:r>
        <w:rPr>
          <w:rFonts w:ascii="Times New Roman" w:hAnsi="Times New Roman"/>
          <w:sz w:val="20"/>
        </w:rPr>
        <w:t xml:space="preserve"> </w:t>
      </w:r>
    </w:p>
    <w:p>
      <w:pPr>
        <w:pStyle w:val="TextBody"/>
        <w:spacing w:before="12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17. Subsequent Event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On March 10, 2023, Silicon Valley Bank (SVB) was closed by the California Department of Financial Protection and Innovation, which appointed the Federal Deposit Insurance Corporation (FDIC) as receiver. At the time of closing, the Company had cash deposits with SVB of approximately $17.0</w:t>
      </w:r>
      <w:r>
        <w:rPr>
          <w:rFonts w:ascii="Times New Roman" w:hAnsi="Times New Roman"/>
          <w:sz w:val="20"/>
        </w:rPr>
        <w:t xml:space="preserve"> </w:t>
      </w:r>
      <w:r>
        <w:rPr>
          <w:rFonts w:ascii="Times New Roman;serif" w:hAnsi="Times New Roman;serif"/>
          <w:b w:val="false"/>
          <w:sz w:val="20"/>
        </w:rPr>
        <w:t>million. On March 13, 2023, the Company withdrew all of its cash on deposit with SVB. The Company also has cash equivalents and marketable debt security investments residing in custodial accounts held by U.S. Bank for which SVB Asset Management was the investment advisor until March 15, 2023. The Company’s investment portfolio currently does not contain any securities of SVB. The Company holds sufficient liquid assets with other banks to manage its operational needs. Accordingly, the Company does not believe the closure of SVB and appointment of FDIC as receiver have an impact on its business or financial position, but will continue to monitor the situation as it evolves.</w:t>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34" w:name="item16"/>
      <w:bookmarkEnd w:id="34"/>
      <w:r>
        <w:rPr>
          <w:rFonts w:ascii="Times New Roman;serif" w:hAnsi="Times New Roman;serif"/>
          <w:b/>
          <w:sz w:val="20"/>
        </w:rPr>
        <w:t>ITEM 16. FORM 10-K SUMMARY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pPr>
      <w:r>
        <w:rPr/>
        <w:t> </w:t>
      </w:r>
    </w:p>
    <w:p>
      <w:pPr>
        <w:pStyle w:val="TextBody"/>
        <w:spacing w:before="24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bookmarkStart w:id="35" w:name="exhibits_index"/>
      <w:bookmarkEnd w:id="35"/>
      <w:r>
        <w:rPr>
          <w:rFonts w:ascii="Times New Roman;serif" w:hAnsi="Times New Roman;serif"/>
          <w:b/>
          <w:sz w:val="20"/>
        </w:rPr>
        <w:t>EXHIBITS</w:t>
      </w:r>
      <w:r>
        <w:rPr>
          <w:rFonts w:ascii="Times New Roman" w:hAnsi="Times New Roman"/>
          <w:sz w:val="20"/>
        </w:rPr>
        <w:t xml:space="preserve"> </w:t>
      </w:r>
      <w:r>
        <w:rPr>
          <w:rFonts w:ascii="Times New Roman;serif" w:hAnsi="Times New Roman;serif"/>
          <w:b/>
          <w:sz w:val="20"/>
        </w:rPr>
        <w:t>INDEX</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20"/>
        <w:gridCol w:w="146"/>
        <w:gridCol w:w="9239"/>
      </w:tblGrid>
      <w:tr>
        <w:trPr/>
        <w:tc>
          <w:tcPr>
            <w:tcW w:w="8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39" w:type="dxa"/>
            <w:tcBorders/>
            <w:shd w:fill="auto" w:val="clear"/>
            <w:vAlign w:val="center"/>
          </w:tcPr>
          <w:p>
            <w:pPr>
              <w:pStyle w:val="TableContents"/>
              <w:spacing w:before="0" w:after="283"/>
              <w:rPr>
                <w:sz w:val="4"/>
                <w:szCs w:val="4"/>
              </w:rPr>
            </w:pPr>
            <w:r>
              <w:rPr>
                <w:sz w:val="4"/>
                <w:szCs w:val="4"/>
              </w:rPr>
            </w:r>
          </w:p>
        </w:tc>
      </w:tr>
      <w:tr>
        <w:trPr/>
        <w:tc>
          <w:tcPr>
            <w:tcW w:w="820"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pPr>
            <w:r>
              <w:rPr/>
              <w:t> </w:t>
            </w:r>
          </w:p>
        </w:tc>
        <w:tc>
          <w:tcPr>
            <w:tcW w:w="9239" w:type="dxa"/>
            <w:tcBorders>
              <w:bottom w:val="single" w:sz="8"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 w:hAnsi="Times New Roman"/>
                <w:sz w:val="20"/>
              </w:rPr>
            </w:pPr>
            <w:r>
              <w:rPr>
                <w:rFonts w:ascii="Times New Roman;serif" w:hAnsi="Times New Roman;serif"/>
                <w:b/>
                <w:sz w:val="16"/>
              </w:rPr>
              <w:t>Description</w:t>
            </w:r>
            <w:r>
              <w:rPr>
                <w:rFonts w:ascii="Times New Roman" w:hAnsi="Times New Roman"/>
                <w:sz w:val="20"/>
              </w:rPr>
              <w:t xml:space="preserve"> </w:t>
            </w:r>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2.1(2)</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Agreement and Plan of Merger, dated October 26, 2021, by and among Ambarella, Inc., Ohio Merger Sub, Inc., Oculii Corp. and Shareholder Representative Services LLC</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3.2(3)</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Amended and Restated Memorandum of Association and Second Amended and Restated Articles of Association of Ambarella, Inc.</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4.1(14)</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Description of Share Capital of Ambarella, Inc.</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10.2.1(5)*</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Amended and Restated 2012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10.2.2(3)*</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Form of Stock Option Agreement under 2012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10.2.3(3)*</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Form of Restricted Stock Agreement under 2012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10.2.4(3)*</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Form of Restricted Stock Unit Agreement under 2012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10.2.5(5)*</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Form of Performance-Based Restricted Stock Unit Agreement under 2012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Amended and Restated 2012 Employee Stock Purchase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Ambarella, Inc. 2021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4.1.2(7)*</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Form of Stock Option Agreement under 2021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4.1.3(7)*</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Form of Restricted Stock Unit Agreement under 2021 Equity Incentive Plan</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4.1.1(8)*</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Oculii Corp. 2017 Stock Option Plan</w:t>
              </w:r>
            </w:hyperlink>
            <w:r>
              <w:rPr>
                <w:rFonts w:ascii="Times New Roman" w:hAnsi="Times New Roman"/>
                <w:sz w:val="20"/>
              </w:rPr>
              <w:t xml:space="preserve"> </w:t>
            </w:r>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4.1.2(8)*</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Form of Stock Option Agreement under Oculii Corp. 2017 Stock Option Plan</w:t>
              </w:r>
            </w:hyperlink>
            <w:r>
              <w:rPr>
                <w:rFonts w:ascii="Times New Roman" w:hAnsi="Times New Roman"/>
                <w:sz w:val="20"/>
              </w:rPr>
              <w:t xml:space="preserve"> </w:t>
            </w:r>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10.4(3)*</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Form of Indemnification Agreement</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10.6.1(4)*</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Form of Change of Control and Severance Agreement, entered into by Ambarella, Inc. with the Chief Executive Officer, Chief Financial Officer and Chief Technology Officer</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10.3(11)*</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Form of Amended and Restated Change of Control and Severance Agreement, entered into by Ambarella, Inc. with executive officers other than the Chief Executive Officer, Chief Financial Officer and Chief Technology Officer</w:t>
              </w:r>
            </w:hyperlink>
          </w:p>
        </w:tc>
      </w:tr>
      <w:tr>
        <w:trPr/>
        <w:tc>
          <w:tcPr>
            <w:tcW w:w="82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r>
              <w:rPr/>
              <w:t> </w:t>
            </w:r>
          </w:p>
        </w:tc>
      </w:tr>
      <w:tr>
        <w:trPr/>
        <w:tc>
          <w:tcPr>
            <w:tcW w:w="8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10.8.1(9)</w:t>
            </w:r>
          </w:p>
        </w:tc>
        <w:tc>
          <w:tcPr>
            <w:tcW w:w="146" w:type="dxa"/>
            <w:tcBorders/>
            <w:shd w:fill="auto" w:val="clear"/>
            <w:vAlign w:val="center"/>
          </w:tcPr>
          <w:p>
            <w:pPr>
              <w:pStyle w:val="TableContents"/>
              <w:spacing w:before="0" w:after="0"/>
              <w:ind w:left="0" w:right="0" w:hanging="0"/>
              <w:jc w:val="left"/>
              <w:rPr/>
            </w:pPr>
            <w:r>
              <w:rPr/>
              <w:t> </w:t>
            </w:r>
          </w:p>
        </w:tc>
        <w:tc>
          <w:tcPr>
            <w:tcW w:w="9239" w:type="dxa"/>
            <w:tcBorders/>
            <w:shd w:fill="auto" w:val="cle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Sales Representative Agreement dated January 31, 2011 by and between Ambarella, Inc. and WT Microelectronics Co., Ltd.</w:t>
              </w:r>
            </w:hyperlink>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74"/>
        <w:gridCol w:w="146"/>
        <w:gridCol w:w="9185"/>
      </w:tblGrid>
      <w:tr>
        <w:trPr/>
        <w:tc>
          <w:tcPr>
            <w:tcW w:w="8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85"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10.8.2(9)</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Amendment No. 1 to Sales Representative Agreement dated February 1, 2012 by and between Ambarella, Inc. and WT Microelectronics Co., Ltd.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10.8.3(10)</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Amendment No. 2 to Sales Representative Agreement dated October 1, 2012 by and between Ambarella, Inc. and WT Microelectronics Co., Ltd.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Amendment to the Sales Representative Agreement dated August 1, 2015 by and between Ambarella, Inc. and WT Microelectronics Co., Ltd.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10.1(12)</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Amendment to the Sales Representative Agreement dated June 1, 2019 by and between Ambarella, Inc. and WT Microelectronics Co., Ltd.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10.2(15)</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Amendment No. 6 to Sales Representative Agreement dated May 1, 2021 by and between Ambarella, Inc. and WT Microelectronics Co., Ltd.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10.1(13)</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29">
              <w:r>
                <w:rPr>
                  <w:rStyle w:val="InternetLink"/>
                  <w:rFonts w:ascii="Times New Roman;serif" w:hAnsi="Times New Roman;serif"/>
                  <w:b w:val="false"/>
                  <w:sz w:val="20"/>
                  <w:u w:val="single"/>
                </w:rPr>
                <w:t>Standard Lease between Ambarella Corporation and The Realty Associates Fund XI Portfolio, L.P., dated as of August 8, 2019</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10.1(16)*</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30">
              <w:r>
                <w:rPr>
                  <w:rStyle w:val="InternetLink"/>
                  <w:rFonts w:ascii="Times New Roman;serif" w:hAnsi="Times New Roman;serif"/>
                  <w:b w:val="false"/>
                  <w:sz w:val="20"/>
                  <w:u w:val="single"/>
                </w:rPr>
                <w:t>Employment letter entered into by Ambarella Corp. with Brian White, dated March 18, 2022.</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10.2(16)*</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31">
              <w:r>
                <w:rPr>
                  <w:rStyle w:val="InternetLink"/>
                  <w:rFonts w:ascii="Times New Roman;serif" w:hAnsi="Times New Roman;serif"/>
                  <w:b w:val="false"/>
                  <w:sz w:val="20"/>
                  <w:u w:val="single"/>
                </w:rPr>
                <w:t>Change of Control and Severance Agreement entered into by Ambarella Corp. with Brian White, dated March 28, 2022.</w:t>
              </w:r>
            </w:hyperlink>
            <w:hyperlink r:id="rId32">
              <w:r>
                <w:rPr>
                  <w:rStyle w:val="InternetLink"/>
                  <w:rFonts w:ascii="Times New Roman" w:hAnsi="Times New Roman"/>
                  <w:sz w:val="20"/>
                </w:rPr>
                <w:t xml:space="preserve"> </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10.11(17)*</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33">
              <w:r>
                <w:rPr>
                  <w:rStyle w:val="InternetLink"/>
                  <w:rFonts w:ascii="Times New Roman;serif" w:hAnsi="Times New Roman;serif"/>
                  <w:b w:val="false"/>
                  <w:sz w:val="20"/>
                  <w:u w:val="single"/>
                </w:rPr>
                <w:t>Description of Executive Bonus Plan for Fiscal Year 2024.</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21.1(14)</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r:id="rId34">
              <w:r>
                <w:rPr>
                  <w:rStyle w:val="InternetLink"/>
                  <w:rFonts w:ascii="Times New Roman;serif" w:hAnsi="Times New Roman;serif"/>
                  <w:b w:val="false"/>
                  <w:sz w:val="20"/>
                  <w:u w:val="single"/>
                </w:rPr>
                <w:t>List of subsidiaries of Ambarella, Inc.</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w:anchor="amba-ex23_1.htm">
              <w:r>
                <w:rPr>
                  <w:rStyle w:val="InternetLink"/>
                  <w:rFonts w:ascii="Times New Roman;serif" w:hAnsi="Times New Roman;serif"/>
                  <w:b w:val="false"/>
                  <w:sz w:val="20"/>
                  <w:u w:val="single"/>
                </w:rPr>
                <w:t>Consent of PricewaterhouseCoopers LLP, independent registered public accounting firm</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24.1</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w:anchor="power_attorney">
              <w:r>
                <w:rPr>
                  <w:rStyle w:val="InternetLink"/>
                  <w:rFonts w:ascii="Times New Roman;serif" w:hAnsi="Times New Roman;serif"/>
                  <w:b w:val="false"/>
                  <w:sz w:val="20"/>
                  <w:u w:val="single"/>
                </w:rPr>
                <w:t>Power of Attorney (included in signature page)</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w:anchor="amba-ex31_1.htm">
              <w:r>
                <w:rPr>
                  <w:rStyle w:val="InternetLink"/>
                  <w:rFonts w:ascii="Times New Roman;serif" w:hAnsi="Times New Roman;serif"/>
                  <w:b w:val="false"/>
                  <w:sz w:val="20"/>
                  <w:u w:val="single"/>
                </w:rPr>
                <w:t>Certification of Principal Executive Officer Required Under Rule 13a-14(a) and 15d-14(a) of the Securities Exchange Act of 1934, as amended</w:t>
              </w:r>
            </w:hyperlink>
          </w:p>
        </w:tc>
      </w:tr>
      <w:tr>
        <w:trPr/>
        <w:tc>
          <w:tcPr>
            <w:tcW w:w="874" w:type="dxa"/>
            <w:tcBorders/>
            <w:shd w:fill="auto" w:val="clear"/>
            <w:vAlign w:val="center"/>
          </w:tcPr>
          <w:p>
            <w:pPr>
              <w:pStyle w:val="TableContents"/>
              <w:spacing w:before="0" w:after="2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2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w:anchor="amba-ex31_2.htm">
              <w:r>
                <w:rPr>
                  <w:rStyle w:val="InternetLink"/>
                  <w:rFonts w:ascii="Times New Roman;serif" w:hAnsi="Times New Roman;serif"/>
                  <w:b w:val="false"/>
                  <w:sz w:val="20"/>
                  <w:u w:val="single"/>
                </w:rPr>
                <w:t>Certification of Principal Financial Officer Required Under Rule 13a-14(a) and 15d-14(a) of the Securities Exchange Act of 1934, as amended</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hyperlink w:anchor="amba-ex32_1.htm">
              <w:r>
                <w:rPr>
                  <w:rStyle w:val="InternetLink"/>
                  <w:rFonts w:ascii="Times New Roman;serif" w:hAnsi="Times New Roman;serif"/>
                  <w:b w:val="false"/>
                  <w:sz w:val="20"/>
                  <w:u w:val="single"/>
                </w:rPr>
                <w:t>Certification of Principal Executive Officer and Principal Financial Officer Required Under Rule 13a-14(b) of the Securities Exchange Act of 1934, as amended, and 18 U.S.C. §1350</w:t>
              </w:r>
            </w:hyperlink>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Schema Linkbase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Calculation Linkbase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Definition Linkbase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Labels Linkbase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Presentation Linkbase Document</w:t>
            </w:r>
          </w:p>
        </w:tc>
      </w:tr>
      <w:tr>
        <w:trPr/>
        <w:tc>
          <w:tcPr>
            <w:tcW w:w="87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pPr>
            <w:r>
              <w:rPr/>
              <w:t> </w:t>
            </w:r>
          </w:p>
        </w:tc>
      </w:tr>
      <w:tr>
        <w:trPr/>
        <w:tc>
          <w:tcPr>
            <w:tcW w:w="8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1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Annual Report on Form 10-K for the fiscal year ended January 31, 2022, has been formatted in Inline XBRL and included in Exhibit 101</w:t>
            </w:r>
          </w:p>
        </w:tc>
      </w:tr>
    </w:tbl>
    <w:p>
      <w:pPr>
        <w:pStyle w:val="TextBody"/>
        <w:spacing w:before="0" w:after="0"/>
        <w:jc w:val="left"/>
        <w:rPr/>
      </w:pPr>
      <w:r>
        <w:rPr/>
        <w:t> </w:t>
      </w:r>
    </w:p>
    <w:tbl>
      <w:tblPr>
        <w:tblW w:w="206" w:type="dxa"/>
        <w:jc w:val="left"/>
        <w:tblInd w:w="0" w:type="dxa"/>
        <w:tblCellMar>
          <w:top w:w="28" w:type="dxa"/>
          <w:left w:w="28" w:type="dxa"/>
          <w:bottom w:w="28" w:type="dxa"/>
          <w:right w:w="28" w:type="dxa"/>
        </w:tblCellMar>
      </w:tblPr>
      <w:tblGrid>
        <w:gridCol w:w="206"/>
      </w:tblGrid>
      <w:tr>
        <w:trPr/>
        <w:tc>
          <w:tcPr>
            <w:tcW w:w="206" w:type="dxa"/>
            <w:tcBorders/>
            <w:shd w:fill="auto" w:val="clear"/>
            <w:vAlign w:val="center"/>
          </w:tcPr>
          <w:p>
            <w:pPr>
              <w:pStyle w:val="TableContents"/>
              <w:spacing w:before="0" w:after="283"/>
              <w:rPr>
                <w:sz w:val="4"/>
                <w:szCs w:val="4"/>
              </w:rPr>
            </w:pPr>
            <w:r>
              <w:rPr>
                <w:sz w:val="4"/>
                <w:szCs w:val="4"/>
              </w:rPr>
            </w:r>
          </w:p>
        </w:tc>
      </w:tr>
      <w:tr>
        <w:trPr/>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Incorporated by reference to the Form 10-Q filed on September 8, 2015.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8-K filed on October 26, 2021.</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Incorporated by reference to the Form S-1/A (No. 333-174838) filed on September 13, 2012.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Incorporated by reference to the Form S-1 (No. 333-174838) filed on June 10, 2011. </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10-K filed on March 30, 2017.</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8-K filed on June 23, 2021.</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S-8 (No. 333-261244) filed on November 19, 2021.</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S-8 (No. 333-261243) filed on November 19, 2021.</w:t>
      </w:r>
    </w:p>
    <w:p>
      <w:pPr>
        <w:pStyle w:val="TextBody"/>
        <w:spacing w:before="0" w:after="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Incorporated by reference to the Form S-1/A (No. 333-174838) filed on September 26, 2012. </w:t>
      </w:r>
    </w:p>
    <w:p>
      <w:pPr>
        <w:pStyle w:val="TextBody"/>
        <w:spacing w:before="0" w:after="0"/>
        <w:jc w:val="left"/>
        <w:rPr>
          <w:rFonts w:ascii="Times New Roman" w:hAnsi="Times New Roman"/>
          <w:b w:val="false"/>
          <w:sz w:val="20"/>
        </w:rPr>
      </w:pPr>
      <w:r>
        <w:rPr>
          <w:rFonts w:ascii="Times New Roman" w:hAnsi="Times New Roman"/>
          <w:b w:val="false"/>
          <w:sz w:val="20"/>
        </w:rPr>
        <w:t>(10)</w:t>
      </w:r>
    </w:p>
    <w:p>
      <w:pPr>
        <w:pStyle w:val="TextBody"/>
        <w:jc w:val="left"/>
        <w:rPr>
          <w:rFonts w:ascii="Times New Roman;serif" w:hAnsi="Times New Roman;serif"/>
          <w:b w:val="false"/>
          <w:sz w:val="20"/>
        </w:rPr>
      </w:pPr>
      <w:r>
        <w:rPr>
          <w:rFonts w:ascii="Times New Roman;serif" w:hAnsi="Times New Roman;serif"/>
          <w:b w:val="false"/>
          <w:sz w:val="20"/>
        </w:rPr>
        <w:t xml:space="preserve">Incorporated by reference to the Form S-1/A (No. 333-174838) filed on October 5, 2012.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10-Q filed on September 7, 2018.</w:t>
      </w:r>
    </w:p>
    <w:p>
      <w:pPr>
        <w:pStyle w:val="TextBody"/>
        <w:spacing w:before="0" w:after="0"/>
        <w:jc w:val="left"/>
        <w:rPr>
          <w:rFonts w:ascii="Times New Roman" w:hAnsi="Times New Roman"/>
          <w:b w:val="false"/>
          <w:sz w:val="20"/>
        </w:rPr>
      </w:pPr>
      <w:r>
        <w:rPr>
          <w:rFonts w:ascii="Times New Roman" w:hAnsi="Times New Roman"/>
          <w:b w:val="false"/>
          <w:sz w:val="20"/>
        </w:rPr>
        <w:t>(12)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10-Q filed on September 6, 2019.</w:t>
      </w:r>
    </w:p>
    <w:p>
      <w:pPr>
        <w:pStyle w:val="TextBody"/>
        <w:spacing w:before="0" w:after="0"/>
        <w:jc w:val="left"/>
        <w:rPr>
          <w:rFonts w:ascii="Times New Roman" w:hAnsi="Times New Roman"/>
          <w:b w:val="false"/>
          <w:sz w:val="20"/>
        </w:rPr>
      </w:pPr>
      <w:r>
        <w:rPr>
          <w:rFonts w:ascii="Times New Roman" w:hAnsi="Times New Roman"/>
          <w:b w:val="false"/>
          <w:sz w:val="20"/>
        </w:rPr>
        <w:t>(13)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10-Q filed on December 6, 2019.</w:t>
      </w:r>
    </w:p>
    <w:p>
      <w:pPr>
        <w:pStyle w:val="TextBody"/>
        <w:spacing w:before="0" w:after="0"/>
        <w:jc w:val="left"/>
        <w:rPr>
          <w:rFonts w:ascii="Times New Roman" w:hAnsi="Times New Roman"/>
          <w:b w:val="false"/>
          <w:sz w:val="20"/>
        </w:rPr>
      </w:pPr>
      <w:r>
        <w:rPr>
          <w:rFonts w:ascii="Times New Roman" w:hAnsi="Times New Roman"/>
          <w:b w:val="false"/>
          <w:sz w:val="20"/>
        </w:rPr>
        <w:t>(14)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10-K filed on March 27, 2020.</w:t>
      </w:r>
    </w:p>
    <w:p>
      <w:pPr>
        <w:pStyle w:val="TextBody"/>
        <w:spacing w:before="0" w:after="0"/>
        <w:jc w:val="left"/>
        <w:rPr>
          <w:rFonts w:ascii="Times New Roman" w:hAnsi="Times New Roman"/>
          <w:b w:val="false"/>
          <w:sz w:val="20"/>
        </w:rPr>
      </w:pPr>
      <w:r>
        <w:rPr>
          <w:rFonts w:ascii="Times New Roman" w:hAnsi="Times New Roman"/>
          <w:b w:val="false"/>
          <w:sz w:val="20"/>
        </w:rPr>
        <w:t>(15)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10-Q filed on September 8, 2021.</w:t>
      </w:r>
    </w:p>
    <w:p>
      <w:pPr>
        <w:pStyle w:val="TextBody"/>
        <w:spacing w:before="0" w:after="0"/>
        <w:jc w:val="left"/>
        <w:rPr>
          <w:rFonts w:ascii="Times New Roman" w:hAnsi="Times New Roman"/>
          <w:b w:val="false"/>
          <w:sz w:val="20"/>
        </w:rPr>
      </w:pPr>
      <w:r>
        <w:rPr>
          <w:rFonts w:ascii="Times New Roman" w:hAnsi="Times New Roman"/>
          <w:b w:val="false"/>
          <w:sz w:val="20"/>
        </w:rPr>
        <w:t>(16)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Incorporated by reference to the Form 10-Q filed on June 8, 2022.</w:t>
      </w:r>
    </w:p>
    <w:p>
      <w:pPr>
        <w:pStyle w:val="TextBody"/>
        <w:spacing w:before="0" w:after="0"/>
        <w:jc w:val="left"/>
        <w:rPr>
          <w:rFonts w:ascii="Times New Roman" w:hAnsi="Times New Roman"/>
          <w:b w:val="false"/>
          <w:sz w:val="20"/>
        </w:rPr>
      </w:pPr>
      <w:r>
        <w:rPr>
          <w:rFonts w:ascii="Times New Roman" w:hAnsi="Times New Roman"/>
          <w:b w:val="false"/>
          <w:sz w:val="20"/>
        </w:rPr>
        <w:t>(17)</w:t>
      </w:r>
    </w:p>
    <w:p>
      <w:pPr>
        <w:pStyle w:val="TextBody"/>
        <w:jc w:val="left"/>
        <w:rPr>
          <w:rFonts w:ascii="Times New Roman;serif" w:hAnsi="Times New Roman;serif"/>
          <w:b w:val="false"/>
          <w:sz w:val="20"/>
        </w:rPr>
      </w:pPr>
      <w:r>
        <w:rPr>
          <w:rFonts w:ascii="Times New Roman;serif" w:hAnsi="Times New Roman;serif"/>
          <w:b w:val="false"/>
          <w:sz w:val="20"/>
        </w:rPr>
        <w:t>Incorporated by reference to the Form 8-K filed on March 2, 2023.</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Management contracts or compensation plans or arrangements in which directors or executive officers are eligible to participate</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6" w:name="signatures"/>
      <w:bookmarkEnd w:id="36"/>
      <w:r>
        <w:rPr>
          <w:rFonts w:ascii="Times New Roman;serif" w:hAnsi="Times New Roman;serif"/>
          <w:b/>
          <w:sz w:val="20"/>
        </w:rPr>
        <w:t>SIGNATURES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the registrant has duly caused this report to be signed on its behalf by the undersigned, thereunto duly authorized, on March 31, 2023.</w:t>
      </w:r>
      <w:r>
        <w:rPr>
          <w:rFonts w:ascii="Times New Roman" w:hAnsi="Times New Roman"/>
          <w:sz w:val="20"/>
        </w:rPr>
        <w:t xml:space="preserve"> </w:t>
      </w:r>
    </w:p>
    <w:p>
      <w:pPr>
        <w:pStyle w:val="TextBody"/>
        <w:spacing w:before="0" w:after="0"/>
        <w:jc w:val="left"/>
        <w:rPr/>
      </w:pPr>
      <w:r>
        <w:rPr/>
        <w:t> </w:t>
      </w:r>
    </w:p>
    <w:tbl>
      <w:tblPr>
        <w:tblW w:w="3729" w:type="dxa"/>
        <w:jc w:val="left"/>
        <w:tblInd w:w="0" w:type="dxa"/>
        <w:tblCellMar>
          <w:top w:w="28" w:type="dxa"/>
          <w:left w:w="28" w:type="dxa"/>
          <w:bottom w:w="28" w:type="dxa"/>
          <w:right w:w="28" w:type="dxa"/>
        </w:tblCellMar>
      </w:tblPr>
      <w:tblGrid>
        <w:gridCol w:w="161"/>
        <w:gridCol w:w="406"/>
        <w:gridCol w:w="146"/>
        <w:gridCol w:w="3016"/>
      </w:tblGrid>
      <w:tr>
        <w:trPr/>
        <w:tc>
          <w:tcPr>
            <w:tcW w:w="16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left"/>
              <w:rPr/>
            </w:pPr>
            <w:r>
              <w:rPr/>
              <w:t> </w:t>
            </w:r>
          </w:p>
        </w:tc>
        <w:tc>
          <w:tcPr>
            <w:tcW w:w="3568" w:type="dxa"/>
            <w:gridSpan w:val="3"/>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AMBARELLA, INC.</w:t>
            </w:r>
          </w:p>
        </w:tc>
      </w:tr>
      <w:tr>
        <w:trPr/>
        <w:tc>
          <w:tcPr>
            <w:tcW w:w="161" w:type="dxa"/>
            <w:tcBorders/>
            <w:shd w:fill="auto" w:val="clear"/>
            <w:vAlign w:val="center"/>
          </w:tcPr>
          <w:p>
            <w:pPr>
              <w:pStyle w:val="TableContents"/>
              <w:spacing w:before="0" w:after="0"/>
              <w:ind w:left="0" w:right="0" w:hanging="0"/>
              <w:jc w:val="left"/>
              <w:rPr/>
            </w:pPr>
            <w:r>
              <w:rPr/>
              <w:t> </w:t>
            </w:r>
          </w:p>
        </w:tc>
        <w:tc>
          <w:tcPr>
            <w:tcW w:w="3568" w:type="dxa"/>
            <w:gridSpan w:val="3"/>
            <w:tcBorders/>
            <w:shd w:fill="auto" w:val="clear"/>
            <w:vAlign w:val="center"/>
          </w:tcPr>
          <w:p>
            <w:pPr>
              <w:pStyle w:val="TableContents"/>
              <w:spacing w:before="0" w:after="0"/>
              <w:ind w:left="0" w:right="0" w:hanging="0"/>
              <w:jc w:val="left"/>
              <w:rPr/>
            </w:pPr>
            <w:r>
              <w:rPr/>
              <w:t> </w:t>
            </w:r>
          </w:p>
        </w:tc>
      </w:tr>
      <w:tr>
        <w:trPr/>
        <w:tc>
          <w:tcPr>
            <w:tcW w:w="16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016" w:type="dxa"/>
            <w:tcBorders/>
            <w:shd w:fill="auto" w:val="clear"/>
            <w:vAlign w:val="center"/>
          </w:tcPr>
          <w:p>
            <w:pPr>
              <w:pStyle w:val="TableContents"/>
              <w:pBdr>
                <w:bottom w:val="single" w:sz="4" w:space="1" w:color="000000"/>
              </w:pBdr>
              <w:spacing w:before="0" w:after="0"/>
              <w:ind w:left="0" w:right="0" w:hanging="0"/>
              <w:jc w:val="left"/>
              <w:rPr>
                <w:rFonts w:ascii="Times New Roman;serif" w:hAnsi="Times New Roman;serif"/>
                <w:b w:val="false"/>
                <w:sz w:val="20"/>
              </w:rPr>
            </w:pPr>
            <w:r>
              <w:rPr>
                <w:rFonts w:ascii="Times New Roman;serif" w:hAnsi="Times New Roman;serif"/>
                <w:b w:val="false"/>
                <w:sz w:val="20"/>
              </w:rPr>
              <w:t>/s/ Brian C. White</w:t>
            </w:r>
          </w:p>
        </w:tc>
      </w:tr>
      <w:tr>
        <w:trPr/>
        <w:tc>
          <w:tcPr>
            <w:tcW w:w="161"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Brian C. White, Chief Financial Officer</w:t>
            </w:r>
          </w:p>
        </w:tc>
      </w:tr>
    </w:tbl>
    <w:p>
      <w:pPr>
        <w:pStyle w:val="TextBody"/>
        <w:spacing w:before="0" w:after="0"/>
        <w:jc w:val="left"/>
        <w:rPr/>
      </w:pPr>
      <w:r>
        <w:rPr/>
        <w:t> </w:t>
      </w:r>
    </w:p>
    <w:p>
      <w:pPr>
        <w:pStyle w:val="TextBody"/>
        <w:spacing w:before="240" w:after="0"/>
        <w:jc w:val="center"/>
        <w:rPr>
          <w:rFonts w:ascii="Times New Roman" w:hAnsi="Times New Roman"/>
          <w:sz w:val="20"/>
        </w:rPr>
      </w:pPr>
      <w:bookmarkStart w:id="37" w:name="power_attorney"/>
      <w:bookmarkEnd w:id="37"/>
      <w:r>
        <w:rPr>
          <w:rFonts w:ascii="Times New Roman;serif" w:hAnsi="Times New Roman;serif"/>
          <w:b/>
          <w:sz w:val="20"/>
        </w:rPr>
        <w:t>POWER OF ATTORNEY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KNOW ALL PERSONS BY THESE PRESENTS, that each person whose signature appears below hereby constitutes and appoints Brian C. White as his true and lawful agent, proxy and attorney-in-fact, with full power of substitution and resubstitution, for him and in his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this report has been signed below by the following persons on behalf of the registrant and in the capacities and on March 31, 2023.</w:t>
      </w:r>
      <w:r>
        <w:rPr>
          <w:rFonts w:ascii="Times New Roman" w:hAnsi="Times New Roman"/>
          <w:sz w:val="20"/>
        </w:rPr>
        <w:t xml:space="preserve"> </w:t>
      </w:r>
    </w:p>
    <w:p>
      <w:pPr>
        <w:pStyle w:val="TextBody"/>
        <w:spacing w:before="0" w:after="0"/>
        <w:jc w:val="left"/>
        <w:rPr/>
      </w:pPr>
      <w:r>
        <w:rPr/>
        <w:t> </w:t>
      </w:r>
    </w:p>
    <w:tbl>
      <w:tblPr>
        <w:tblW w:w="9343" w:type="dxa"/>
        <w:jc w:val="left"/>
        <w:tblInd w:w="0" w:type="dxa"/>
        <w:tblCellMar>
          <w:top w:w="28" w:type="dxa"/>
          <w:left w:w="28" w:type="dxa"/>
          <w:bottom w:w="28" w:type="dxa"/>
          <w:right w:w="28" w:type="dxa"/>
        </w:tblCellMar>
      </w:tblPr>
      <w:tblGrid>
        <w:gridCol w:w="2086"/>
        <w:gridCol w:w="146"/>
        <w:gridCol w:w="7111"/>
      </w:tblGrid>
      <w:tr>
        <w:trPr/>
        <w:tc>
          <w:tcPr>
            <w:tcW w:w="208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7111" w:type="dxa"/>
            <w:tcBorders/>
            <w:shd w:fill="FFFFFF" w:val="clear"/>
            <w:vAlign w:val="center"/>
          </w:tcPr>
          <w:p>
            <w:pPr>
              <w:pStyle w:val="TableContents"/>
              <w:spacing w:before="0" w:after="283"/>
              <w:rPr>
                <w:sz w:val="4"/>
                <w:szCs w:val="4"/>
              </w:rPr>
            </w:pPr>
            <w:r>
              <w:rPr>
                <w:sz w:val="4"/>
                <w:szCs w:val="4"/>
              </w:rPr>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Signature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Feng-Ming Wang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vMerge w:val="restart"/>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President, Chief Executive Officer, Executive Chairman and Director (Principal Executive Officer)</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Feng-Ming Wang</w:t>
            </w:r>
          </w:p>
        </w:tc>
        <w:tc>
          <w:tcPr>
            <w:tcW w:w="146" w:type="dxa"/>
            <w:tcBorders/>
            <w:shd w:fill="auto" w:val="clear"/>
            <w:vAlign w:val="center"/>
          </w:tcPr>
          <w:p>
            <w:pPr>
              <w:pStyle w:val="TableContents"/>
              <w:spacing w:before="0" w:after="0"/>
              <w:ind w:left="0" w:right="0" w:hanging="0"/>
              <w:jc w:val="left"/>
              <w:rPr/>
            </w:pPr>
            <w:r>
              <w:rPr/>
              <w:t> </w:t>
            </w:r>
          </w:p>
        </w:tc>
        <w:tc>
          <w:tcPr>
            <w:tcW w:w="7111" w:type="dxa"/>
            <w:vMerge w:val="continue"/>
            <w:tcBorders/>
            <w:shd w:fill="auto" w:val="clear"/>
            <w:tcMar>
              <w:top w:w="0" w:type="dxa"/>
              <w:left w:w="0" w:type="dxa"/>
              <w:bottom w:w="0" w:type="dxa"/>
              <w:right w:w="0" w:type="dxa"/>
            </w:tcMar>
            <w:vAlign w:val="center"/>
          </w:tcPr>
          <w:p>
            <w:pPr>
              <w:pStyle w:val="Normal"/>
              <w:rPr/>
            </w:pPr>
            <w:r>
              <w:rPr/>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Brian C. White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Financial Officer (Principal Financial and Accounting Officer)</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Brian C. White</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Leslie D. Kohn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Chief Technical Officer and Director</w:t>
            </w:r>
          </w:p>
        </w:tc>
      </w:tr>
      <w:tr>
        <w:trPr/>
        <w:tc>
          <w:tcPr>
            <w:tcW w:w="2086"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Leslie D. Kohn</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Chenming C. Hu</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Chenming C. Hu</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Christopher B. Paisley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Christopher B. Paisley</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D. Jeffrey Richardson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D. Jeffrey Richardson</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Hsiao-Wuen Hon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Hsiao-Wuen Hon</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/s/ Andrew W. Verhalen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Andrew W. Verhalen</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2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/s/ Elizabeth M. Schwarting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2086"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Elizabeth M. Schwarting</w:t>
            </w:r>
          </w:p>
        </w:tc>
        <w:tc>
          <w:tcPr>
            <w:tcW w:w="146" w:type="dxa"/>
            <w:tcBorders/>
            <w:shd w:fill="auto" w:val="clear"/>
            <w:vAlign w:val="center"/>
          </w:tcPr>
          <w:p>
            <w:pPr>
              <w:pStyle w:val="TableContents"/>
              <w:spacing w:before="0" w:after="0"/>
              <w:ind w:left="0" w:right="0" w:hanging="0"/>
              <w:jc w:val="left"/>
              <w:rPr/>
            </w:pPr>
            <w:r>
              <w:rPr/>
              <w:t> </w:t>
            </w:r>
          </w:p>
        </w:tc>
        <w:tc>
          <w:tcPr>
            <w:tcW w:w="71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2713" w:type="dxa"/>
        <w:jc w:val="left"/>
        <w:tblInd w:w="0" w:type="dxa"/>
        <w:tblCellMar>
          <w:top w:w="28" w:type="dxa"/>
          <w:left w:w="28" w:type="dxa"/>
          <w:bottom w:w="28" w:type="dxa"/>
          <w:right w:w="28" w:type="dxa"/>
        </w:tblCellMar>
      </w:tblPr>
      <w:tblGrid>
        <w:gridCol w:w="1831"/>
        <w:gridCol w:w="146"/>
        <w:gridCol w:w="736"/>
      </w:tblGrid>
      <w:tr>
        <w:trPr/>
        <w:tc>
          <w:tcPr>
            <w:tcW w:w="1831"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736" w:type="dxa"/>
            <w:tcBorders/>
            <w:shd w:fill="FFFFFF" w:val="clear"/>
            <w:vAlign w:val="center"/>
          </w:tcPr>
          <w:p>
            <w:pPr>
              <w:pStyle w:val="TableContents"/>
              <w:spacing w:before="0" w:after="283"/>
              <w:rPr>
                <w:sz w:val="4"/>
                <w:szCs w:val="4"/>
              </w:rPr>
            </w:pPr>
            <w:r>
              <w:rPr>
                <w:sz w:val="4"/>
                <w:szCs w:val="4"/>
              </w:rPr>
            </w:r>
          </w:p>
        </w:tc>
      </w:tr>
      <w:tr>
        <w:trPr/>
        <w:tc>
          <w:tcPr>
            <w:tcW w:w="1831" w:type="dxa"/>
            <w:tcBorders>
              <w:bottom w:val="single" w:sz="4" w:space="0" w:color="000000"/>
            </w:tcBorders>
            <w:shd w:fill="auto" w:val="clear"/>
            <w:tcMar>
              <w:top w:w="0" w:type="dxa"/>
              <w:left w:w="0" w:type="dxa"/>
              <w:right w:w="0" w:type="dxa"/>
            </w:tcM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/s/ Anne De Greef-Safft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Director</w:t>
            </w:r>
          </w:p>
        </w:tc>
      </w:tr>
      <w:tr>
        <w:trPr/>
        <w:tc>
          <w:tcPr>
            <w:tcW w:w="1831" w:type="dxa"/>
            <w:tcBorders/>
            <w:shd w:fill="auto" w:val="clear"/>
            <w:vAlign w:val="center"/>
          </w:tcPr>
          <w:p>
            <w:pPr>
              <w:pStyle w:val="TableContents"/>
              <w:spacing w:before="0" w:after="20"/>
              <w:ind w:left="0" w:right="0" w:hanging="0"/>
              <w:jc w:val="center"/>
              <w:rPr>
                <w:rFonts w:ascii="Times New Roman;serif" w:hAnsi="Times New Roman;serif"/>
                <w:b w:val="false"/>
                <w:sz w:val="18"/>
              </w:rPr>
            </w:pPr>
            <w:r>
              <w:rPr>
                <w:rFonts w:ascii="Times New Roman;serif" w:hAnsi="Times New Roman;serif"/>
                <w:b w:val="false"/>
                <w:sz w:val="18"/>
              </w:rPr>
              <w:t>Anne De Greef-Safft</w:t>
            </w:r>
          </w:p>
        </w:tc>
        <w:tc>
          <w:tcPr>
            <w:tcW w:w="146" w:type="dxa"/>
            <w:tcBorders/>
            <w:shd w:fill="auto" w:val="clear"/>
            <w:vAlign w:val="center"/>
          </w:tcPr>
          <w:p>
            <w:pPr>
              <w:pStyle w:val="TableContents"/>
              <w:spacing w:before="0" w:after="0"/>
              <w:ind w:left="0" w:right="0" w:hanging="0"/>
              <w:jc w:val="left"/>
              <w:rPr/>
            </w:pPr>
            <w:r>
              <w:rPr/>
              <w:t> </w:t>
            </w:r>
          </w:p>
        </w:tc>
        <w:tc>
          <w:tcPr>
            <w:tcW w:w="7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102</w:t>
      </w:r>
    </w:p>
    <w:p>
      <w:pPr>
        <w:pStyle w:val="HorizontalLine"/>
        <w:rPr/>
      </w:pPr>
      <w:r>
        <w:rPr/>
      </w:r>
      <w:r>
        <w:br w:type="page"/>
      </w:r>
    </w:p>
    <w:p>
      <w:pPr>
        <w:pStyle w:val="TextBody"/>
        <w:spacing w:before="0" w:after="0"/>
        <w:jc w:val="right"/>
        <w:rPr>
          <w:rFonts w:ascii="Times New Roman" w:hAnsi="Times New Roman"/>
          <w:sz w:val="20"/>
        </w:rPr>
      </w:pPr>
      <w:bookmarkStart w:id="38" w:name="amba-ex23_1.htm"/>
      <w:bookmarkStart w:id="39" w:name="ksambaex23_1"/>
      <w:bookmarkEnd w:id="38"/>
      <w:bookmarkEnd w:id="39"/>
      <w:r>
        <w:rPr>
          <w:rFonts w:ascii="Times New Roman;serif" w:hAnsi="Times New Roman;serif"/>
          <w:b/>
          <w:sz w:val="20"/>
        </w:rPr>
        <w:t>Exhibit 23.1</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CONSENT OF INDEPENDENT REGISTERED PUBLIC ACCOUNTING FIRM</w:t>
      </w:r>
    </w:p>
    <w:p>
      <w:pPr>
        <w:pStyle w:val="TextBody"/>
        <w:spacing w:before="240" w:after="0"/>
        <w:jc w:val="center"/>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hereby consent to the incorporation by reference in the Registration Statements on Form S-8 (Nos. 333-184506, 333-187730, 333-195078, 333-203094, 333-210405, 333-217037, 333-224052, 333-230603, 333-237439, 333-254945, 333-261243, and 333-261244) of Ambarella, Inc. of our report dated March 31, 2023 relating to the financial statements and the effectiveness of internal control over financial reporting, which appears in this Form 10-K.</w:t>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 xml:space="preserve">/s/ PricewaterhouseCoopers LLP </w:t>
        <w:br/>
        <w:t>San Jose, California</w:t>
        <w:br/>
        <w:t>March 31, 2023</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40" w:name="amba-ex31_1.htm"/>
      <w:bookmarkStart w:id="41" w:name="ksambaex31_1"/>
      <w:bookmarkEnd w:id="40"/>
      <w:bookmarkEnd w:id="41"/>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PRINCIPAL EXECUTIVE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Certification of Principal Executive Officer Required Under Rule 13a-14(a) and 15d-14(a)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Exchange Act of 1934, as amended.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Feng-Ming Wang,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Annual Report on Form 10-K of Ambarella,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Date: March 31, 2023</w:t>
      </w:r>
      <w:r>
        <w:rPr>
          <w:rFonts w:ascii="Times New Roman" w:hAnsi="Times New Roman"/>
          <w:sz w:val="20"/>
        </w:rPr>
        <w:t xml:space="preserve"> </w:t>
      </w:r>
    </w:p>
    <w:p>
      <w:pPr>
        <w:pStyle w:val="TextBody"/>
        <w:spacing w:before="0" w:after="0"/>
        <w:jc w:val="left"/>
        <w:rPr/>
      </w:pPr>
      <w:r>
        <w:rPr/>
        <w:t> </w:t>
      </w:r>
    </w:p>
    <w:tbl>
      <w:tblPr>
        <w:tblW w:w="3226" w:type="dxa"/>
        <w:jc w:val="left"/>
        <w:tblInd w:w="0" w:type="dxa"/>
        <w:tblCellMar>
          <w:top w:w="28" w:type="dxa"/>
          <w:left w:w="28" w:type="dxa"/>
          <w:bottom w:w="28" w:type="dxa"/>
          <w:right w:w="28" w:type="dxa"/>
        </w:tblCellMar>
      </w:tblPr>
      <w:tblGrid>
        <w:gridCol w:w="3226"/>
      </w:tblGrid>
      <w:tr>
        <w:trPr/>
        <w:tc>
          <w:tcPr>
            <w:tcW w:w="3226" w:type="dxa"/>
            <w:tcBorders/>
            <w:shd w:fill="FFFFFF"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pPr>
            <w:r>
              <w:rPr/>
              <w:t> </w:t>
            </w:r>
          </w:p>
        </w:tc>
      </w:tr>
      <w:tr>
        <w:trPr/>
        <w:tc>
          <w:tcPr>
            <w:tcW w:w="32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/s/ Feng-Ming Wang</w:t>
            </w:r>
            <w:r>
              <w:rPr>
                <w:rFonts w:ascii="Times New Roman" w:hAnsi="Times New Roman"/>
                <w:sz w:val="20"/>
              </w:rPr>
              <w:t xml:space="preserve"> </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Feng-Ming Wang</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3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42" w:name="amba-ex31_2.htm"/>
      <w:bookmarkStart w:id="43" w:name="ksambaex31_2"/>
      <w:bookmarkEnd w:id="42"/>
      <w:bookmarkEnd w:id="43"/>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PRINCIPAL FINANCIAL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Certification of Principal Financial Officer Required Under Rule 13a-14(a) and 15d-14(a) of the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Securities Exchange Act of 1934, as amended.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Brian C. White, certify that: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1. I have reviewed this Annual Report on Form 10-K of Ambarella,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Date: March 31, 2023</w:t>
      </w:r>
      <w:r>
        <w:rPr>
          <w:rFonts w:ascii="Times New Roman" w:hAnsi="Times New Roman"/>
          <w:sz w:val="20"/>
        </w:rPr>
        <w:t xml:space="preserve"> </w:t>
      </w:r>
    </w:p>
    <w:p>
      <w:pPr>
        <w:pStyle w:val="TextBody"/>
        <w:spacing w:before="0" w:after="0"/>
        <w:jc w:val="left"/>
        <w:rPr/>
      </w:pPr>
      <w:r>
        <w:rPr/>
        <w:t> </w:t>
      </w:r>
    </w:p>
    <w:tbl>
      <w:tblPr>
        <w:tblW w:w="3781" w:type="dxa"/>
        <w:jc w:val="left"/>
        <w:tblInd w:w="0" w:type="dxa"/>
        <w:tblCellMar>
          <w:top w:w="28" w:type="dxa"/>
          <w:left w:w="28" w:type="dxa"/>
          <w:bottom w:w="28" w:type="dxa"/>
          <w:right w:w="28" w:type="dxa"/>
        </w:tblCellMar>
      </w:tblPr>
      <w:tblGrid>
        <w:gridCol w:w="3781"/>
      </w:tblGrid>
      <w:tr>
        <w:trPr/>
        <w:tc>
          <w:tcPr>
            <w:tcW w:w="3781" w:type="dxa"/>
            <w:tcBorders/>
            <w:shd w:fill="FFFFFF" w:val="clear"/>
            <w:vAlign w:val="center"/>
          </w:tcPr>
          <w:p>
            <w:pPr>
              <w:pStyle w:val="TableContents"/>
              <w:spacing w:before="0" w:after="283"/>
              <w:rPr>
                <w:sz w:val="4"/>
                <w:szCs w:val="4"/>
              </w:rPr>
            </w:pPr>
            <w:r>
              <w:rPr>
                <w:sz w:val="4"/>
                <w:szCs w:val="4"/>
              </w:rPr>
            </w:r>
          </w:p>
        </w:tc>
      </w:tr>
      <w:tr>
        <w:trPr/>
        <w:tc>
          <w:tcPr>
            <w:tcW w:w="3781" w:type="dxa"/>
            <w:tcBorders/>
            <w:shd w:fill="auto" w:val="clear"/>
            <w:vAlign w:val="center"/>
          </w:tcPr>
          <w:p>
            <w:pPr>
              <w:pStyle w:val="TableContents"/>
              <w:spacing w:before="0" w:after="0"/>
              <w:ind w:left="0" w:right="0" w:hanging="0"/>
              <w:jc w:val="left"/>
              <w:rPr/>
            </w:pPr>
            <w:r>
              <w:rPr/>
              <w:t> </w:t>
            </w:r>
          </w:p>
        </w:tc>
      </w:tr>
      <w:tr>
        <w:trPr/>
        <w:tc>
          <w:tcPr>
            <w:tcW w:w="3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Brian C. White</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C. White</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37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44" w:name="amba-ex32_1.htm"/>
      <w:bookmarkStart w:id="45" w:name="ksambaex32_1"/>
      <w:bookmarkEnd w:id="44"/>
      <w:bookmarkEnd w:id="45"/>
      <w:r>
        <w:rPr>
          <w:rFonts w:ascii="Times New Roman;serif" w:hAnsi="Times New Roman;serif"/>
          <w:b/>
          <w:sz w:val="20"/>
        </w:rPr>
        <w:t>Exhibit 32.1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CERTIFICATION OF PRINCIPAL EXECUTIVE OFFICER AND PRINCIPAL FINANCIAL OFFICER</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Feng-Ming Wang, certify, pursuant to 18 U.S.C. Section 1350, as adopted pursuant to Section 906 of the Sarbanes-Oxley Act of 2002, that the Annual Report of Ambarella, Inc. on Form 10-K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Ambarella,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Date: March 31, 2023</w:t>
      </w:r>
      <w:r>
        <w:rPr>
          <w:rFonts w:ascii="Times New Roman" w:hAnsi="Times New Roman"/>
          <w:sz w:val="20"/>
        </w:rPr>
        <w:t xml:space="preserve"> </w:t>
      </w:r>
    </w:p>
    <w:p>
      <w:pPr>
        <w:pStyle w:val="TextBody"/>
        <w:spacing w:before="0" w:after="0"/>
        <w:jc w:val="left"/>
        <w:rPr/>
      </w:pPr>
      <w:r>
        <w:rPr/>
        <w:t> </w:t>
      </w:r>
    </w:p>
    <w:tbl>
      <w:tblPr>
        <w:tblW w:w="4003" w:type="dxa"/>
        <w:jc w:val="left"/>
        <w:tblInd w:w="0" w:type="dxa"/>
        <w:tblCellMar>
          <w:top w:w="28" w:type="dxa"/>
          <w:left w:w="28" w:type="dxa"/>
          <w:bottom w:w="28" w:type="dxa"/>
          <w:right w:w="28" w:type="dxa"/>
        </w:tblCellMar>
      </w:tblPr>
      <w:tblGrid>
        <w:gridCol w:w="646"/>
        <w:gridCol w:w="146"/>
        <w:gridCol w:w="3211"/>
      </w:tblGrid>
      <w:tr>
        <w:trPr/>
        <w:tc>
          <w:tcPr>
            <w:tcW w:w="6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3211" w:type="dxa"/>
            <w:tcBorders/>
            <w:shd w:fill="FFFFFF" w:val="clear"/>
            <w:vAlign w:val="center"/>
          </w:tcPr>
          <w:p>
            <w:pPr>
              <w:pStyle w:val="TableContents"/>
              <w:spacing w:before="0" w:after="283"/>
              <w:rPr>
                <w:sz w:val="4"/>
                <w:szCs w:val="4"/>
              </w:rPr>
            </w:pPr>
            <w:r>
              <w:rPr>
                <w:sz w:val="4"/>
                <w:szCs w:val="4"/>
              </w:rPr>
            </w:r>
          </w:p>
        </w:tc>
      </w:tr>
      <w:tr>
        <w:trPr/>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Feng-Ming Wang</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Feng-Ming Wang</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240" w:after="0"/>
        <w:jc w:val="left"/>
        <w:rPr>
          <w:rFonts w:ascii="Times New Roman" w:hAnsi="Times New Roman"/>
          <w:sz w:val="20"/>
        </w:rPr>
      </w:pPr>
      <w:r>
        <w:rPr>
          <w:rFonts w:ascii="Times New Roman;serif" w:hAnsi="Times New Roman;serif"/>
          <w:b w:val="false"/>
          <w:sz w:val="20"/>
        </w:rPr>
        <w:t>I, Brian C. White, certify, pursuant to 18 U.S.C. Section 1350, as adopted pursuant to Section 906 of the Sarbanes-Oxley Act of 2002, that the Annual Report of Ambarella, Inc. on Form 10-K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Ambarella, Inc.</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Date: March 31, 2023</w:t>
      </w:r>
      <w:r>
        <w:rPr>
          <w:rFonts w:ascii="Times New Roman" w:hAnsi="Times New Roman"/>
          <w:sz w:val="20"/>
        </w:rPr>
        <w:t xml:space="preserve"> </w:t>
      </w:r>
    </w:p>
    <w:p>
      <w:pPr>
        <w:pStyle w:val="TextBody"/>
        <w:spacing w:before="0" w:after="0"/>
        <w:jc w:val="left"/>
        <w:rPr/>
      </w:pPr>
      <w:r>
        <w:rPr/>
        <w:t> </w:t>
      </w:r>
    </w:p>
    <w:tbl>
      <w:tblPr>
        <w:tblW w:w="2803" w:type="dxa"/>
        <w:jc w:val="left"/>
        <w:tblInd w:w="0" w:type="dxa"/>
        <w:tblCellMar>
          <w:top w:w="28" w:type="dxa"/>
          <w:left w:w="28" w:type="dxa"/>
          <w:bottom w:w="28" w:type="dxa"/>
          <w:right w:w="28" w:type="dxa"/>
        </w:tblCellMar>
      </w:tblPr>
      <w:tblGrid>
        <w:gridCol w:w="646"/>
        <w:gridCol w:w="146"/>
        <w:gridCol w:w="2011"/>
      </w:tblGrid>
      <w:tr>
        <w:trPr/>
        <w:tc>
          <w:tcPr>
            <w:tcW w:w="646" w:type="dxa"/>
            <w:tcBorders/>
            <w:shd w:fill="FFFFFF" w:val="clear"/>
            <w:vAlign w:val="center"/>
          </w:tcPr>
          <w:p>
            <w:pPr>
              <w:pStyle w:val="TableContents"/>
              <w:spacing w:before="0" w:after="283"/>
              <w:rPr>
                <w:sz w:val="4"/>
                <w:szCs w:val="4"/>
              </w:rPr>
            </w:pPr>
            <w:r>
              <w:rPr>
                <w:sz w:val="4"/>
                <w:szCs w:val="4"/>
              </w:rPr>
            </w:r>
          </w:p>
        </w:tc>
        <w:tc>
          <w:tcPr>
            <w:tcW w:w="146" w:type="dxa"/>
            <w:tcBorders/>
            <w:shd w:fill="FFFFFF" w:val="clear"/>
            <w:vAlign w:val="center"/>
          </w:tcPr>
          <w:p>
            <w:pPr>
              <w:pStyle w:val="TableContents"/>
              <w:spacing w:before="0" w:after="283"/>
              <w:rPr>
                <w:sz w:val="4"/>
                <w:szCs w:val="4"/>
              </w:rPr>
            </w:pPr>
            <w:r>
              <w:rPr>
                <w:sz w:val="4"/>
                <w:szCs w:val="4"/>
              </w:rPr>
            </w:r>
          </w:p>
        </w:tc>
        <w:tc>
          <w:tcPr>
            <w:tcW w:w="2011" w:type="dxa"/>
            <w:tcBorders/>
            <w:shd w:fill="FFFFFF" w:val="clear"/>
            <w:vAlign w:val="center"/>
          </w:tcPr>
          <w:p>
            <w:pPr>
              <w:pStyle w:val="TableContents"/>
              <w:spacing w:before="0" w:after="283"/>
              <w:rPr>
                <w:sz w:val="4"/>
                <w:szCs w:val="4"/>
              </w:rPr>
            </w:pPr>
            <w:r>
              <w:rPr>
                <w:sz w:val="4"/>
                <w:szCs w:val="4"/>
              </w:rPr>
            </w:r>
          </w:p>
        </w:tc>
      </w:tr>
      <w:tr>
        <w:trPr/>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Brian C. White</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C. White</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280263/000119312521308048/d247928dex21.htm" TargetMode="External"/><Relationship Id="rId7" Type="http://schemas.openxmlformats.org/officeDocument/2006/relationships/hyperlink" Target="https://www.sec.gov/Archives/edgar/data/0001280263/000119312512389774/d193541dex32.htm" TargetMode="External"/><Relationship Id="rId8" Type="http://schemas.openxmlformats.org/officeDocument/2006/relationships/hyperlink" Target="https://www.sec.gov/Archives/edgar/data/1280263/000156459020013513/amba-ex41_146.htm" TargetMode="External"/><Relationship Id="rId9" Type="http://schemas.openxmlformats.org/officeDocument/2006/relationships/hyperlink" Target="https://www.sec.gov/Archives/edgar/data/0001280263/000156459017005590/amba-ex1021_529.htm" TargetMode="External"/><Relationship Id="rId10" Type="http://schemas.openxmlformats.org/officeDocument/2006/relationships/hyperlink" Target="https://www.sec.gov/Archives/edgar/data/0001280263/000119312512389774/d193541dex1022.htm" TargetMode="External"/><Relationship Id="rId11" Type="http://schemas.openxmlformats.org/officeDocument/2006/relationships/hyperlink" Target="https://www.sec.gov/Archives/edgar/data/0001280263/000119312512389774/d193541dex1023.htm" TargetMode="External"/><Relationship Id="rId12" Type="http://schemas.openxmlformats.org/officeDocument/2006/relationships/hyperlink" Target="https://www.sec.gov/Archives/edgar/data/0001280263/000119312512389774/d193541dex1024.htm" TargetMode="External"/><Relationship Id="rId13" Type="http://schemas.openxmlformats.org/officeDocument/2006/relationships/hyperlink" Target="https://www.sec.gov/Archives/edgar/data/0001280263/000156459017005590/amba-ex1025_629.htm" TargetMode="External"/><Relationship Id="rId14" Type="http://schemas.openxmlformats.org/officeDocument/2006/relationships/hyperlink" Target="https://www.sec.gov/Archives/edgar/data/0001280263/000156459015007784/amba-ex101_178.htm" TargetMode="External"/><Relationship Id="rId15" Type="http://schemas.openxmlformats.org/officeDocument/2006/relationships/hyperlink" Target="https://www.sec.gov/Archives/edgar/data/0001280263/000119312521197400/d177924dex101.htm" TargetMode="External"/><Relationship Id="rId16" Type="http://schemas.openxmlformats.org/officeDocument/2006/relationships/hyperlink" Target="https://www.sec.gov/Archives/edgar/data/1280263/000119312521335319/d190533dex412.htm" TargetMode="External"/><Relationship Id="rId17" Type="http://schemas.openxmlformats.org/officeDocument/2006/relationships/hyperlink" Target="https://www.sec.gov/Archives/edgar/data/1280263/000119312521335319/d190533dex413.htm" TargetMode="External"/><Relationship Id="rId18" Type="http://schemas.openxmlformats.org/officeDocument/2006/relationships/hyperlink" Target="https://www.sec.gov/Archives/edgar/data/1280263/000119312521335314/d191443dex411.htm" TargetMode="External"/><Relationship Id="rId19" Type="http://schemas.openxmlformats.org/officeDocument/2006/relationships/hyperlink" Target="https://www.sec.gov/Archives/edgar/data/1280263/000119312521335314/d191443dex412.htm" TargetMode="External"/><Relationship Id="rId20" Type="http://schemas.openxmlformats.org/officeDocument/2006/relationships/hyperlink" Target="https://www.sec.gov/Archives/edgar/data/0001280263/000119312512389774/d193541dex104.htm" TargetMode="External"/><Relationship Id="rId21" Type="http://schemas.openxmlformats.org/officeDocument/2006/relationships/hyperlink" Target="https://www.sec.gov/Archives/edgar/data/0001280263/000119312511162978/dex1061.htm" TargetMode="External"/><Relationship Id="rId22" Type="http://schemas.openxmlformats.org/officeDocument/2006/relationships/hyperlink" Target="https://www.sec.gov/Archives/edgar/data/0001280263/000156459018022808/amba-ex103_89.htm" TargetMode="External"/><Relationship Id="rId23" Type="http://schemas.openxmlformats.org/officeDocument/2006/relationships/hyperlink" Target="https://www.sec.gov/Archives/edgar/data/0001280263/000119312512405005/d193541dex1081.htm" TargetMode="External"/><Relationship Id="rId24" Type="http://schemas.openxmlformats.org/officeDocument/2006/relationships/hyperlink" Target="https://www.sec.gov/Archives/edgar/data/0001280263/000119312512405005/d193541dex1082.htm" TargetMode="External"/><Relationship Id="rId25" Type="http://schemas.openxmlformats.org/officeDocument/2006/relationships/hyperlink" Target="https://www.sec.gov/Archives/edgar/data/0001280263/000119312512416751/d193541dex1083.htm" TargetMode="External"/><Relationship Id="rId26" Type="http://schemas.openxmlformats.org/officeDocument/2006/relationships/hyperlink" Target="https://www.sec.gov/Archives/edgar/data/0001280263/000156459015007784/amba-ex102_192.htm" TargetMode="External"/><Relationship Id="rId27" Type="http://schemas.openxmlformats.org/officeDocument/2006/relationships/hyperlink" Target="https://www.sec.gov/Archives/edgar/data/1280263/000156459019034237/amba-ex101_195.htm" TargetMode="External"/><Relationship Id="rId28" Type="http://schemas.openxmlformats.org/officeDocument/2006/relationships/hyperlink" Target="https://www.sec.gov/Archives/edgar/data/0001280263/000156459021047305/amba-ex102_136.htm" TargetMode="External"/><Relationship Id="rId29" Type="http://schemas.openxmlformats.org/officeDocument/2006/relationships/hyperlink" Target="https://www.sec.gov/Archives/edgar/data/1280263/000156459019045444/amba-ex101_152.htm" TargetMode="External"/><Relationship Id="rId30" Type="http://schemas.openxmlformats.org/officeDocument/2006/relationships/hyperlink" Target="https://www.sec.gov/Archives/edgar/data/1280263/000156459022022740/amba-ex101_90.htm" TargetMode="External"/><Relationship Id="rId31" Type="http://schemas.openxmlformats.org/officeDocument/2006/relationships/hyperlink" Target="https://www.sec.gov/Archives/edgar/data/1280263/000156459022022740/amba-ex102_91.htm" TargetMode="External"/><Relationship Id="rId32" Type="http://schemas.openxmlformats.org/officeDocument/2006/relationships/hyperlink" Target="https://www.sec.gov/Archives/edgar/data/1280263/000156459022022740/amba-ex102_91.htm" TargetMode="External"/><Relationship Id="rId33" Type="http://schemas.openxmlformats.org/officeDocument/2006/relationships/hyperlink" Target="https://www.sec.gov/ix?doc=/Archives/edgar/data/1280263/000119312523058274/d460417d8k.htm" TargetMode="External"/><Relationship Id="rId34" Type="http://schemas.openxmlformats.org/officeDocument/2006/relationships/hyperlink" Target="https://www.sec.gov/Archives/edgar/data/1280263/000156459020013513/amba-ex211_213.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63100</Words>
  <CharactersWithSpaces>419002</CharactersWithSpaces>
  <Paragraphs>8770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