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80" w:hanging="572"/>
        <w:spacing w:after="0" w:line="245"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16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44"/>
        </w:trPr>
        <w:tc>
          <w:tcPr>
            <w:tcW w:w="36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Times New Roman" w:cs="Times New Roman" w:eastAsia="Times New Roman" w:hAnsi="Times New Roman"/>
                <w:sz w:val="18"/>
                <w:szCs w:val="18"/>
                <w:b w:val="1"/>
                <w:bCs w:val="1"/>
                <w:color w:val="auto"/>
              </w:rPr>
              <w:t>98-0459628</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9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3101 Jay Street</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3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$0.00045 Par Value Per Share</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63"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1580"/>
        <w:spacing w:after="0" w:line="26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August 31, 2022 was 38,416,764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12"/>
        </w:trPr>
        <w:tc>
          <w:tcPr>
            <w:tcW w:w="30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30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Unaudited Condensed Consolidated Balance Sheets at July 31, 2022 and January 31, 2022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86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 and six months ended July 31, 2022 and 2021</w:t>
            </w:r>
          </w:p>
        </w:tc>
        <w:tc>
          <w:tcPr>
            <w:tcW w:w="940" w:type="dxa"/>
            <w:vAlign w:val="bottom"/>
            <w:gridSpan w:val="3"/>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76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Comprehensive Loss for the three and six months ended July 31, 2022 and 2021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7"/>
        </w:trPr>
        <w:tc>
          <w:tcPr>
            <w:tcW w:w="76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Shareholders’ Equity for the three and six months ended July 31, 2022 and 2021</w:t>
            </w:r>
          </w:p>
        </w:tc>
        <w:tc>
          <w:tcPr>
            <w:tcW w:w="2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760" w:type="dxa"/>
            <w:vAlign w:val="bottom"/>
          </w:tcPr>
          <w:p>
            <w:pPr>
              <w:spacing w:after="0"/>
              <w:rPr>
                <w:sz w:val="24"/>
                <w:szCs w:val="24"/>
                <w:color w:val="auto"/>
              </w:rPr>
            </w:pP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July 31, 2022 and 2021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76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Notes to Unaudited Condensed Consolidated Financial Statements</w:t>
            </w:r>
          </w:p>
        </w:tc>
        <w:tc>
          <w:tcPr>
            <w:tcW w:w="3260" w:type="dxa"/>
            <w:vAlign w:val="bottom"/>
            <w:tcBorders>
              <w:top w:val="single" w:sz="8" w:color="0000EE"/>
            </w:tcBorders>
            <w:gridSpan w:val="2"/>
          </w:tcPr>
          <w:p>
            <w:pPr>
              <w:spacing w:after="0"/>
              <w:rPr>
                <w:sz w:val="24"/>
                <w:szCs w:val="24"/>
                <w:color w:val="auto"/>
              </w:rPr>
            </w:pPr>
          </w:p>
        </w:tc>
        <w:tc>
          <w:tcPr>
            <w:tcW w:w="1600" w:type="dxa"/>
            <w:vAlign w:val="bottom"/>
            <w:gridSpan w:val="4"/>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160" w:type="dxa"/>
            <w:vAlign w:val="bottom"/>
            <w:gridSpan w:val="5"/>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300" w:type="dxa"/>
            <w:vAlign w:val="bottom"/>
            <w:gridSpan w:val="7"/>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439"/>
        </w:trPr>
        <w:tc>
          <w:tcPr>
            <w:tcW w:w="2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600" w:type="dxa"/>
            <w:vAlign w:val="bottom"/>
            <w:gridSpan w:val="9"/>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8320" w:type="dxa"/>
            <w:vAlign w:val="bottom"/>
            <w:gridSpan w:val="12"/>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Exhibits</w:t>
            </w:r>
          </w:p>
        </w:tc>
        <w:tc>
          <w:tcPr>
            <w:tcW w:w="8760" w:type="dxa"/>
            <w:vAlign w:val="bottom"/>
            <w:gridSpan w:val="13"/>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10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212"/>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194,944</w:t>
            </w:r>
          </w:p>
        </w:tc>
        <w:tc>
          <w:tcPr>
            <w:tcW w:w="180" w:type="dxa"/>
            <w:vAlign w:val="bottom"/>
          </w:tcPr>
          <w:p>
            <w:pPr>
              <w:spacing w:after="0"/>
              <w:rPr>
                <w:sz w:val="19"/>
                <w:szCs w:val="19"/>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674,420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 shares issued</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outstanding at July 31, 2022 and January 31, 2022, respectively</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 shares, $0.00045 par value per share, 200,000,000 shares authorized; 38,406,451 and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37,302,818 shares issued and outstanding at July 31, 2022 and January 31, 2022, respectively</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674,420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5"/>
                <w:szCs w:val="15"/>
                <w:color w:val="auto"/>
              </w:rPr>
            </w:pPr>
          </w:p>
        </w:tc>
        <w:tc>
          <w:tcPr>
            <w:tcW w:w="23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83"/>
        </w:trPr>
        <w:tc>
          <w:tcPr>
            <w:tcW w:w="606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171,189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29,820</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29,908</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63,578</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49,419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107,611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99,028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39,269</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138,297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(20,188)</w:t>
            </w: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(5,960)</w:t>
            </w: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(30,686)</w:t>
            </w:r>
          </w:p>
        </w:tc>
        <w:tc>
          <w:tcPr>
            <w:tcW w:w="2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(16,096)</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(20,214)</w:t>
            </w: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(5,742)</w:t>
            </w: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(30,626)</w:t>
            </w:r>
          </w:p>
        </w:tc>
        <w:tc>
          <w:tcPr>
            <w:tcW w:w="2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(15,285)</w:t>
            </w: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(23,650)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(17,974)</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shareholders: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38,258,341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36,442,536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37,986,839</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36,191,420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38,258,341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36,442,536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37,986,839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36,191,420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60" w:type="dxa"/>
            <w:vAlign w:val="bottom"/>
          </w:tcPr>
          <w:p>
            <w:pPr>
              <w:spacing w:after="0"/>
              <w:rPr>
                <w:sz w:val="15"/>
                <w:szCs w:val="15"/>
                <w:color w:val="auto"/>
              </w:rPr>
            </w:pPr>
          </w:p>
        </w:tc>
        <w:tc>
          <w:tcPr>
            <w:tcW w:w="23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83"/>
        </w:trPr>
        <w:tc>
          <w:tcPr>
            <w:tcW w:w="58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00" w:type="dxa"/>
            <w:vAlign w:val="bottom"/>
            <w:shd w:val="clear" w:color="auto" w:fill="CFF0FC"/>
          </w:tcPr>
          <w:p>
            <w:pPr>
              <w:spacing w:after="0"/>
              <w:rPr>
                <w:sz w:val="19"/>
                <w:szCs w:val="19"/>
                <w:color w:val="auto"/>
              </w:rPr>
            </w:pP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unrealized losses on investments</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(611)</w:t>
            </w:r>
          </w:p>
        </w:tc>
      </w:tr>
      <w:tr>
        <w:trPr>
          <w:trHeight w:val="20"/>
        </w:trPr>
        <w:tc>
          <w:tcPr>
            <w:tcW w:w="5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w:t>
            </w: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780" w:type="dxa"/>
            <w:vAlign w:val="bottom"/>
            <w:gridSpan w:val="3"/>
          </w:tcPr>
          <w:p>
            <w:pPr>
              <w:jc w:val="center"/>
              <w:ind w:left="11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47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Balance--January 31, 2022</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37,302,818</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3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447,287</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99,872</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547,176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736,516</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43,545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(10,822)</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(10,822)</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Balance--April 30,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38,082,879</w:t>
            </w:r>
          </w:p>
        </w:tc>
        <w:tc>
          <w:tcPr>
            <w:tcW w:w="2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485,281</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89,050</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574,348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470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323,572</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1,204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1,204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unrealized losses on investments - net of tax</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(23,650)</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(23,650)</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Balance--July 31, 2022</w:t>
            </w: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38,406,451</w:t>
            </w:r>
          </w:p>
        </w:tc>
        <w:tc>
          <w:tcPr>
            <w:tcW w:w="900" w:type="dxa"/>
            <w:vAlign w:val="bottom"/>
            <w:gridSpan w:val="2"/>
            <w:shd w:val="clear" w:color="auto" w:fill="CFF0FC"/>
          </w:tcPr>
          <w:p>
            <w:pPr>
              <w:jc w:val="right"/>
              <w:ind w:right="53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512,696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578,111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780" w:type="dxa"/>
            <w:vAlign w:val="bottom"/>
            <w:gridSpan w:val="3"/>
          </w:tcPr>
          <w:p>
            <w:pPr>
              <w:jc w:val="center"/>
              <w:ind w:left="11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Balance--January 31, 2021</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4700" w:type="dxa"/>
            <w:vAlign w:val="bottom"/>
            <w:vMerge w:val="continue"/>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35,547,440</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347,458</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1,219</w:t>
            </w:r>
          </w:p>
        </w:tc>
        <w:tc>
          <w:tcPr>
            <w:tcW w:w="20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126,283</w:t>
            </w:r>
          </w:p>
        </w:tc>
        <w:tc>
          <w:tcPr>
            <w:tcW w:w="220" w:type="dxa"/>
            <w:vAlign w:val="bottom"/>
          </w:tcPr>
          <w:p>
            <w:pPr>
              <w:spacing w:after="0"/>
              <w:rPr>
                <w:sz w:val="13"/>
                <w:szCs w:val="13"/>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474,976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643,120</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82,783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unrealized losses on investments - net of tax</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(427)</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(10,818)</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(10,818)</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Balance--April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36,273,343</w:t>
            </w:r>
          </w:p>
        </w:tc>
        <w:tc>
          <w:tcPr>
            <w:tcW w:w="2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375,021</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115,465</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491,294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470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371,293</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1,461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1,461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unrealized losses on investments - net of tax</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(184)</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(7,156)</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(7,156)</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Balance--July 31, 2021</w:t>
            </w: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vMerge w:val="continue"/>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36,644,636</w:t>
            </w:r>
          </w:p>
        </w:tc>
        <w:tc>
          <w:tcPr>
            <w:tcW w:w="900" w:type="dxa"/>
            <w:vAlign w:val="bottom"/>
            <w:gridSpan w:val="2"/>
            <w:shd w:val="clear" w:color="auto" w:fill="CFF0FC"/>
          </w:tcPr>
          <w:p>
            <w:pPr>
              <w:jc w:val="right"/>
              <w:ind w:right="53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394,121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108,309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503,054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00" w:type="dxa"/>
            <w:vAlign w:val="bottom"/>
            <w:tcBorders>
              <w:bottom w:val="single" w:sz="8" w:color="auto"/>
            </w:tcBorders>
            <w:gridSpan w:val="5"/>
          </w:tcPr>
          <w:p>
            <w:pPr>
              <w:jc w:val="right"/>
              <w:ind w:right="167"/>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loss</w:t>
            </w:r>
          </w:p>
        </w:tc>
        <w:tc>
          <w:tcPr>
            <w:tcW w:w="1760" w:type="dxa"/>
            <w:vAlign w:val="bottom"/>
            <w:gridSpan w:val="2"/>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(34,472)</w:t>
            </w:r>
          </w:p>
        </w:tc>
        <w:tc>
          <w:tcPr>
            <w:tcW w:w="900" w:type="dxa"/>
            <w:vAlign w:val="bottom"/>
            <w:gridSpan w:val="2"/>
          </w:tcPr>
          <w:p>
            <w:pPr>
              <w:jc w:val="right"/>
              <w:ind w:right="76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(17,974)</w:t>
            </w: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5,803</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Stock-based compensation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38,214</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income taxes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non-cash items, net</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(13,321)</w:t>
            </w: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Inventories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5,116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(15,995)</w:t>
            </w: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(753)</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non-current assets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(11,873)</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11,992</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4,380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(619)</w:t>
            </w: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Income taxes payable</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revenue</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(957)</w:t>
            </w: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(2,159)</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(1,763)</w:t>
            </w: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84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shd w:val="clear" w:color="auto" w:fill="CFF0FC"/>
          </w:tcPr>
          <w:p>
            <w:pPr>
              <w:spacing w:after="0"/>
              <w:rPr>
                <w:sz w:val="18"/>
                <w:szCs w:val="18"/>
                <w:color w:val="auto"/>
              </w:rPr>
            </w:pPr>
          </w:p>
        </w:tc>
      </w:tr>
      <w:tr>
        <w:trPr>
          <w:trHeight w:val="209"/>
        </w:trPr>
        <w:tc>
          <w:tcPr>
            <w:tcW w:w="69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8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33,003</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9,890</w:t>
            </w:r>
          </w:p>
        </w:tc>
        <w:tc>
          <w:tcPr>
            <w:tcW w:w="120" w:type="dxa"/>
            <w:vAlign w:val="bottom"/>
            <w:tcBorders>
              <w:bottom w:val="single" w:sz="8" w:color="CFF0FC"/>
            </w:tcBorders>
          </w:tcPr>
          <w:p>
            <w:pPr>
              <w:spacing w:after="0"/>
              <w:rPr>
                <w:sz w:val="18"/>
                <w:szCs w:val="18"/>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investments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(2,972)</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(101,664)</w:t>
            </w: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Escrow claim associated with business acquisition</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Sales of investments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32,839</w:t>
            </w:r>
          </w:p>
        </w:tc>
        <w:tc>
          <w:tcPr>
            <w:tcW w:w="120" w:type="dxa"/>
            <w:vAlign w:val="bottom"/>
          </w:tcPr>
          <w:p>
            <w:pPr>
              <w:spacing w:after="0"/>
              <w:rPr>
                <w:sz w:val="18"/>
                <w:szCs w:val="18"/>
                <w:color w:val="auto"/>
              </w:rPr>
            </w:pPr>
          </w:p>
        </w:tc>
      </w:tr>
      <w:tr>
        <w:trPr>
          <w:trHeight w:val="257"/>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8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75,490</w:t>
            </w:r>
          </w:p>
        </w:tc>
        <w:tc>
          <w:tcPr>
            <w:tcW w:w="120" w:type="dxa"/>
            <w:vAlign w:val="bottom"/>
            <w:shd w:val="clear" w:color="auto" w:fill="CFF0FC"/>
          </w:tcPr>
          <w:p>
            <w:pPr>
              <w:spacing w:after="0"/>
              <w:rPr>
                <w:sz w:val="22"/>
                <w:szCs w:val="22"/>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(8,088)</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(3,754)</w:t>
            </w:r>
          </w:p>
        </w:tc>
      </w:tr>
      <w:tr>
        <w:trPr>
          <w:trHeight w:val="210"/>
        </w:trPr>
        <w:tc>
          <w:tcPr>
            <w:tcW w:w="694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(10,311)</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2,911</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4,087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7,161</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Long-term financing payment for intangible assets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(2,878)</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(2,834)</w:t>
            </w:r>
          </w:p>
        </w:tc>
      </w:tr>
      <w:tr>
        <w:trPr>
          <w:trHeight w:val="210"/>
        </w:trPr>
        <w:tc>
          <w:tcPr>
            <w:tcW w:w="694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23,901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17,128</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84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171,053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241,284</w:t>
            </w:r>
          </w:p>
        </w:tc>
        <w:tc>
          <w:tcPr>
            <w:tcW w:w="120" w:type="dxa"/>
            <w:vAlign w:val="bottom"/>
            <w:shd w:val="clear" w:color="auto" w:fill="CFF0FC"/>
          </w:tcPr>
          <w:p>
            <w:pPr>
              <w:spacing w:after="0"/>
              <w:rPr>
                <w:sz w:val="18"/>
                <w:szCs w:val="18"/>
                <w:color w:val="auto"/>
              </w:rPr>
            </w:pPr>
          </w:p>
        </w:tc>
      </w:tr>
      <w:tr>
        <w:trPr>
          <w:trHeight w:val="250"/>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84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194,954</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258,412</w:t>
            </w:r>
          </w:p>
        </w:tc>
        <w:tc>
          <w:tcPr>
            <w:tcW w:w="120" w:type="dxa"/>
            <w:vAlign w:val="bottom"/>
            <w:tcBorders>
              <w:bottom w:val="single" w:sz="8" w:color="CFF0FC"/>
            </w:tcBorders>
          </w:tcPr>
          <w:p>
            <w:pPr>
              <w:spacing w:after="0"/>
              <w:rPr>
                <w:sz w:val="21"/>
                <w:szCs w:val="21"/>
                <w:color w:val="auto"/>
              </w:rPr>
            </w:pPr>
          </w:p>
        </w:tc>
      </w:tr>
      <w:tr>
        <w:trPr>
          <w:trHeight w:val="19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760" w:type="dxa"/>
            <w:vAlign w:val="bottom"/>
            <w:gridSpan w:val="2"/>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280" w:type="dxa"/>
            <w:vAlign w:val="bottom"/>
          </w:tcPr>
          <w:p>
            <w:pPr>
              <w:spacing w:after="0"/>
              <w:rPr>
                <w:sz w:val="22"/>
                <w:szCs w:val="22"/>
                <w:color w:val="auto"/>
              </w:rPr>
            </w:pPr>
          </w:p>
        </w:tc>
        <w:tc>
          <w:tcPr>
            <w:tcW w:w="900" w:type="dxa"/>
            <w:vAlign w:val="bottom"/>
            <w:gridSpan w:val="2"/>
          </w:tcPr>
          <w:p>
            <w:pPr>
              <w:jc w:val="right"/>
              <w:ind w:right="76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20" w:type="dxa"/>
            <w:vAlign w:val="bottom"/>
          </w:tcPr>
          <w:p>
            <w:pPr>
              <w:spacing w:after="0"/>
              <w:rPr>
                <w:sz w:val="22"/>
                <w:szCs w:val="22"/>
                <w:color w:val="auto"/>
              </w:rPr>
            </w:pPr>
          </w:p>
        </w:tc>
      </w:tr>
      <w:tr>
        <w:trPr>
          <w:trHeight w:val="196"/>
        </w:trPr>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8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1760" w:type="dxa"/>
            <w:vAlign w:val="bottom"/>
            <w:gridSpan w:val="2"/>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3,647</w:t>
            </w:r>
          </w:p>
        </w:tc>
        <w:tc>
          <w:tcPr>
            <w:tcW w:w="280" w:type="dxa"/>
            <w:vAlign w:val="bottom"/>
          </w:tcPr>
          <w:p>
            <w:pPr>
              <w:spacing w:after="0"/>
              <w:rPr>
                <w:sz w:val="18"/>
                <w:szCs w:val="18"/>
                <w:color w:val="auto"/>
              </w:rPr>
            </w:pPr>
          </w:p>
        </w:tc>
        <w:tc>
          <w:tcPr>
            <w:tcW w:w="900" w:type="dxa"/>
            <w:vAlign w:val="bottom"/>
            <w:gridSpan w:val="2"/>
          </w:tcPr>
          <w:p>
            <w:pPr>
              <w:jc w:val="right"/>
              <w:ind w:right="76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2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20" w:right="6260" w:hanging="512"/>
        <w:spacing w:after="0" w:line="365" w:lineRule="auto"/>
        <w:tabs>
          <w:tab w:leader="none" w:pos="19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Summary of Significant Accounting Policies </w:t>
      </w:r>
      <w:r>
        <w:rPr>
          <w:rFonts w:ascii="Times New Roman" w:cs="Times New Roman" w:eastAsia="Times New Roman" w:hAnsi="Times New Roman"/>
          <w:sz w:val="18"/>
          <w:szCs w:val="18"/>
          <w:b w:val="1"/>
          <w:bCs w:val="1"/>
          <w:i w:val="1"/>
          <w:iCs w:val="1"/>
          <w:color w:val="auto"/>
        </w:rPr>
        <w:t>Organization</w:t>
      </w: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high-definition (HD) and Ultra HD compression, image processing, and powerful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These low power SoCs deliver exceptional video and image quality and can extract valuable data from high-resolution video and radar streams. The Company is currently addressing a broad range of human and computer vision applications, including video security, advanced driver assistance systems (ADAS), electronic mirrors, drive recorders, driver/cabin monitoring systems, autonomous driving, and industrial and robotic applications.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sells its solutions to leading original design manufacturers, or ODMs, and original equipment manufacturers, or OEMs, globally.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2022 fiscal year filed with the SEC on April 1, 2022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described in Note 1 - Organization and Summary of Significant Accounting Policies, of the Notes to Consolidated Financial Statements included in the Company’s Annual Report on Form 10-K for the fiscal year ended January 31, 2022.</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one of its distributors, WT Microelectronics Co., Ltd., formerly Wintech Microelectronics Co., Ltd., or WT,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 w:name="page9"/>
    <w:bookmarkEnd w:id="8"/>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and debt securities of corporations which management assesses to be highly liquid. The Company does not hold or issue financial instruments for trading purposes.</w:t>
      </w:r>
    </w:p>
    <w:p>
      <w:pPr>
        <w:spacing w:after="0" w:line="187" w:lineRule="exact"/>
        <w:rPr>
          <w:sz w:val="20"/>
          <w:szCs w:val="20"/>
          <w:color w:val="auto"/>
        </w:rPr>
      </w:pPr>
    </w:p>
    <w:p>
      <w:pPr>
        <w:ind w:right="520" w:firstLine="510"/>
        <w:spacing w:after="0" w:line="261"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9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to secure certain transactions in a foreign entity. As of July 31, 2022 and January 31, 2022, restricted cash was immaterial, respectively. The following table presents cash, cash equivalents and restricted cash reported on the condensed consolidated balance sheets, and the totals are presented on the condensed consolidated statements of cash flows: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1"/>
        </w:trPr>
        <w:tc>
          <w:tcPr>
            <w:tcW w:w="3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1"/>
                <w:szCs w:val="11"/>
                <w:color w:val="auto"/>
              </w:rPr>
            </w:pPr>
          </w:p>
        </w:tc>
      </w:tr>
      <w:tr>
        <w:trPr>
          <w:trHeight w:val="173"/>
        </w:trPr>
        <w:tc>
          <w:tcPr>
            <w:tcW w:w="3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83"/>
        </w:trPr>
        <w:tc>
          <w:tcPr>
            <w:tcW w:w="3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194,944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171,043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258,402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241,274</w:t>
            </w:r>
          </w:p>
        </w:tc>
        <w:tc>
          <w:tcPr>
            <w:tcW w:w="100" w:type="dxa"/>
            <w:vAlign w:val="bottom"/>
            <w:shd w:val="clear" w:color="auto" w:fill="CFF0FC"/>
          </w:tcPr>
          <w:p>
            <w:pPr>
              <w:spacing w:after="0"/>
              <w:rPr>
                <w:sz w:val="22"/>
                <w:szCs w:val="22"/>
                <w:color w:val="auto"/>
              </w:rPr>
            </w:pPr>
          </w:p>
        </w:tc>
      </w:tr>
      <w:tr>
        <w:trPr>
          <w:trHeight w:val="257"/>
        </w:trPr>
        <w:tc>
          <w:tcPr>
            <w:tcW w:w="3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22"/>
                <w:szCs w:val="22"/>
                <w:color w:val="auto"/>
              </w:rPr>
            </w:pPr>
          </w:p>
        </w:tc>
      </w:tr>
      <w:tr>
        <w:trPr>
          <w:trHeight w:val="205"/>
        </w:trPr>
        <w:tc>
          <w:tcPr>
            <w:tcW w:w="338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as presented in the condensed</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194,954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171,053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258,412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241,284</w:t>
            </w:r>
          </w:p>
        </w:tc>
        <w:tc>
          <w:tcPr>
            <w:tcW w:w="100" w:type="dxa"/>
            <w:vAlign w:val="bottom"/>
            <w:shd w:val="clear" w:color="auto" w:fill="CFF0FC"/>
          </w:tcPr>
          <w:p>
            <w:pPr>
              <w:spacing w:after="0"/>
              <w:rPr>
                <w:sz w:val="20"/>
                <w:szCs w:val="20"/>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In July 2022, the Company invested $100.0 million of cash in money market funds and debt securities of corporations after a full liquidation of its debt security investments in fiscal year 2022. All of the investments are denominated in United States dollars and reported at fair value as available-for-sale securities in the condensed consolidated balance sheets as follows: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July 31, 2022</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5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97,068</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shd w:val="clear" w:color="auto" w:fill="CFF0FC"/>
          </w:tcPr>
          <w:p>
            <w:pPr>
              <w:spacing w:after="0"/>
              <w:rPr>
                <w:sz w:val="19"/>
                <w:szCs w:val="19"/>
                <w:color w:val="auto"/>
              </w:rPr>
            </w:pPr>
          </w:p>
        </w:tc>
        <w:tc>
          <w:tcPr>
            <w:tcW w:w="5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100,040</w:t>
            </w:r>
          </w:p>
        </w:tc>
        <w:tc>
          <w:tcPr>
            <w:tcW w:w="2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5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July 31, 2022, there were no debt securities with unrealized losses for more than twelve months.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97,068</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1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44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4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1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investments at July 31, 2022 and January 31, 2022 were as follows: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6"/>
        </w:trPr>
        <w:tc>
          <w:tcPr>
            <w:tcW w:w="4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8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2"/>
                <w:szCs w:val="22"/>
                <w:color w:val="auto"/>
              </w:rPr>
            </w:pPr>
          </w:p>
        </w:tc>
      </w:tr>
      <w:tr>
        <w:trPr>
          <w:trHeight w:val="257"/>
        </w:trPr>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4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2"/>
                <w:szCs w:val="22"/>
                <w:color w:val="auto"/>
              </w:rPr>
            </w:pPr>
          </w:p>
        </w:tc>
      </w:tr>
      <w:tr>
        <w:trPr>
          <w:trHeight w:val="250"/>
        </w:trPr>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1"/>
                <w:szCs w:val="2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(expense),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loss in the condensed consolidated balance sheets. The credit-related losses were not material for the three and six months ended July 31, 2022, and 2021, respectively.</w:t>
      </w:r>
    </w:p>
    <w:p>
      <w:pPr>
        <w:spacing w:after="0" w:line="189" w:lineRule="exact"/>
        <w:rPr>
          <w:sz w:val="20"/>
          <w:szCs w:val="20"/>
          <w:color w:val="auto"/>
        </w:rPr>
      </w:pPr>
    </w:p>
    <w:p>
      <w:pPr>
        <w:jc w:val="both"/>
        <w:ind w:right="200" w:firstLine="510"/>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jc w:val="both"/>
        <w:ind w:right="240" w:firstLine="510"/>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financial instruments measured on a recurring basis as of July 31, 2022 and January 31, 2022, respectively:</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July 31, 2022</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5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at July 31, 2022 and January 31, 2022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900" w:type="dxa"/>
            <w:vAlign w:val="bottom"/>
            <w:tcBorders>
              <w:top w:val="single" w:sz="8" w:color="auto"/>
            </w:tcBorders>
            <w:gridSpan w:val="4"/>
          </w:tcPr>
          <w:p>
            <w:pPr>
              <w:jc w:val="right"/>
              <w:ind w:right="103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2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45,219</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$0.9 million and $0.6 million for the three months ended July 31, 2022 and 2021, respectively, and was approximately $1.8 million and $1.2 million for the six months ended July 31, 2022 and 2021, respectively. Property and equipment at July 31, 2022 and January 31, 2022 consisted of the following:</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4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56"/>
        </w:trPr>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5"/>
          </w:tcPr>
          <w:p>
            <w:pPr>
              <w:jc w:val="right"/>
              <w:ind w:right="93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29,265</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(20,756)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(19,131)</w:t>
            </w:r>
          </w:p>
        </w:tc>
      </w:tr>
      <w:tr>
        <w:trPr>
          <w:trHeight w:val="223"/>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12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As of July 31, 2022, intangible assets primarily consist of software licenses as well as developed technology, customer relationships and trade name that were acquired from business combinations.</w:t>
      </w:r>
    </w:p>
    <w:p>
      <w:pPr>
        <w:spacing w:after="0" w:line="54"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 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July 31, 2022, $4.0 million was recorded in accrued and other current liabilities and $0.6 million was recorded in other long-term liabilities in the condensed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July 31, 2022 and January 31, 2022 were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July 31, 2022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020" w:type="dxa"/>
            <w:vAlign w:val="bottom"/>
            <w:gridSpan w:val="3"/>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000" w:type="dxa"/>
            <w:vAlign w:val="bottom"/>
            <w:gridSpan w:val="3"/>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1"/>
                <w:szCs w:val="11"/>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2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0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30,563</w:t>
            </w:r>
          </w:p>
        </w:tc>
        <w:tc>
          <w:tcPr>
            <w:tcW w:w="3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(14,116)</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22,093</w:t>
            </w:r>
          </w:p>
        </w:tc>
        <w:tc>
          <w:tcPr>
            <w:tcW w:w="3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(1,099)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67,463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During the six months ended July 31, 2022, there were approximately $8.9 million of software licenses purchased and approximately $0.4 million of software licenses retired. The amortization expense associated with software licenses was approximately $</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11" w:name="page12"/>
    <w:bookmarkEnd w:id="11"/>
    <w:p>
      <w:pPr>
        <w:ind w:right="20"/>
        <w:spacing w:after="0" w:line="258" w:lineRule="auto"/>
        <w:rPr>
          <w:sz w:val="20"/>
          <w:szCs w:val="20"/>
          <w:color w:val="auto"/>
        </w:rPr>
      </w:pPr>
      <w:r>
        <w:rPr>
          <w:rFonts w:ascii="Times New Roman" w:cs="Times New Roman" w:eastAsia="Times New Roman" w:hAnsi="Times New Roman"/>
          <w:sz w:val="18"/>
          <w:szCs w:val="18"/>
          <w:color w:val="auto"/>
        </w:rPr>
        <w:t>1.6 million and $1.5 million for the three months ended July 31, 2022 and 2021, respectively, and was approximately $3.2 million and $3.0 million for the six months ended July 31, 2022 and 2021, respectively. The amortization expense associated with acquisition-related intangible assets, including developed technology, customer relationships and trade name, was approximately $1.2 million for the three months ended July 31, 2022 and $2.4 million for the six months ended July 31, 2022. There was no acquisition-related amortization expense for the three and six months ended July 31, 2021. The expected future amortization expense related to these intangible assets as of July 31, 2022 is as follows:</w:t>
      </w:r>
    </w:p>
    <w:p>
      <w:pPr>
        <w:spacing w:after="0" w:line="4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520" w:type="dxa"/>
            <w:vAlign w:val="bottom"/>
            <w:vMerge w:val="restart"/>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 (6 months remaining)</w:t>
            </w:r>
          </w:p>
        </w:tc>
        <w:tc>
          <w:tcPr>
            <w:tcW w:w="2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45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4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45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Intangible assets are tested for impairment at least annually, in the fourth fiscal quarter, or more frequently if events or changes in circumstances indicate that the assets may be impaired. There were no intangible asset impairments for the three and six months ended July 31,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July 31, 2022 and January 31, 2022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56"/>
        </w:trPr>
        <w:tc>
          <w:tcPr>
            <w:tcW w:w="49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3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30,044</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8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80" w:type="dxa"/>
            <w:vAlign w:val="bottom"/>
            <w:tcBorders>
              <w:bottom w:val="single" w:sz="8" w:color="CFF0FC"/>
            </w:tcBorders>
          </w:tcPr>
          <w:p>
            <w:pPr>
              <w:spacing w:after="0"/>
              <w:rPr>
                <w:sz w:val="19"/>
                <w:szCs w:val="19"/>
                <w:color w:val="auto"/>
              </w:rPr>
            </w:pPr>
          </w:p>
        </w:tc>
      </w:tr>
      <w:tr>
        <w:trPr>
          <w:trHeight w:val="223"/>
        </w:trPr>
        <w:tc>
          <w:tcPr>
            <w:tcW w:w="49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447"/>
        <w:spacing w:after="0" w:line="266" w:lineRule="auto"/>
        <w:rPr>
          <w:sz w:val="20"/>
          <w:szCs w:val="20"/>
          <w:color w:val="auto"/>
        </w:rPr>
      </w:pPr>
      <w:r>
        <w:rPr>
          <w:rFonts w:ascii="Times New Roman" w:cs="Times New Roman" w:eastAsia="Times New Roman" w:hAnsi="Times New Roman"/>
          <w:sz w:val="18"/>
          <w:szCs w:val="18"/>
          <w:color w:val="auto"/>
        </w:rPr>
        <w:t>The timing of SoC development and payments to outside foundries resulted in the fluctuation of accrued product development costs. Approximately $10.9 million of annual bonus was paid in the first quarter of fiscal year 2023, of which $3.2 million was paid in cash and $7.7 million was settled with restricted stock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firstLine="468"/>
        <w:spacing w:after="0" w:line="261" w:lineRule="auto"/>
        <w:rPr>
          <w:sz w:val="20"/>
          <w:szCs w:val="20"/>
          <w:color w:val="auto"/>
        </w:rPr>
      </w:pPr>
      <w:r>
        <w:rPr>
          <w:rFonts w:ascii="Times New Roman" w:cs="Times New Roman" w:eastAsia="Times New Roman" w:hAnsi="Times New Roman"/>
          <w:sz w:val="18"/>
          <w:szCs w:val="18"/>
          <w:color w:val="auto"/>
        </w:rPr>
        <w:t>The Company enters into various operating leases for its worldwide facilities. In the second quarter of fiscal year 2023, the Company extended leases for its Shenzhen office and one of its facilities in Santa Clara, California for an additional two years beginning October 1, 2022 to September 30, 2024. For the lease extensions, the Company recorded an increase to the operating lease right-of-use (ROU) assets and corresponding operating lease liabilities of approximately $0.8 million in the condensed consolidated balance sheets.</w:t>
      </w:r>
    </w:p>
    <w:p>
      <w:pPr>
        <w:spacing w:after="0" w:line="180" w:lineRule="exact"/>
        <w:rPr>
          <w:sz w:val="20"/>
          <w:szCs w:val="20"/>
          <w:color w:val="auto"/>
        </w:rPr>
      </w:pPr>
    </w:p>
    <w:p>
      <w:pPr>
        <w:jc w:val="both"/>
        <w:ind w:right="120" w:firstLine="468"/>
        <w:spacing w:after="0" w:line="266" w:lineRule="auto"/>
        <w:rPr>
          <w:sz w:val="20"/>
          <w:szCs w:val="20"/>
          <w:color w:val="auto"/>
        </w:rPr>
      </w:pPr>
      <w:r>
        <w:rPr>
          <w:rFonts w:ascii="Times New Roman" w:cs="Times New Roman" w:eastAsia="Times New Roman" w:hAnsi="Times New Roman"/>
          <w:sz w:val="18"/>
          <w:szCs w:val="18"/>
          <w:color w:val="auto"/>
        </w:rPr>
        <w:t>Operating lease expense was approximately $0.9 million and $0.8 million for the three months ended July 31, 2022 and 2021, respectively, and was approximately $1.8 million and $1.6 million for the six months ended July 31, 2022 and 2021, respectively. The Company's short-term leases and finance leases were not material as of July 31, 2022 and January 31, 2022,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6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July 31, 2022</w:t>
            </w:r>
          </w:p>
        </w:tc>
      </w:tr>
      <w:tr>
        <w:trPr>
          <w:trHeight w:val="156"/>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320" w:type="dxa"/>
            <w:vAlign w:val="bottom"/>
            <w:tcBorders>
              <w:top w:val="single" w:sz="8" w:color="auto"/>
            </w:tcBorders>
            <w:gridSpan w:val="3"/>
          </w:tcPr>
          <w:p>
            <w:pPr>
              <w:jc w:val="right"/>
              <w:ind w:right="119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1,090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FF0FC"/>
          </w:tcPr>
          <w:p>
            <w:pPr>
              <w:spacing w:after="0"/>
              <w:rPr>
                <w:sz w:val="19"/>
                <w:szCs w:val="19"/>
                <w:color w:val="auto"/>
              </w:rPr>
            </w:pPr>
          </w:p>
        </w:tc>
      </w:tr>
      <w:tr>
        <w:trPr>
          <w:trHeight w:val="21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 arising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from obtaining right-of-use assets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r>
      <w:tr>
        <w:trPr>
          <w:trHeight w:val="211"/>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 assets obtained in exchange for operating lease liabilities arising</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lease modifications</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810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As of July 31, 2022, the weighted average remaining lease term is 3.09 years, and the weighted average discount rate is 3.57 percent. Future minimum lease payments for the lease liabilities are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26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jc w:val="center"/>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 (6 months remaining)</w:t>
            </w:r>
          </w:p>
        </w:tc>
        <w:tc>
          <w:tcPr>
            <w:tcW w:w="172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interest</w:t>
            </w:r>
          </w:p>
        </w:tc>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July 31, 2022 and January 31, 2022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4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56"/>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non-current</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shares</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After completion of the Company’s initial public offering in 2012, a total of 20,000,000 preference shares, with a $0.00045 par value per share, were authorized. There were no preference shares issued and outstanding as of July 31, 2022 and January 31, 2022,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2022 and January 31, 2022, a total of 200,000,000 ordinary shares were authorized.</w:t>
      </w:r>
    </w:p>
    <w:p>
      <w:pPr>
        <w:spacing w:after="0" w:line="117" w:lineRule="exact"/>
        <w:rPr>
          <w:sz w:val="20"/>
          <w:szCs w:val="20"/>
          <w:color w:val="auto"/>
        </w:rPr>
      </w:pPr>
    </w:p>
    <w:p>
      <w:pPr>
        <w:ind w:right="260" w:firstLine="555"/>
        <w:spacing w:after="0" w:line="258" w:lineRule="auto"/>
        <w:rPr>
          <w:sz w:val="20"/>
          <w:szCs w:val="20"/>
          <w:color w:val="auto"/>
        </w:rPr>
      </w:pPr>
      <w:r>
        <w:rPr>
          <w:rFonts w:ascii="Times New Roman" w:cs="Times New Roman" w:eastAsia="Times New Roman" w:hAnsi="Times New Roman"/>
          <w:sz w:val="18"/>
          <w:szCs w:val="18"/>
          <w:color w:val="auto"/>
        </w:rPr>
        <w:t>In the first quarter of fiscal year 2023, the Company added 466,285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February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fiscal year, or (iii) an amount determined by the Company’s Board of Directors or a duly authorized committee of the Board of Directors.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2022 and January 31, 2022, the following ordinary shares were reserved for future issuance under the Company’s equity plans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56"/>
        </w:trPr>
        <w:tc>
          <w:tcPr>
            <w:tcW w:w="17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40" w:type="dxa"/>
            <w:vAlign w:val="bottom"/>
            <w:gridSpan w:val="3"/>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1240" w:type="dxa"/>
            <w:vAlign w:val="bottom"/>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2022</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5"/>
        </w:trPr>
        <w:tc>
          <w:tcPr>
            <w:tcW w:w="1700" w:type="dxa"/>
            <w:vAlign w:val="bottom"/>
          </w:tcPr>
          <w:p>
            <w:pPr>
              <w:spacing w:after="0"/>
              <w:rPr>
                <w:sz w:val="17"/>
                <w:szCs w:val="17"/>
                <w:color w:val="auto"/>
              </w:rPr>
            </w:pPr>
          </w:p>
        </w:tc>
        <w:tc>
          <w:tcPr>
            <w:tcW w:w="36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26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equity plans</w:t>
            </w:r>
          </w:p>
        </w:tc>
        <w:tc>
          <w:tcPr>
            <w:tcW w:w="27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6,399,750</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7,461,541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ESPP</w:t>
            </w:r>
          </w:p>
        </w:tc>
        <w:tc>
          <w:tcPr>
            <w:tcW w:w="2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3,047,444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2,624,704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43"/>
        </w:trPr>
        <w:tc>
          <w:tcPr>
            <w:tcW w:w="1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On May 27, 2022,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s Board of Directors approved an extension of the current share repurchase program for an additional twelve months ending June 30, 2023. There were no ordinary shares repurchased in the six months ended July 31, 2022. As of July 31, 2022, there was approximately $49.0 million available for repurchases under the current repurchase program through June 30, 2023.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88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31,</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22"/>
                <w:szCs w:val="22"/>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18,205</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53,950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As of July 31, 2022, approximately $1.7 million of stock-based compensation expense was accrued and reflected under accrued and other current liabilities in the condensed consolidated balance sheets. Total unrecognized compensation cost related to unvested stock options at July 31, 2022 was $21.7 million and is expected to be recognized over a weighted-average period of 2.20 years. Total unrecognized compensation cost related to unvested restricted stock units at July 31, 2022 was $189.2 million and is expected to be recognized over a weighted-average period of 2.30 years. In April 2022, the Company’s Compensation Committee of the Board of Directors approved the acceleration of vesting of 35,703 shares of unvested equity awards associated with the departure of Mr. Casey Eichler, who was the Company’s Chief Financial Officer until March 2022. As a result, there was approximately $1.7 million of additional stock-based compensation expense, net related to the departure recognized in fiscal year 2023.</w:t>
      </w:r>
    </w:p>
    <w:p>
      <w:pPr>
        <w:spacing w:after="0" w:line="189"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stock options and employee stock purchase plan awards for the periods indicated: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9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8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80" w:type="dxa"/>
            <w:vAlign w:val="bottom"/>
          </w:tcPr>
          <w:p>
            <w:pPr>
              <w:spacing w:after="0"/>
              <w:rPr>
                <w:sz w:val="15"/>
                <w:szCs w:val="15"/>
                <w:color w:val="auto"/>
              </w:rPr>
            </w:pPr>
          </w:p>
        </w:tc>
      </w:tr>
      <w:tr>
        <w:trPr>
          <w:trHeight w:val="169"/>
        </w:trPr>
        <w:tc>
          <w:tcPr>
            <w:tcW w:w="5140" w:type="dxa"/>
            <w:vAlign w:val="bottom"/>
            <w:gridSpan w:val="2"/>
          </w:tcPr>
          <w:p>
            <w:pPr>
              <w:ind w:left="47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10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56"/>
        </w:trPr>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0.85%</w:t>
            </w:r>
          </w:p>
        </w:tc>
        <w:tc>
          <w:tcPr>
            <w:tcW w:w="11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0.98%</w:t>
            </w:r>
          </w:p>
        </w:tc>
      </w:tr>
      <w:tr>
        <w:trPr>
          <w:trHeight w:val="257"/>
        </w:trPr>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22"/>
                <w:szCs w:val="22"/>
                <w:color w:val="auto"/>
              </w:rPr>
            </w:pPr>
          </w:p>
        </w:tc>
      </w:tr>
      <w:tr>
        <w:trPr>
          <w:trHeight w:val="230"/>
        </w:trPr>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56"/>
        </w:trPr>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51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9"/>
                <w:szCs w:val="19"/>
                <w:color w:val="auto"/>
              </w:rPr>
            </w:pPr>
          </w:p>
        </w:tc>
      </w:tr>
      <w:tr>
        <w:trPr>
          <w:trHeight w:val="274"/>
        </w:trPr>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Option Outstanding</w:t>
            </w: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84"/>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4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62"/>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0"/>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9"/>
        </w:trPr>
        <w:tc>
          <w:tcPr>
            <w:tcW w:w="46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6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2022</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(64,395)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July 31, 2022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25,303</w:t>
            </w: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July 31, 2022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386,400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16,853</w:t>
            </w:r>
          </w:p>
        </w:tc>
      </w:tr>
    </w:tbl>
    <w:p>
      <w:pPr>
        <w:spacing w:after="0" w:line="198"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July 29, 2022 was $86.55, as reported by The NASDAQ Global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73"/>
        </w:trPr>
        <w:tc>
          <w:tcPr>
            <w:tcW w:w="54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2,651,135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708,985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(995,693)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80" w:type="dxa"/>
            <w:vAlign w:val="bottom"/>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(61,722)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July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2,302,705</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2022, the aggregate intrinsic value of unvested restricted stock units was $199.3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ordinary share for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gridSpan w:val="11"/>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50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(7,156)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(17,974)</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0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38,258,341</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36,442,536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37,986,839</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36,191,420</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38,258,341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36,442,536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37,986,839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36,191,420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tcPr>
          <w:p>
            <w:pPr>
              <w:spacing w:after="0"/>
              <w:rPr>
                <w:sz w:val="20"/>
                <w:szCs w:val="20"/>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5" w:name="page16"/>
    <w:bookmarkEnd w:id="15"/>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loss per ordinary share as their effect would have been antidilutive:</w:t>
      </w:r>
    </w:p>
    <w:p>
      <w:pPr>
        <w:spacing w:after="0" w:line="23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0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83"/>
        </w:trPr>
        <w:tc>
          <w:tcPr>
            <w:tcW w:w="3800" w:type="dxa"/>
            <w:vAlign w:val="bottom"/>
            <w:tcBorders>
              <w:bottom w:val="single" w:sz="8" w:color="CFF0FC"/>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FF0FC"/>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328,198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367,880</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370,069</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397,871</w:t>
            </w:r>
          </w:p>
        </w:tc>
        <w:tc>
          <w:tcPr>
            <w:tcW w:w="80" w:type="dxa"/>
            <w:vAlign w:val="bottom"/>
            <w:shd w:val="clear" w:color="auto" w:fill="CFF0FC"/>
          </w:tcPr>
          <w:p>
            <w:pPr>
              <w:spacing w:after="0"/>
              <w:rPr>
                <w:sz w:val="19"/>
                <w:szCs w:val="19"/>
                <w:color w:val="auto"/>
              </w:rPr>
            </w:pP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1,463,284</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1,528,946</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1,620,052</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1,657,599</w:t>
            </w:r>
          </w:p>
        </w:tc>
        <w:tc>
          <w:tcPr>
            <w:tcW w:w="80" w:type="dxa"/>
            <w:vAlign w:val="bottom"/>
          </w:tcPr>
          <w:p>
            <w:pPr>
              <w:spacing w:after="0"/>
              <w:rPr>
                <w:sz w:val="22"/>
                <w:szCs w:val="22"/>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80" w:type="dxa"/>
            <w:vAlign w:val="bottom"/>
            <w:shd w:val="clear" w:color="auto" w:fill="CFF0FC"/>
          </w:tcPr>
          <w:p>
            <w:pPr>
              <w:spacing w:after="0"/>
              <w:rPr>
                <w:sz w:val="19"/>
                <w:szCs w:val="19"/>
                <w:color w:val="auto"/>
              </w:rPr>
            </w:pPr>
          </w:p>
        </w:tc>
      </w:tr>
      <w:tr>
        <w:trPr>
          <w:trHeight w:val="250"/>
        </w:trPr>
        <w:tc>
          <w:tcPr>
            <w:tcW w:w="38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1,802,938</w:t>
            </w:r>
          </w:p>
        </w:tc>
        <w:tc>
          <w:tcPr>
            <w:tcW w:w="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1,897,540</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2,001,354</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2,067,262</w:t>
            </w:r>
          </w:p>
        </w:tc>
        <w:tc>
          <w:tcPr>
            <w:tcW w:w="80" w:type="dxa"/>
            <w:vAlign w:val="bottom"/>
          </w:tcPr>
          <w:p>
            <w:pPr>
              <w:spacing w:after="0"/>
              <w:rPr>
                <w:sz w:val="21"/>
                <w:szCs w:val="21"/>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9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9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jc w:val="right"/>
              <w:ind w:right="51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  (20,214)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(5,742)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(30,626)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(15,285)</w:t>
            </w: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3,436</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6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3,846</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The Company recorded an income tax provision of $3.4 million and $1.4 million for the three months ended July 31, 2022 and 2021, and $3.8 million and $2.7 million for the six months ended July 31, 2022 and 2021, respectively. The increase in income tax expense for the three and six months ended July 31, 2022 was primarily due to a decrease in the U.S. federal research tax credit, a decrease in tax benefits from excess stock-based compensation deductions as well as an increase in non-deductible stock-based compensation, partially offset by a decrease in the proportion of profits generated in higher tax jurisdictions.</w:t>
      </w:r>
    </w:p>
    <w:p>
      <w:pPr>
        <w:spacing w:after="0" w:line="183"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Internal Revenue Service is currently examining the Company’s U.S. federal income tax return for the fiscal year ended January 31, 2017. The tax years 2013 to 2021 remain open to examination by U.S. federal tax authorities. The tax years 2009 to 2021 remain open to examination by U.S. state tax authorities. The tax years 2015 to 2021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July 31, 2022, the gross amount of unrecognized tax benefits was approximately $31.3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Manufacturer Commitments</w:t>
      </w:r>
    </w:p>
    <w:p>
      <w:pPr>
        <w:spacing w:after="0" w:line="22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July 31, 2022 and January 31, 2022, total manufacturing purchase commitments were approximately $68.3 million and $71.5 million, respectively. The Company also reviews and assesses the need for any expected loss liabilities on quarterly basis for all products that it does not expect to sell for which it has committed purchases from suppliers. As of July 31, 2022, an approximately $1.9 million loss was recognized in the condensed consolidated balance sheets from adverse purchase commitments. There were no material loss liabilities recorded in the condensed consolidated balance sheets from adverse purchase commitments as of January 31, 2022.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July 31, 2022 and January 31, 2022, respectively.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83"/>
        </w:trPr>
        <w:tc>
          <w:tcPr>
            <w:tcW w:w="3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5"/>
        </w:trPr>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49,805</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49,136</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103,441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93,723</w:t>
            </w:r>
          </w:p>
        </w:tc>
        <w:tc>
          <w:tcPr>
            <w:tcW w:w="100" w:type="dxa"/>
            <w:vAlign w:val="bottom"/>
            <w:shd w:val="clear" w:color="auto" w:fill="CFF0FC"/>
          </w:tcPr>
          <w:p>
            <w:pPr>
              <w:spacing w:after="0"/>
              <w:rPr>
                <w:sz w:val="19"/>
                <w:szCs w:val="19"/>
                <w:color w:val="auto"/>
              </w:rPr>
            </w:pP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20,162</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38,799</w:t>
            </w:r>
          </w:p>
        </w:tc>
        <w:tc>
          <w:tcPr>
            <w:tcW w:w="100" w:type="dxa"/>
            <w:vAlign w:val="bottom"/>
          </w:tcPr>
          <w:p>
            <w:pPr>
              <w:spacing w:after="0"/>
              <w:rPr>
                <w:sz w:val="22"/>
                <w:szCs w:val="22"/>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shd w:val="clear" w:color="auto" w:fill="CFF0FC"/>
          </w:tcPr>
          <w:p>
            <w:pPr>
              <w:spacing w:after="0"/>
              <w:rPr>
                <w:sz w:val="19"/>
                <w:szCs w:val="19"/>
                <w:color w:val="auto"/>
              </w:rPr>
            </w:pP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tcPr>
          <w:p>
            <w:pPr>
              <w:spacing w:after="0"/>
              <w:rPr>
                <w:sz w:val="22"/>
                <w:szCs w:val="22"/>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FF0FC"/>
          </w:tcPr>
          <w:p>
            <w:pPr>
              <w:spacing w:after="0"/>
              <w:rPr>
                <w:sz w:val="19"/>
                <w:szCs w:val="19"/>
                <w:color w:val="auto"/>
              </w:rPr>
            </w:pPr>
          </w:p>
        </w:tc>
      </w:tr>
      <w:tr>
        <w:trPr>
          <w:trHeight w:val="250"/>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79,327</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171,189</w:t>
            </w:r>
          </w:p>
        </w:tc>
        <w:tc>
          <w:tcPr>
            <w:tcW w:w="18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149,460</w:t>
            </w:r>
          </w:p>
        </w:tc>
        <w:tc>
          <w:tcPr>
            <w:tcW w:w="100" w:type="dxa"/>
            <w:vAlign w:val="bottom"/>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As of July 31, 2022, substantially all of the Company’s property and equipment were located in the Asia Pacific region, United States and Europe with approximate net amounts of $5.3 million, $3.6 million and $1.6 million,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For the three and six months ended July 31, 2022, the customers representing 10% or more of revenue and accounts receivable were WT and Chicony, which accounted for approximately 59.4% and 12.9% of total revenue for the three months ended July 31, 2022, respectively, and accounted for approximately 57.9% and 12.1% of total revenue for the six months ended July 31, 2022, respectively. For the three and six months ended July 31, 2021, the customers representing 10% or more of revenue and accounts receivable were WT and Chicony, which accounted for approximately 61.6% and 15.8% of total revenue for the three months ended July 31, 2021, respectively, and accounted for approximately 62.4% and 15.8% of total revenue for the six months ended July 31, 2021, respectively. Accounts receivable with WT and Chicony were approximately $16.2 million and $10.5 million, respectively, as of July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2022 and management’s discussion and analysis of our financial condition and results of operations included in our Annual Report on Form 10-K for the 2022 fiscal year filed with the Securities and Exchange Commission, or SEC, on April 1, 2022.</w:t>
      </w:r>
    </w:p>
    <w:p>
      <w:pPr>
        <w:spacing w:after="0" w:line="183"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ongoing and potential impact of the COVID-19 pandemic on our operations or the operations of our supply chain or our customers; risks associated with the overall economy, including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Our SoC designs fully integrate AI, computer vision functionality,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markets and applications. We anticipate that our CV technology will also enable us to capture more content per electronic system and increase our average selling price.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firstLine="510"/>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both human viewing and computer vision functionality. As a result, we believe that our future revenue growth, if any, will significantly depend upon our ability to expand within camera markets with our AI and computer vision technology, particularly in the professional IP security and home security and monitoring camera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89"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9 to 18 months after a design win, depending on the complexity of our customer’s product and other factors upon which we may have little or no influence. In general, design cycles will be longer in the OEM automotive and industrial and robotics markets than in the IP security and consumer device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6 to 18 months, while an IP security camera typically has a product life cycle of 12 to 24 months. We anticipate that product lifecycles will typically be longer than 24 months in the OEM automotive and industrial and robotics markets, as new product introductions occur less frequently in these markets.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21" w:lineRule="exact"/>
        <w:rPr>
          <w:sz w:val="20"/>
          <w:szCs w:val="20"/>
          <w:color w:val="auto"/>
        </w:rPr>
      </w:pPr>
    </w:p>
    <w:p>
      <w:pPr>
        <w:ind w:left="1520" w:right="40" w:hanging="500"/>
        <w:spacing w:after="0" w:line="273" w:lineRule="auto"/>
        <w:tabs>
          <w:tab w:leader="none" w:pos="1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revenue of $80.9 million and $171.2 million for the three and six months ended July 31, 2022, respectively. This represented increases of 2.0% and 14.5%, respectively, as compared to the same periods in the prior fiscal year. Despite lower product unit shipments affected by supply chain disruptions in the semiconductor industry, continued adoption of our CV-based solutions as well as increased revenue from nonrecurring engineering (NRE) project services resulted in higher revenue in the automotive camera, professional IP security camera and consumer markets, especially in the North America and Asia regions other than China. For the three months ended July 31, 2022, the increase in revenue was partially offset by decreased revenue from our two largest China customers in the professional IP security camera market due to lower demand affected by pandemic lockdowns in China.</w:t>
      </w:r>
    </w:p>
    <w:p>
      <w:pPr>
        <w:spacing w:after="0" w:line="63" w:lineRule="exact"/>
        <w:rPr>
          <w:rFonts w:ascii="Times New Roman" w:cs="Times New Roman" w:eastAsia="Times New Roman" w:hAnsi="Times New Roman"/>
          <w:sz w:val="17"/>
          <w:szCs w:val="17"/>
          <w:color w:val="auto"/>
        </w:rPr>
      </w:pPr>
    </w:p>
    <w:p>
      <w:pPr>
        <w:ind w:left="1520" w:right="20" w:hanging="500"/>
        <w:spacing w:after="0" w:line="256" w:lineRule="auto"/>
        <w:tabs>
          <w:tab w:leader="none" w:pos="1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losses of $20.2 million and $30.7 million for the three and six months ended July 31, 2022, respectively, as compared to operating losses of $6.0 million and $16.1 million for the three and six months ended July 31, 2021, respectively. The increased operating losses were primarily due to increased operating expenses, partially offset by increased revenue and gross profit. The increased operating expenses primarily related to higher personnel costs associated with headcount growth and benefit programs, increased chip tape-out costs due to the timing and number of chips in development, as well as increased engineering-related expenses for supporting automotive, robotic and industrial applications of our CV-based solutions.</w:t>
      </w:r>
    </w:p>
    <w:p>
      <w:pPr>
        <w:spacing w:after="0" w:line="79" w:lineRule="exact"/>
        <w:rPr>
          <w:rFonts w:ascii="Times New Roman" w:cs="Times New Roman" w:eastAsia="Times New Roman" w:hAnsi="Times New Roman"/>
          <w:sz w:val="18"/>
          <w:szCs w:val="18"/>
          <w:color w:val="auto"/>
        </w:rPr>
      </w:pPr>
    </w:p>
    <w:p>
      <w:pPr>
        <w:ind w:left="1520" w:right="80" w:hanging="500"/>
        <w:spacing w:after="0" w:line="258" w:lineRule="auto"/>
        <w:tabs>
          <w:tab w:leader="none" w:pos="1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$33.0 million for the six months ended July 31, 2022, as compared to $9.9 million for the six months ended July 31, 2021. The increased cash flows from operating activities were primarily due to higher collection from accounts receivable associated with the timing of sales and lower inventory purchases due to supply chain disruptions in the semiconductor industry, partially offset by decreased liabilities associated with employee benefit payments and the timing of payments to our suppliers.</w:t>
      </w:r>
    </w:p>
    <w:p>
      <w:pPr>
        <w:spacing w:after="0" w:line="75" w:lineRule="exact"/>
        <w:rPr>
          <w:rFonts w:ascii="Times New Roman" w:cs="Times New Roman" w:eastAsia="Times New Roman" w:hAnsi="Times New Roman"/>
          <w:sz w:val="18"/>
          <w:szCs w:val="18"/>
          <w:color w:val="auto"/>
        </w:rPr>
      </w:pPr>
    </w:p>
    <w:p>
      <w:pPr>
        <w:ind w:left="1520" w:right="280" w:hanging="500"/>
        <w:spacing w:after="0" w:line="266" w:lineRule="auto"/>
        <w:tabs>
          <w:tab w:leader="none" w:pos="1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31, 2022, we have invested $100.0 million of cash in money market funds and debt securities of corporations. All of the investments are denominated in United States dollars and reported at fair value as available-for-sale securities in our condensed consolidated balance sheets.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Impact of COVID-19 on our Business. </w:t>
      </w:r>
      <w:r>
        <w:rPr>
          <w:rFonts w:ascii="Times New Roman" w:cs="Times New Roman" w:eastAsia="Times New Roman" w:hAnsi="Times New Roman"/>
          <w:sz w:val="18"/>
          <w:szCs w:val="18"/>
          <w:color w:val="auto"/>
        </w:rPr>
        <w:t>The COVID-19 pandemic has resulted in significant governmental measures being implemented to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spread of the virus, including, among others, restrictions on travel and the imposition of remote or work from home conditions in many of the locations where we have offices, including our Shanghai office in April and May of 2022. We have experienced a significant disruption of orders and logistics throughout the Asia supply chain as a result of the COVID-19 pandemic, and if the remote or work from home conditions in any of our locations continues for an extended period of time, we may experience delays in product development, a decreased ability to support our customers, reduced design win activity, and overall lack of productivity. We are also experiencing significantly longer manufacturing times that, if they persist or worsen, could impact our ability to meet our customers’ demand for our solutions and negatively impact our revenue. As a result of these factors, we have reduced our inventory purchases in the near term.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The pandemic may also impact our customers’ ability to manufacture their products, support their customers or reduce or delay demand for their products, which could, in turn, reduce such demand for our solutions. The Global supply shortages, and the uncertainty in customer demand as well as the worldwide economy, in general, have continued as a result of the COVID-19 pandemic, and may be further exacerbated by the impacts of high inflation. We may experience increased volatility in our sales and revenues in the near future. Recently, some customers have indicated they are reducing their inventory levels, which may reduce such customers’ demand for our products. The magnitude and duration of such volatility is uncertain and thus its impact on our business cannot be reasonably estimated at this time.</w:t>
      </w:r>
    </w:p>
    <w:p>
      <w:pPr>
        <w:spacing w:after="0" w:line="196"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IP security, automotive, industrial and robotics, and certain consumer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industrial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83"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84"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Shifting Consumer Preferences. </w:t>
      </w:r>
      <w:r>
        <w:rPr>
          <w:rFonts w:ascii="Times New Roman" w:cs="Times New Roman" w:eastAsia="Times New Roman" w:hAnsi="Times New Roman"/>
          <w:sz w:val="18"/>
          <w:szCs w:val="18"/>
          <w:color w:val="auto"/>
        </w:rPr>
        <w:t>Our revenue is also subject to consumer preferences, regarding form factor and functionality, and how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aerial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0" w:name="page21"/>
    <w:bookmarkEnd w:id="20"/>
    <w:p>
      <w:pPr>
        <w:ind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w:t>
      </w:r>
      <w:r>
        <w:rPr>
          <w:rFonts w:ascii="Times New Roman" w:cs="Times New Roman" w:eastAsia="Times New Roman" w:hAnsi="Times New Roman"/>
          <w:sz w:val="18"/>
          <w:szCs w:val="18"/>
          <w:color w:val="auto"/>
        </w:rPr>
        <w:t>. Historically, our revenue has been significantly concentrated in a small number of end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developed technologies to provide solutions for new markets as they emerged, such as the sports camera, IP security, aerial drone and automotive video recorder camera markets. Since fiscal year 2018, the professional and consumer IP security camera markets and automotive markets, including the OEM and aftermarket video recorder market,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87"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Connectivity Trends</w:t>
      </w:r>
      <w:r>
        <w:rPr>
          <w:rFonts w:ascii="Times New Roman" w:cs="Times New Roman" w:eastAsia="Times New Roman" w:hAnsi="Times New Roman"/>
          <w:sz w:val="18"/>
          <w:szCs w:val="18"/>
          <w:color w:val="auto"/>
        </w:rPr>
        <w:t>. Mobile connected devices are ubiquitous today and play an increasingly prominent role in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incorporate wireless communication functionality into our solutions for wearable, IP security, aerial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aerial drone cameras allow consumers to quickly stream or upload video and images to social media platforms.</w:t>
      </w:r>
    </w:p>
    <w:p>
      <w:pPr>
        <w:spacing w:after="0" w:line="18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83"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9 to 18 months following a design win; however, in some markets, lengthier product and development cycles are possible, depending on the scope and nature of the project, such as in the automotive OEM market. A portable consumer device typically has a product life cycle of 6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92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171,189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29,820</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29,908</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63,578</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56,276</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49,419</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107,611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99,028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39,269</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55,379</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138,297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(20,188)</w:t>
            </w: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(5,960)</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(30,686)</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(16,096)</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(20,214)</w:t>
            </w: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(5,742)</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(30,626)</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(15,285)</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(17,974)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8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80" w:type="dxa"/>
            <w:vAlign w:val="bottom"/>
          </w:tcPr>
          <w:p>
            <w:pPr>
              <w:spacing w:after="0"/>
              <w:rPr>
                <w:sz w:val="13"/>
                <w:szCs w:val="13"/>
                <w:color w:val="auto"/>
              </w:rPr>
            </w:pPr>
          </w:p>
        </w:tc>
        <w:tc>
          <w:tcPr>
            <w:tcW w:w="18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CFF0FC"/>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CFF0FC"/>
            </w:tcBorders>
          </w:tcPr>
          <w:p>
            <w:pPr>
              <w:spacing w:after="0"/>
              <w:rPr>
                <w:sz w:val="15"/>
                <w:szCs w:val="15"/>
                <w:color w:val="auto"/>
              </w:rPr>
            </w:pPr>
          </w:p>
        </w:tc>
        <w:tc>
          <w:tcPr>
            <w:tcW w:w="200" w:type="dxa"/>
            <w:vAlign w:val="bottom"/>
            <w:tcBorders>
              <w:top w:val="single" w:sz="8" w:color="auto"/>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FF0FC"/>
            </w:tcBorders>
          </w:tcPr>
          <w:p>
            <w:pPr>
              <w:spacing w:after="0"/>
              <w:rPr>
                <w:sz w:val="15"/>
                <w:szCs w:val="15"/>
                <w:color w:val="auto"/>
              </w:rPr>
            </w:pPr>
          </w:p>
        </w:tc>
        <w:tc>
          <w:tcPr>
            <w:tcW w:w="180" w:type="dxa"/>
            <w:vAlign w:val="bottom"/>
            <w:tcBorders>
              <w:top w:val="single" w:sz="8" w:color="auto"/>
              <w:bottom w:val="single" w:sz="8" w:color="CFF0FC"/>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HD and Ultra HD video and image processing SoC solutions to IP security camera OEMs, IP security camera ODMs, OEM or Tier-1 automotive suppliers, and consumer camera OEMs, either directly or through our distributors. In recent years, our SoC solutions have been primarily used in camera markets, such as IP security, automotive video recorder, drone and wearable cameras. Although we expect these human viewing camera markets, in particular the IP security and automotive video recorder markets, to continue to generate revenue for the foreseeable future, we have recently introduced new SoCs targeting emerging AI and computer vision applications in the IP security camera, OEM automotive, industrial and robotics markets. We derive a substantial portion of our revenue from sales made indirectly through one of our distributors, WT Microelectronics Co., Ltd., formerly Wintech Microelectronics Co., Ltd., or WT, and directly to one of our ODM customers, Chicony Electronics Co., Ltd., or Chicony.</w:t>
      </w:r>
    </w:p>
    <w:p>
      <w:pPr>
        <w:spacing w:after="0" w:line="19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continued effects of the COVID-19 pandemic and persistent supply chain challenges may negatively affect our business performance and revenues this year. Our average selling prices fluctuate based on the mix of our solutions sold in a period which reflects the impact of both changes in unit sales of existing solutions as well as the introduction and sales of new solutions. Our CV-based solutions generally have higher selling prices than our traditional video and image processing SoC solutions that do not enable CV functionality. Our solutions are typically characterized by a life cycle that begins with higher average selling prices and lower volumes, followed by broader market adoption, higher volumes and average selling prices that are lower than initial levels.</w:t>
      </w:r>
    </w:p>
    <w:p>
      <w:pPr>
        <w:sectPr>
          <w:pgSz w:w="11900" w:h="16838" w:orient="portrait"/>
          <w:cols w:equalWidth="0" w:num="1">
            <w:col w:w="11100"/>
          </w:cols>
          <w:pgMar w:left="320" w:top="441" w:right="47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1" w:right="479" w:bottom="1440" w:gutter="0" w:footer="0" w:header="0"/>
          <w:type w:val="continuous"/>
        </w:sectPr>
      </w:pPr>
    </w:p>
    <w:bookmarkStart w:id="22" w:name="page23"/>
    <w:bookmarkEnd w:id="22"/>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amortization of developed technology and other general overhead costs.</w:t>
      </w:r>
    </w:p>
    <w:p>
      <w:pPr>
        <w:spacing w:after="0" w:line="17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and amortization of licensing intellectual properties from third parties for product development, costs of development for software and hardware tools, costs of fabrication of mask sets for prototype products, equipment expenses, outside services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firstLine="510"/>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interests and yields from debt security investments and cash deposits with financial institutions, as well as miscellaneous subsidies granted from a foreign government.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our operations are subject to income taxes in the United States, China, Hong Kong, Germany, Italy, Japan, South Korea, Taiwan and other jurisdictions in which we do business.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9" w:lineRule="exact"/>
        <w:rPr>
          <w:sz w:val="20"/>
          <w:szCs w:val="20"/>
          <w:color w:val="auto"/>
        </w:rPr>
      </w:pPr>
    </w:p>
    <w:p>
      <w:pPr>
        <w:ind w:right="160" w:firstLine="478"/>
        <w:spacing w:after="0" w:line="261" w:lineRule="auto"/>
        <w:rPr>
          <w:sz w:val="20"/>
          <w:szCs w:val="20"/>
          <w:color w:val="auto"/>
        </w:rPr>
      </w:pPr>
      <w:r>
        <w:rPr>
          <w:rFonts w:ascii="Times New Roman" w:cs="Times New Roman" w:eastAsia="Times New Roman" w:hAnsi="Times New Roman"/>
          <w:sz w:val="18"/>
          <w:szCs w:val="18"/>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July 31, 2022 and 2021</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00" w:type="dxa"/>
            <w:vAlign w:val="bottom"/>
            <w:vMerge w:val="restart"/>
          </w:tcPr>
          <w:p>
            <w:pPr>
              <w:spacing w:after="0"/>
              <w:rPr>
                <w:sz w:val="13"/>
                <w:szCs w:val="13"/>
                <w:color w:val="auto"/>
              </w:rPr>
            </w:pPr>
          </w:p>
        </w:tc>
        <w:tc>
          <w:tcPr>
            <w:tcW w:w="12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31,</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4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80,884</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79,327</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1,557</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  171,189</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149,460</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   21,729</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Revenue increased for the three and six months ended July 31, 2022, as compared to the same periods in the prior fiscal year. Despite lower product unit shipments affected by supply chain disruptions in the semiconductor industry, continued adoption of our CV-based solutions as well as increased revenue from nonrecurring engineering (NRE) project services resulted in higher revenue in the automotive camera, professional IP security camera and consumer markets, especially in the North America and Asia regions other than China. For the three months ended July 31, 2022, the increase in revenue was partially offset by decreased revenue from our two largest China customers in the professional IP security camera market due to lower demand affected by pandemic lockdowns in China.</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1460" w:type="dxa"/>
            <w:vAlign w:val="bottom"/>
          </w:tcPr>
          <w:p>
            <w:pPr>
              <w:spacing w:after="0"/>
              <w:rPr>
                <w:sz w:val="14"/>
                <w:szCs w:val="14"/>
                <w:color w:val="auto"/>
              </w:rPr>
            </w:pPr>
          </w:p>
        </w:tc>
        <w:tc>
          <w:tcPr>
            <w:tcW w:w="134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r>
      <w:tr>
        <w:trPr>
          <w:trHeight w:val="155"/>
        </w:trPr>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  29,820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29,908</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8"/>
                <w:szCs w:val="18"/>
                <w:color w:val="auto"/>
              </w:rPr>
              <w:t>(88)</w:t>
            </w: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9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63,578</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56,276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7"/>
              <w:spacing w:after="0"/>
              <w:rPr>
                <w:sz w:val="20"/>
                <w:szCs w:val="20"/>
                <w:color w:val="auto"/>
              </w:rPr>
            </w:pPr>
            <w:r>
              <w:rPr>
                <w:rFonts w:ascii="Times New Roman" w:cs="Times New Roman" w:eastAsia="Times New Roman" w:hAnsi="Times New Roman"/>
                <w:sz w:val="18"/>
                <w:szCs w:val="18"/>
                <w:color w:val="auto"/>
              </w:rPr>
              <w:t>7,302</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51,064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49,419</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1,645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2"/>
                <w:szCs w:val="22"/>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107,611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93,184</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14,427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r>
    </w:tbl>
    <w:p>
      <w:pPr>
        <w:spacing w:after="0" w:line="198"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changes in cost of revenue for the three and six months ended July 31, 2022, as compared to the same periods in the prior fiscal year, were primarily due to higher manufacturing cost for CV-based solutions and an approximately $1.9 million adverse purchase order commitment recognized in the second quarter of fiscal year 2023, partially offset by lower volume of product unit shipments in the three and six months ended July 31, 2022 affected by supply chain disruptions in the semiconductor industry.</w:t>
      </w:r>
    </w:p>
    <w:p>
      <w:pPr>
        <w:spacing w:after="0" w:line="180"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Gross margin increased for the three and six months ended July 31, 2022, as compared to the same periods in the prior fiscal year, primarily due to an increase in the percentage of our total revenue derived from higher gross margin CV-based solutions and increased sales into automotive markets, as well as higher margin NRE revenue contracts. A customer concentration shift from the China region to the North America and Asia regions outside of China in the professional IP security camera market also contributed to an improvement in the gross margin.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20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00" w:type="dxa"/>
            <w:vAlign w:val="bottom"/>
            <w:vMerge w:val="restart"/>
          </w:tcPr>
          <w:p>
            <w:pPr>
              <w:spacing w:after="0"/>
              <w:rPr>
                <w:sz w:val="13"/>
                <w:szCs w:val="13"/>
                <w:color w:val="auto"/>
              </w:rPr>
            </w:pPr>
          </w:p>
        </w:tc>
        <w:tc>
          <w:tcPr>
            <w:tcW w:w="12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2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4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52,338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39,558</w:t>
            </w:r>
          </w:p>
        </w:tc>
        <w:tc>
          <w:tcPr>
            <w:tcW w:w="142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   12,780</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   99,028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77,432</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   21,596</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ind w:firstLine="510"/>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increased for the three and six months ended July 31, 2022, as compared to the same periods in the prior fiscal year, primarily due to increased personnel costs, engineering-related expenses and SoC development cost. Personnel costs increased by approximately $8.4 million and $17.0 million for the three and six months ended July 31, 2022, respectively, as a result of higher stock-based compensation expense and an increase of 68 employees, including 44 engineering headcount added from our acquisition of Oculii Corp, or Oculii, in the fourth quarter of fiscal year 2022. Engineering-related expenses, including costs and depreciation of equipment and tools, amortization of licensed intellectual property, outside services and facility related expenses in support of new SoCs and related applications, increased by approximately $2.9 million and $4.2 million, respectively. The increases in research and development expense were also attributable to increased SoC development cost due to the timing and number of chips in development. During the three and six months ended July 31, 2022, SoC development cost increased by approximately $1.5 million and $0.3 million, respectively.</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9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18,914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15,821</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3,093</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   39,269</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31,848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7,421</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and six months ended July 31, 2022, as compared to the same periods in the prior fiscal year, primarily due to increased personnel costs, professional services and increased facility-related expenses. Personnel costs increased by approximately $2.2 million and $5.7 million, respectively, as a result of higher stock-based compensation expense and an increase of 31 employees. The increases were also attributable to approximately $0.7 million and $1.6 million, respectively, of additional professional services and facility-related expenses to support our business development in the IP security, automotive and robotics markets.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0" w:type="dxa"/>
            <w:vAlign w:val="bottom"/>
          </w:tcPr>
          <w:p>
            <w:pPr>
              <w:spacing w:after="0"/>
              <w:rPr>
                <w:sz w:val="13"/>
                <w:szCs w:val="13"/>
                <w:color w:val="auto"/>
              </w:rPr>
            </w:pPr>
          </w:p>
        </w:tc>
        <w:tc>
          <w:tcPr>
            <w:tcW w:w="11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0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(244)</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(111.9)%</w:t>
            </w:r>
          </w:p>
        </w:tc>
        <w:tc>
          <w:tcPr>
            <w:tcW w:w="580" w:type="dxa"/>
            <w:vAlign w:val="bottom"/>
            <w:shd w:val="clear" w:color="auto" w:fill="CFF0FC"/>
          </w:tcPr>
          <w:p>
            <w:pPr>
              <w:jc w:val="right"/>
              <w:ind w:right="40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282"/>
              <w:spacing w:after="0"/>
              <w:rPr>
                <w:sz w:val="20"/>
                <w:szCs w:val="20"/>
                <w:color w:val="auto"/>
              </w:rPr>
            </w:pPr>
            <w:r>
              <w:rPr>
                <w:rFonts w:ascii="Times New Roman" w:cs="Times New Roman" w:eastAsia="Times New Roman" w:hAnsi="Times New Roman"/>
                <w:sz w:val="18"/>
                <w:szCs w:val="18"/>
                <w:color w:val="auto"/>
              </w:rPr>
              <w:t>(751)</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decreases in other income (expense), net, for the three and six months ended July 31, 2022, as compared to the same periods in the prior fiscal year, were primarily due to the full liquidation of our debt security investments in fiscal year 2022 to finance the acquisition of Oculii, resulting in reduced interests and yields from investments. In July 2022, we resumed our investment in debt securities with $100.0 million of investments in money market funds and debt securities of corporations.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1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80" w:type="dxa"/>
            <w:vAlign w:val="bottom"/>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31,</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Borders>
              <w:bottom w:val="single" w:sz="8" w:color="auto"/>
            </w:tcBorders>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20" w:type="dxa"/>
            <w:vAlign w:val="bottom"/>
            <w:tcBorders>
              <w:top w:val="single" w:sz="8" w:color="auto"/>
            </w:tcBorders>
            <w:gridSpan w:val="3"/>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3,436</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3,846</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1,157</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r>
              <w:rPr>
                <w:rFonts w:ascii="Calibri" w:cs="Calibri" w:eastAsia="Calibri" w:hAnsi="Calibri"/>
                <w:sz w:val="19"/>
                <w:szCs w:val="19"/>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r>
              <w:rPr>
                <w:rFonts w:ascii="Calibri" w:cs="Calibri" w:eastAsia="Calibri" w:hAnsi="Calibri"/>
                <w:sz w:val="19"/>
                <w:szCs w:val="19"/>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that quarter.</w:t>
      </w:r>
    </w:p>
    <w:p>
      <w:pPr>
        <w:spacing w:after="0" w:line="16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increases in income tax expense for the three and six months ended July 31, 2022, as compared to the same periods in the prior fiscal year, were primarily due to a decrease in the U.S. federal research tax credit, a decrease in tax benefits from excess stock-based compensation deductions as well as an increase in non-deductible stock-based compensation, partially offset by a decrease in the proportion of profits generated in higher tax jurisdictions.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As of July 31, 2022 and January 31, 2022, we had cash, cash equivalents and marketable debt securities of approximately $197.9 million and $171.0 million, respectively. We invest in highly-liquid, short-term marketable debt securities and hold these investments as available-for-sale securities. As of July 31, 2022, these securities had a fair value of approximately $100.0 million with immaterial unrealized losses caused by market fluctuations.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56"/>
        </w:trPr>
        <w:tc>
          <w:tcPr>
            <w:tcW w:w="49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r>
      <w:tr>
        <w:trPr>
          <w:trHeight w:val="155"/>
        </w:trPr>
        <w:tc>
          <w:tcPr>
            <w:tcW w:w="4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33,003</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(10,311)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8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80" w:type="dxa"/>
            <w:vAlign w:val="bottom"/>
            <w:shd w:val="clear" w:color="auto" w:fill="CFF0FC"/>
          </w:tcPr>
          <w:p>
            <w:pPr>
              <w:spacing w:after="0"/>
              <w:rPr>
                <w:sz w:val="19"/>
                <w:szCs w:val="19"/>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23,901</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17,128</w:t>
            </w:r>
          </w:p>
        </w:tc>
        <w:tc>
          <w:tcPr>
            <w:tcW w:w="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for the six months ended July 31, 2022, as compared to the same period in the prior fiscal year, primarily due to higher collection from accounts receivable associated with the timing of sales and lower inventory purchases due to supply chain disruptions in the semiconductor industry, partially offset by decreased liabilities associated with employee benefit payments and the timing of payments to our suppliers.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for the six months ended July 31, 2022, as compared to net cash provided by investing activities for the same period in the prior fiscal year, primarily due to approximately $9.6 million less net cash receipts from debt security investments after a full liquidation of investments in fiscal year 2022 and approximately $4.3 million higher cash payments for purchase of tangible and intangible assets, partially offset by an approximately $0.7 million claim from an escrow account associated with the acquisition of Oculii.</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decreased for the six months ended July 31, 2022, as compared to the same period in the prior fiscal year, primarily due to approximately $3.1 million less cash proceeds from option exercises and employee stock purchase withholdings as a result of lower average stock price in the current fiscal year.</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No ordinary shares were repurchased during the six months ended July 31, 2022. On May 27, 2022, our Board of Directors approved an extension of the current share repurchase program for an additional twelve months ending June 30, 2023. The repurchase program does not obligate us to acquire any particular amount of ordinary shares, and it may be suspended at any time at our discretion. As of July 31, 2022, there was approximately $49.0 million remaining available for repurchases under the repurchase program through June 30, 2023.</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As of July 31, 2022, we had cash, cash equivalents and marketable debt securities of approximately $197.9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or borrowing funds commercially, we may become subject to covenants that would restrict our operations. We may require additional capital beyond our currently anticipated amounts. Additional capital may not be available to us on reasonable terms, or at all.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from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our costs;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research and development of new technologies and products to address new markets and applications;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duration of COVID-19 impact, as well as measures implemented to control the spread of the virus;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technologies or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w:t>
      </w:r>
    </w:p>
    <w:p>
      <w:pPr>
        <w:spacing w:after="0" w:line="117" w:lineRule="exact"/>
        <w:rPr>
          <w:rFonts w:ascii="Times New Roman" w:cs="Times New Roman" w:eastAsia="Times New Roman" w:hAnsi="Times New Roman"/>
          <w:sz w:val="18"/>
          <w:szCs w:val="18"/>
          <w:color w:val="auto"/>
        </w:rPr>
      </w:pPr>
    </w:p>
    <w:p>
      <w:pPr>
        <w:ind w:left="1520" w:right="380" w:hanging="500"/>
        <w:spacing w:after="0" w:line="282" w:lineRule="auto"/>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or participating in litigation-related activities;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2022, we had purchase obligations with our independent contract manufacturers of $68.3 million.</w:t>
      </w:r>
    </w:p>
    <w:p>
      <w:pPr>
        <w:spacing w:after="0" w:line="22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Except as described above with respect to the manufacturing purchase obligations, there were no other material changes in our contractual obligations, commitments and contingencies from those disclosed in our Annual Report on Form 10-K for the fiscal year ended January 31, 2022. Please see Item 7, “Management’s Discussion and Analysis of Financial Condition and Results of Operations – Contractual Obligations, Commitments and Contingencies” in our Annual Report on Form 10-K for the fiscal year ended January 31, 2022 for a description of our contractual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As of July 31, 2022,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2022 fiscal year filed with the SEC on April 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As of July 31, 2022 and January 31, 2022, we had cash, cash equivalents and marketable debt securities totaling $197.9 million and $171.0 million, respectively. Our cash is deposited in checking accounts with reputable financial institutions. The cash equivalents and marketable debt securities consist primarily of investments in money market funds and debt securities of corporations. Our cash is held for working capital purposes. We do not enter into investments for trading or speculative purposes.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119"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 xml:space="preserve">The primary objectives of our investment activities are to preserve capital, provide liquidity and maximize income without significantly increasing risk. Some of the securities we invest in are subject to market risk. This means that a change in prevailing interest rates may </w:t>
      </w:r>
      <w:r>
        <w:rPr>
          <w:rFonts w:ascii="Times New Roman" w:cs="Times New Roman" w:eastAsia="Times New Roman" w:hAnsi="Times New Roman"/>
          <w:sz w:val="18"/>
          <w:szCs w:val="18"/>
          <w:color w:val="212529"/>
        </w:rPr>
        <w:t>affect the interest income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our cash, cash equivalents and marketable debt securities, and the market value of those securities</w:t>
      </w:r>
      <w:r>
        <w:rPr>
          <w:rFonts w:ascii="Times New Roman" w:cs="Times New Roman" w:eastAsia="Times New Roman" w:hAnsi="Times New Roman"/>
          <w:sz w:val="18"/>
          <w:szCs w:val="18"/>
          <w:color w:val="000000"/>
        </w:rPr>
        <w:t>. To minimize this risk, we maintain our portfolio in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variety of debt securities with high liquidity and low credit risk. We do not enter into investments for trading or speculative purposes. A 10% change in interest rates will not have a material impact on our future interest income or investment fair value. The liquidity risk and the risk associated with fluctuating interest rates are limited to our investment portfolio.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as of July 31, 2022, our disclosure controls and procedures were effective at the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July 31, 2022 that have materially affected, or are reasonably likely to materially affect, the Company’s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engaged in any material legal proceedings at this time.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35"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162" w:lineRule="exact"/>
        <w:rPr>
          <w:sz w:val="20"/>
          <w:szCs w:val="20"/>
          <w:color w:val="auto"/>
        </w:rPr>
      </w:pPr>
    </w:p>
    <w:p>
      <w:pPr>
        <w:ind w:left="740" w:right="12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affect our business in a material way, including closure of our offices or the facilities of our suppliers or customers.</w:t>
      </w:r>
    </w:p>
    <w:p>
      <w:pPr>
        <w:spacing w:after="0" w:line="161"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161"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increase the manufacturing times for our products and adversely impact our ability to meet customer demand, reduce our gross margins and lead to reduced revenues.</w:t>
      </w:r>
    </w:p>
    <w:p>
      <w:pPr>
        <w:spacing w:after="0" w:line="161" w:lineRule="exact"/>
        <w:rPr>
          <w:rFonts w:ascii="Times New Roman" w:cs="Times New Roman" w:eastAsia="Times New Roman" w:hAnsi="Times New Roman"/>
          <w:sz w:val="18"/>
          <w:szCs w:val="18"/>
          <w:color w:val="auto"/>
        </w:rPr>
      </w:pPr>
    </w:p>
    <w:p>
      <w:pPr>
        <w:ind w:left="740" w:hanging="368"/>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possible trade tariffs and trade restrictions, may have an impact on our business and financial condition in ways that we currently cannot predict. Our primary inventory warehouse is located in Hong Kong and may be affected by political, social and economic conditions in Hong Kong.</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political and other risks conducting business in Taiwan, particularly due to its relationship with China.</w:t>
      </w:r>
    </w:p>
    <w:p>
      <w:pPr>
        <w:spacing w:after="0" w:line="225" w:lineRule="exact"/>
        <w:rPr>
          <w:rFonts w:ascii="Times New Roman" w:cs="Times New Roman" w:eastAsia="Times New Roman" w:hAnsi="Times New Roman"/>
          <w:sz w:val="18"/>
          <w:szCs w:val="18"/>
          <w:color w:val="auto"/>
        </w:rPr>
      </w:pPr>
    </w:p>
    <w:p>
      <w:pPr>
        <w:ind w:left="740" w:hanging="368"/>
        <w:spacing w:after="0" w:line="312"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9" w:lineRule="exact"/>
        <w:rPr>
          <w:rFonts w:ascii="Times New Roman" w:cs="Times New Roman" w:eastAsia="Times New Roman" w:hAnsi="Times New Roman"/>
          <w:sz w:val="17"/>
          <w:szCs w:val="17"/>
          <w:color w:val="auto"/>
        </w:rPr>
      </w:pPr>
    </w:p>
    <w:p>
      <w:pPr>
        <w:ind w:left="740" w:right="34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161" w:lineRule="exact"/>
        <w:rPr>
          <w:rFonts w:ascii="Times New Roman" w:cs="Times New Roman" w:eastAsia="Times New Roman" w:hAnsi="Times New Roman"/>
          <w:sz w:val="18"/>
          <w:szCs w:val="18"/>
          <w:color w:val="auto"/>
        </w:rPr>
      </w:pPr>
    </w:p>
    <w:p>
      <w:pPr>
        <w:ind w:left="740" w:right="12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161" w:lineRule="exact"/>
        <w:rPr>
          <w:rFonts w:ascii="Times New Roman" w:cs="Times New Roman" w:eastAsia="Times New Roman" w:hAnsi="Times New Roman"/>
          <w:sz w:val="18"/>
          <w:szCs w:val="18"/>
          <w:color w:val="auto"/>
        </w:rPr>
      </w:pPr>
    </w:p>
    <w:p>
      <w:pPr>
        <w:ind w:left="740" w:right="26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OEM ADAS market, our revenue and financial condition could be harmed.</w:t>
      </w:r>
    </w:p>
    <w:p>
      <w:pPr>
        <w:spacing w:after="0" w:line="225" w:lineRule="exact"/>
        <w:rPr>
          <w:rFonts w:ascii="Times New Roman" w:cs="Times New Roman" w:eastAsia="Times New Roman" w:hAnsi="Times New Roman"/>
          <w:sz w:val="18"/>
          <w:szCs w:val="18"/>
          <w:color w:val="auto"/>
        </w:rPr>
      </w:pPr>
    </w:p>
    <w:p>
      <w:pPr>
        <w:ind w:left="740" w:right="52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161" w:lineRule="exact"/>
        <w:rPr>
          <w:rFonts w:ascii="Times New Roman" w:cs="Times New Roman" w:eastAsia="Times New Roman" w:hAnsi="Times New Roman"/>
          <w:sz w:val="18"/>
          <w:szCs w:val="18"/>
          <w:color w:val="auto"/>
        </w:rPr>
      </w:pPr>
    </w:p>
    <w:p>
      <w:pPr>
        <w:ind w:left="740" w:right="32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to certain China customers has been restricted. In addition, we are subject to governmental export and import controls that could subject us to liability or impair our ability to compete in international markets, including China.</w:t>
      </w:r>
    </w:p>
    <w:p>
      <w:pPr>
        <w:spacing w:after="0" w:line="161" w:lineRule="exact"/>
        <w:rPr>
          <w:rFonts w:ascii="Times New Roman" w:cs="Times New Roman" w:eastAsia="Times New Roman" w:hAnsi="Times New Roman"/>
          <w:sz w:val="18"/>
          <w:szCs w:val="18"/>
          <w:color w:val="auto"/>
        </w:rPr>
      </w:pPr>
    </w:p>
    <w:p>
      <w:pPr>
        <w:ind w:left="740" w:right="12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61" w:lineRule="exact"/>
        <w:rPr>
          <w:rFonts w:ascii="Times New Roman" w:cs="Times New Roman" w:eastAsia="Times New Roman" w:hAnsi="Times New Roman"/>
          <w:sz w:val="18"/>
          <w:szCs w:val="18"/>
          <w:color w:val="auto"/>
        </w:rPr>
      </w:pPr>
    </w:p>
    <w:p>
      <w:pPr>
        <w:ind w:left="740" w:right="60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and/or excess, obsolete or insufficient inventory could result.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9" w:name="page30"/>
    <w:bookmarkEnd w:id="29"/>
    <w:p>
      <w:pPr>
        <w:ind w:left="368" w:right="520" w:hanging="368"/>
        <w:spacing w:after="0" w:line="282"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161"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our ability to successfully integrate and to realize anticipated synergies, on a timely basis or at all, in connection with the Oculii Corp. merger and other strategic transactions we may undertake.</w:t>
      </w:r>
    </w:p>
    <w:p>
      <w:pPr>
        <w:spacing w:after="0" w:line="161" w:lineRule="exact"/>
        <w:rPr>
          <w:rFonts w:ascii="Times New Roman" w:cs="Times New Roman" w:eastAsia="Times New Roman" w:hAnsi="Times New Roman"/>
          <w:sz w:val="18"/>
          <w:szCs w:val="18"/>
          <w:color w:val="auto"/>
        </w:rPr>
      </w:pPr>
    </w:p>
    <w:p>
      <w:pPr>
        <w:ind w:left="368" w:right="420" w:hanging="368"/>
        <w:spacing w:after="0" w:line="282"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225" w:lineRule="exact"/>
        <w:rPr>
          <w:rFonts w:ascii="Times New Roman" w:cs="Times New Roman" w:eastAsia="Times New Roman" w:hAnsi="Times New Roman"/>
          <w:sz w:val="18"/>
          <w:szCs w:val="18"/>
          <w:color w:val="auto"/>
        </w:rPr>
      </w:pPr>
    </w:p>
    <w:p>
      <w:pPr>
        <w:ind w:left="368" w:right="480" w:hanging="368"/>
        <w:spacing w:after="0" w:line="282"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161" w:lineRule="exact"/>
        <w:rPr>
          <w:rFonts w:ascii="Times New Roman" w:cs="Times New Roman" w:eastAsia="Times New Roman" w:hAnsi="Times New Roman"/>
          <w:sz w:val="18"/>
          <w:szCs w:val="18"/>
          <w:color w:val="auto"/>
        </w:rPr>
      </w:pPr>
    </w:p>
    <w:p>
      <w:pPr>
        <w:ind w:left="368" w:right="240" w:hanging="368"/>
        <w:spacing w:after="0" w:line="282"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161" w:lineRule="exact"/>
        <w:rPr>
          <w:rFonts w:ascii="Times New Roman" w:cs="Times New Roman" w:eastAsia="Times New Roman" w:hAnsi="Times New Roman"/>
          <w:sz w:val="18"/>
          <w:szCs w:val="18"/>
          <w:color w:val="auto"/>
        </w:rPr>
      </w:pPr>
    </w:p>
    <w:p>
      <w:pPr>
        <w:ind w:left="368" w:right="40" w:hanging="368"/>
        <w:spacing w:after="0" w:line="282"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61" w:lineRule="exact"/>
        <w:rPr>
          <w:rFonts w:ascii="Times New Roman" w:cs="Times New Roman" w:eastAsia="Times New Roman" w:hAnsi="Times New Roman"/>
          <w:sz w:val="18"/>
          <w:szCs w:val="18"/>
          <w:color w:val="auto"/>
        </w:rPr>
      </w:pPr>
    </w:p>
    <w:p>
      <w:pPr>
        <w:ind w:left="368" w:right="60" w:hanging="368"/>
        <w:spacing w:after="0" w:line="282"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video and image processing solutions in our target markets have historically decreased over time and will likely do so in the future, which could harm our revenue and gross margins.</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225" w:lineRule="exact"/>
        <w:rPr>
          <w:rFonts w:ascii="Times New Roman" w:cs="Times New Roman" w:eastAsia="Times New Roman" w:hAnsi="Times New Roman"/>
          <w:sz w:val="18"/>
          <w:szCs w:val="18"/>
          <w:color w:val="auto"/>
        </w:rPr>
      </w:pPr>
    </w:p>
    <w:p>
      <w:pPr>
        <w:ind w:left="368" w:right="640" w:hanging="368"/>
        <w:spacing w:after="0" w:line="282"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 We may have difficulty accurately predicting our future revenue and appropriately budgeting our expenses.</w:t>
      </w:r>
    </w:p>
    <w:p>
      <w:pPr>
        <w:spacing w:after="0" w:line="161" w:lineRule="exact"/>
        <w:rPr>
          <w:rFonts w:ascii="Times New Roman" w:cs="Times New Roman" w:eastAsia="Times New Roman" w:hAnsi="Times New Roman"/>
          <w:sz w:val="18"/>
          <w:szCs w:val="18"/>
          <w:color w:val="auto"/>
        </w:rPr>
      </w:pPr>
    </w:p>
    <w:p>
      <w:pPr>
        <w:ind w:left="368" w:right="60" w:hanging="368"/>
        <w:spacing w:after="0" w:line="266"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 which could adversely affect our business.</w:t>
      </w:r>
    </w:p>
    <w:p>
      <w:pPr>
        <w:spacing w:after="0" w:line="225" w:lineRule="exact"/>
        <w:rPr>
          <w:rFonts w:ascii="Times New Roman" w:cs="Times New Roman" w:eastAsia="Times New Roman" w:hAnsi="Times New Roman"/>
          <w:sz w:val="18"/>
          <w:szCs w:val="18"/>
          <w:color w:val="auto"/>
        </w:rPr>
      </w:pPr>
    </w:p>
    <w:p>
      <w:pPr>
        <w:ind w:left="368" w:right="20" w:hanging="368"/>
        <w:spacing w:after="0" w:line="282"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or our inability to collect from them, may cause disruptions in our shipments, which may adversely affect our operations and financial condition.</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225" w:lineRule="exact"/>
        <w:rPr>
          <w:rFonts w:ascii="Times New Roman" w:cs="Times New Roman" w:eastAsia="Times New Roman" w:hAnsi="Times New Roman"/>
          <w:sz w:val="18"/>
          <w:szCs w:val="18"/>
          <w:color w:val="auto"/>
        </w:rPr>
      </w:pPr>
    </w:p>
    <w:p>
      <w:pPr>
        <w:ind w:left="368" w:right="280" w:hanging="368"/>
        <w:spacing w:after="0" w:line="266"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patents or other intellectual property could affect our customers, which could trigger our indemnification obligations to them and result in substantial expense to us.</w:t>
      </w:r>
    </w:p>
    <w:p>
      <w:pPr>
        <w:spacing w:after="0" w:line="175"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200" w:lineRule="exact"/>
        <w:rPr>
          <w:sz w:val="20"/>
          <w:szCs w:val="20"/>
          <w:color w:val="auto"/>
        </w:rPr>
      </w:pPr>
    </w:p>
    <w:p>
      <w:pPr>
        <w:spacing w:after="0" w:line="394"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92" w:top="337" w:right="399" w:bottom="1440" w:gutter="0" w:footer="0" w:header="0"/>
        </w:sectPr>
      </w:pPr>
    </w:p>
    <w:bookmarkStart w:id="30" w:name="page31"/>
    <w:bookmarkEnd w:id="30"/>
    <w:p>
      <w:pPr>
        <w:ind w:left="368"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61" w:lineRule="exact"/>
        <w:rPr>
          <w:rFonts w:ascii="Times New Roman" w:cs="Times New Roman" w:eastAsia="Times New Roman" w:hAnsi="Times New Roman"/>
          <w:sz w:val="18"/>
          <w:szCs w:val="18"/>
          <w:color w:val="auto"/>
        </w:rPr>
      </w:pPr>
    </w:p>
    <w:p>
      <w:pPr>
        <w:ind w:left="368" w:right="66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regulatory compliance requirements, which are costly to comply with, and our failure to comply with these requirements could harm our business and operating results.</w:t>
      </w:r>
    </w:p>
    <w:p>
      <w:pPr>
        <w:spacing w:after="0" w:line="378"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8"/>
          </w:cols>
          <w:pgMar w:left="692" w:top="33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affect our business in a material way.</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global COVID-19 pandemic has significantly affected the populations and businesses of many countries. Our business has been, and is expected to continue to be, adversely impacted by the effects of the COVID-19 pandemic. In addition to global macroeconomic effects, the COVID-19 pandemic and related adverse public health developments have been causing, and are expected to continue to cause, disruption to our operations. We have had to impose remote or work from home conditions for varying periods of time in many of our offices, including the United States, China, Italy, Japan, South Korea and Taiwan. If such remote or work from home conditions continue for an extended period of time, we may experience delays in product development, a decreased ability to support our customers, reduced design win activity, and overall lack of productivity, which could harm our financial results. Approximately 360 of our employees are located in Taiwan and approximately 220 employees are located in China, and lengthy closures of these offices could significantly disrupt our software engineering and customer support operations. In addition, we and our suppliers, third-party distributors and customers have been, and are expected to continue to be, disrupted by quarantines and restrictions on certain employees’ ability to perform their jobs, office closures or restrictions, disruptions to shipping infrastructure, or other travel or health-related restrictions. In the first half of fiscal year 2023, we have experienced, and we expect to continue to experience, a significant disruption of orders by customers, as well as logistics throughout the Asia supply chain, as a result of the COVID-19 pandemic and measures taken to control spread of the virus. Depending on the continuing magnitude of such effects on the operations of our suppliers, third-party distributors and our supply chain, our product shipments could be delayed, which could materially adversely affect our business, results of operations and financial condition. Such continuing disruptions may also adversely affect our customers’ ability to manufacture their products, which in turn could reduce their demand for our products. In addition, decreased consumer demand from the impact of pandemic lockdowns in China has contributed to decreased revenue in consumer-related markets, including home IP security, automotive aftermarket and consumer markets.</w:t>
      </w:r>
    </w:p>
    <w:p>
      <w:pPr>
        <w:spacing w:after="0" w:line="8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There can be no assurance that any decrease in sales resulting from the COVID-19 pandemic will be offset by increased sales in subsequent periods.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These effects, alone or taken together, could have a material adverse effect on our business, results of operations, legal exposure, or financial condition. The extent of the COVID-19 pandemic’s effect on our operational and financial performance will depend on future developments, including the duration, spread and intensity of the pandemic, all of which are uncertain and difficult to predict. Due to the constantly evolving global conditions, we are not able at this time to estimate the long-term effect of these factors on our business, but the adverse impact on our business, results of operations, financial condition and cash flows could be material.</w:t>
      </w:r>
    </w:p>
    <w:p>
      <w:pPr>
        <w:spacing w:after="0" w:line="188" w:lineRule="exact"/>
        <w:rPr>
          <w:sz w:val="20"/>
          <w:szCs w:val="20"/>
          <w:color w:val="auto"/>
        </w:rPr>
      </w:pPr>
    </w:p>
    <w:p>
      <w:pPr>
        <w:ind w:right="1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Impacts of the global semiconductor supply shortage and high inflation could adversely affect our business, financial condition, and results of operations.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During the COVID-19 global pandemic, which is still ongoing,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has resulted in a lengthening of the manufacturing lead time for our products and impacting the normal forecasting and ordering patterns of our customers. While we are continuing to work closely with our suppliers and customers to minimize the potential adverse impacts of the supply shortage and longer lead times, we have experienced increased volatility in our business. Recently, some customers have indicated they are reducing their inventory levels as lead times for semiconductor chips and other components begin to shrink, which may reduce such customers’ demand for our products in future periods. The global supply shortages and uncertainty in customer demand and the worldwide economy in general may be exacerbated by the impacts of high inflation, and we may experience increased volatility in sales and revenues as a result. However, the magnitude of such volatility on our business and its duration is uncertain and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2" w:name="page33"/>
    <w:bookmarkEnd w:id="32"/>
    <w:p>
      <w:pPr>
        <w:ind w:right="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right="40" w:firstLine="510"/>
        <w:spacing w:after="0" w:line="269" w:lineRule="auto"/>
        <w:rPr>
          <w:sz w:val="20"/>
          <w:szCs w:val="20"/>
          <w:color w:val="auto"/>
        </w:rPr>
      </w:pPr>
      <w:r>
        <w:rPr>
          <w:rFonts w:ascii="Times New Roman" w:cs="Times New Roman" w:eastAsia="Times New Roman" w:hAnsi="Times New Roman"/>
          <w:sz w:val="17"/>
          <w:szCs w:val="17"/>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computer vision,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168" w:lineRule="exact"/>
        <w:rPr>
          <w:sz w:val="20"/>
          <w:szCs w:val="20"/>
          <w:color w:val="auto"/>
        </w:rPr>
      </w:pPr>
    </w:p>
    <w:p>
      <w:pPr>
        <w:ind w:right="80" w:firstLine="510"/>
        <w:spacing w:after="0" w:line="239"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our revenue and financial condition could be harmed.</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the Intelligence of Things, or IoT, camera markets with our new artificial intelligence, or AI, computer vision SoC solutions, and the OEM automotive, robotics and industrial markets.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We anticipate that as we continue to move into new markets, such as the OEM automotive, robotics and industrial markets, we will face competition from larger competitors with greater resources and more history in these markets. If we fail to penetrate these or other new markets we are targeting, our financial condition would likely suffer. Moreover, if we are successful in achieving design wins in these new markets, it will likely take longer to generate revenue from such design wins than in our current markets.</w:t>
      </w:r>
    </w:p>
    <w:p>
      <w:pPr>
        <w:spacing w:after="0" w:line="183"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The semiconductor industry is currently experiencing significant shortages of manufacturing capacity, which has resulted in a lengthening of the manufacturing lead time for our products. If this capacity shortage continues for an extensive period of time, it could negatively impact our ability to meet our customer’s demand for our products and have an adverse impact on our revenue, results of operations and customer relationships. In addition, silicon wafers constitute a material portion of our product cost. If we are unable to purchase wafers at favorable prices, our results of operations and financial condition will be adversely affected. It is also possible during this time of supply chain capacity shortage that customers may place orders for our products that exceed their actual demand, which may lead to us manufacturing a surplus of products and could have a negative impact on our results of operations and cash reserves.</w:t>
      </w:r>
    </w:p>
    <w:p>
      <w:pPr>
        <w:spacing w:after="0" w:line="188"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5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logistic partners. Hong Kong has experienced, and continues to experience, political unrest and social strife in addition to the impact of ongoing COVID-19 pandemic and measures to control spread of the virus. In response to national security legislation adopted by the Chinese government, the U.S. Secretary of State certified to the U.S. Congress in May 2020 that Hong Kong no longer maintains a sufficient degree of autonomy from China to warrant special treatment by the U.S. While such certification does not have an immediate impact on Hong Kong for trade or other purposes, this action represents an escalation in political and trade tensions involving the U.S, China and Hong Kong. In addition, the Bureau of Industry and Security, or BIS, has imposed additional restrictions on exports and reexports of U.S.-controlled items to Hong Kong by removing preferential treatment that Hong Kong used to receive and imposing more stringent licensing requirements similar to those applicable to China.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Further, Hong Kong has been impacted by the COVID-19 pandemic and office closures or other restrictions in light of the pandemic may harm our business or increase the cost of conducting our operations in Hong Kong.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9" w:lineRule="exact"/>
        <w:rPr>
          <w:sz w:val="20"/>
          <w:szCs w:val="20"/>
          <w:color w:val="auto"/>
        </w:rPr>
      </w:pPr>
    </w:p>
    <w:p>
      <w:pPr>
        <w:ind w:right="4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The COVID-19 pandemic has had a negative impact on the global economy and may decrease or delay development of new markets and new programs in emerging markets. If our key target markets, such as automotive cameras, IP security cameras and cameras for robotic applications, do not grow, grow slower, or do not develop in ways that we currently expect, demand for our computer vision, video and image processing SoCs may not materialize as expected, and our business and operating results could suffer.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4" w:name="page35"/>
    <w:bookmarkEnd w:id="34"/>
    <w:p>
      <w:pPr>
        <w:ind w:right="4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we have increased our inventory levels in the near term.</w:t>
      </w:r>
    </w:p>
    <w:p>
      <w:pPr>
        <w:spacing w:after="0" w:line="18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including reductions in market activity due to the COVID-19 pandemic, adverse changes in our product order mix and fluctuating demand for our customers’ products. Recently, some customers have indicated they are reducing their inventory levels, which may reduce such customers’ demand for our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 This risk may be exacerbated during the current period of supply chain constraints by customers placing orders with us that could exceed their actual demand for our solutions.</w:t>
      </w:r>
    </w:p>
    <w:p>
      <w:pPr>
        <w:spacing w:after="0" w:line="188"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2022, the customers representing 10% or more of our revenue were WT Microelectronics Co., Ltd., formerly Wintech Microelectronics Co., Ltd., or WT, our distributor, and Chicony Electronics Co., Ltd., or Chicony, a direct ODM customer, which accounted for approximately 62% and 13% of total revenue, respectively. For the six months ended July 31, 2022, the customers representing 10% or more of revenue were WT and Chicony, which accounted for approximately 58% and 12%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3" w:lineRule="exact"/>
        <w:rPr>
          <w:sz w:val="20"/>
          <w:szCs w:val="20"/>
          <w:color w:val="auto"/>
        </w:rPr>
      </w:pPr>
    </w:p>
    <w:p>
      <w:pPr>
        <w:ind w:right="1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are focused on selling our computer vision,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ind w:firstLine="510"/>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12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4"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520" w:right="80" w:hanging="500"/>
        <w:spacing w:after="0" w:line="282" w:lineRule="auto"/>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customers’, suppliers’ and employees’ confidential information. Accidental or willful security breaches or incidents or other unauthorized access by third parties to our facilities or our information systems or the existence of computer viruses in our data or software could expose us to a risk of loss, misappropriation and other unauthorized processing of proprietary and confidential information. The costs to us to eliminate or alleviate cyber or other security problems, bugs, viruses, ransomware and other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spacing w:after="0" w:line="19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increasingly difficult to successfully defend against or implement adequate preventive measures. Moreover, as a result of the COVID-19 pandemic, the need for remote work and remote access to our systems has increased significantly, which also increases our cybersecurity risk profile.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and attacks to their products, which could impact our systems. For example, in 2020, SolarWinds Corp., one of our third-party IT infrastructure software providers, was subject to a data security breach. Our investigation of the breach, which was supported by a third-party security expert, has not identified any adverse impact to our business or operations, but there can be no guarantee we will not experience such an impact. Data security breaches and incidents may also result from non-technical means, for example, actions by an employee. Any data security breach or incident or theft, misuse, loss or other unauthorized processing of this information, or the perception that any of these matters has occurred, could result in, among other things, damage to our reputation, allegations by our customers that we have not performed our contractual obligations, regulatory investigations and other proceedings, litigation by affected parties and possible financial obligations for liabilities and damages, any of which could have a material adverse effect on our business, financial condition, our reputation, and our relationships with our customers and partners. We may also encounter errors in corruption or loss of data, an inability to accurately process or record transactions, and security or technical reliability issues. All of these could harm our ability to conduct core operating functions such as processing purchase orders and invoices, product distribution, recording and reporting financial and management information on a timely and accurate basis, and could impact our internal control compliance efforts. Due to political uncertainty and military actions associated with the ongoing hostility between Russia and Ukraine, we and our vendors, contractors, and other third parties we work with are vulnerable to a heightened risk of cybersecurity attacks, phishing attacks, viruses, malware, ransomware, hacking or similar breaches and incidents from nation-state and affiliated actors, including attacks that could materially disrupt our supply chain and our systems and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incidents or other unauthorized access by third parties to the systems of our cloud-based service providers or the existence of computer viruses, ransomware or malicious code in their data or software could expose us to a risk of loss, misappropriation, unavailability and other unauthorized processing of information.</w:t>
      </w:r>
    </w:p>
    <w:p>
      <w:pPr>
        <w:spacing w:after="0" w:line="183" w:lineRule="exact"/>
        <w:rPr>
          <w:sz w:val="20"/>
          <w:szCs w:val="20"/>
          <w:color w:val="auto"/>
        </w:rPr>
      </w:pPr>
    </w:p>
    <w:p>
      <w:pPr>
        <w:ind w:right="280" w:firstLine="510"/>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4" w:lineRule="exact"/>
        <w:rPr>
          <w:sz w:val="20"/>
          <w:szCs w:val="20"/>
          <w:color w:val="auto"/>
        </w:rPr>
      </w:pPr>
    </w:p>
    <w:p>
      <w:pPr>
        <w:ind w:right="2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$167.3 million, $140.8 million and $129.7 million in fiscal years 2022, 2021 and 2020, respectively. For the six months ended July 31, 2022, our research and development expense was $99.0 million. We expect to increase our research and development expenditures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could seriously harm our business.</w:t>
      </w:r>
    </w:p>
    <w:p>
      <w:pPr>
        <w:spacing w:after="0" w:line="121"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video and image processing solutions in our target markets have typically decreased over time and will likely do so in the future, which could harm our revenue and gross margins.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w:t>
      </w:r>
    </w:p>
    <w:p>
      <w:pPr>
        <w:spacing w:after="0" w:line="5"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factors. We expect that we will have to address pricing pressures again in the future, particularly in markets experiencing consolidation, which could require us to reduce the prices of our SoC solutions and harm our operating results.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spacing w:after="0" w:line="72" w:lineRule="exact"/>
        <w:rPr>
          <w:sz w:val="20"/>
          <w:szCs w:val="20"/>
          <w:color w:val="auto"/>
        </w:rPr>
      </w:pPr>
    </w:p>
    <w:p>
      <w:pPr>
        <w:ind w:left="1520" w:right="80" w:hanging="500"/>
        <w:spacing w:after="0" w:line="282" w:lineRule="auto"/>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train and manage additional qualified engineers for our research and development activities, particularly for the positions of semiconductor design and systems, AI computer vision development and applications engineering;</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sales and business development personnel;</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administrative, financial and operational systems, procedures and controls;</w:t>
      </w:r>
    </w:p>
    <w:p>
      <w:pPr>
        <w:spacing w:after="0" w:line="117" w:lineRule="exact"/>
        <w:rPr>
          <w:rFonts w:ascii="Times New Roman" w:cs="Times New Roman" w:eastAsia="Times New Roman" w:hAnsi="Times New Roman"/>
          <w:sz w:val="18"/>
          <w:szCs w:val="18"/>
          <w:color w:val="auto"/>
        </w:rPr>
      </w:pPr>
    </w:p>
    <w:p>
      <w:pPr>
        <w:ind w:left="1520" w:right="200" w:hanging="500"/>
        <w:spacing w:after="0" w:line="282" w:lineRule="auto"/>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technology support for enterprise resource planning and design engineering by adapting and expanding our systems and tool capabilities, and properly training new hires as to their use;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able to secure sufficient manufacturing capacity.</w:t>
      </w:r>
    </w:p>
    <w:p>
      <w:pPr>
        <w:spacing w:after="0" w:line="22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collection of accounts receivable. For the six months ended July 31, 2022, the customers representing 10% or more of revenue were WT and Chicony, which accounted for approximately 58% and 12% of total revenue, respectively. As of July 31, 2022, accounts receivable with WT and Chicony were approximately $16.2 million and $10.5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121" w:lineRule="exact"/>
        <w:rPr>
          <w:sz w:val="20"/>
          <w:szCs w:val="20"/>
          <w:color w:val="auto"/>
        </w:rPr>
      </w:pPr>
    </w:p>
    <w:p>
      <w:pPr>
        <w:ind w:right="20" w:firstLine="510"/>
        <w:spacing w:after="0" w:line="269" w:lineRule="auto"/>
        <w:rPr>
          <w:sz w:val="20"/>
          <w:szCs w:val="20"/>
          <w:color w:val="auto"/>
        </w:rPr>
      </w:pPr>
      <w:r>
        <w:rPr>
          <w:rFonts w:ascii="Times New Roman" w:cs="Times New Roman" w:eastAsia="Times New Roman" w:hAnsi="Times New Roman"/>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These downturns have been characterized by diminished product demand, production overcapacity, high inventory levels and accelerated erosion of average selling prices. Any future downturns could harm our business and operating results. Recently, the semiconductor industry has experienced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 The semiconductor industry is currently experiencing significant shortages of capacity, which has resulted in a lengthening of the manufacturing lead time for our products. This capacity shortage could negatively impact our ability to meet our customers’ demand for our products and have an adverse impact on our revenue, results of operations and customer relationships. In addition, it is possible during this time of supply chain capacity shortage that customers may place orders for our products that exceed their actual demand, which may lead to us manufacturing a surplus of products, which could have a negative impact on our results or operations and cash reserves. Further, some customers have indicated their intent to reduce their inventory levels as capacity shortages improve, which may decrease such customers’ demand for our solutions in future periods.</w:t>
      </w:r>
    </w:p>
    <w:p>
      <w:pPr>
        <w:spacing w:after="0" w:line="175" w:lineRule="exact"/>
        <w:rPr>
          <w:sz w:val="20"/>
          <w:szCs w:val="20"/>
          <w:color w:val="auto"/>
        </w:rPr>
      </w:pPr>
    </w:p>
    <w:p>
      <w:pPr>
        <w:jc w:val="both"/>
        <w:ind w:right="18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4"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nodes,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9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88" w:lineRule="exact"/>
        <w:rPr>
          <w:sz w:val="20"/>
          <w:szCs w:val="20"/>
          <w:color w:val="auto"/>
        </w:rPr>
      </w:pPr>
    </w:p>
    <w:p>
      <w:pPr>
        <w:ind w:right="5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 in Ukraine;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520" w:right="800" w:hanging="500"/>
        <w:spacing w:after="0" w:line="282"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520" w:right="580" w:hanging="500"/>
        <w:spacing w:after="0" w:line="282"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520" w:right="100" w:hanging="500"/>
        <w:spacing w:after="0" w:line="282"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520" w:right="840" w:hanging="500"/>
        <w:spacing w:after="0" w:line="282"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1" w:name="page42"/>
    <w:bookmarkEnd w:id="41"/>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of Oculii Corp. involves a number of risks, including, among others, risks associated with our use of a significant portion of our cash, other financial risks, integration risks, and risks associated with the reactions of customers and suppliers.</w:t>
      </w:r>
    </w:p>
    <w:p>
      <w:pPr>
        <w:spacing w:after="0" w:line="159" w:lineRule="exact"/>
        <w:rPr>
          <w:sz w:val="20"/>
          <w:szCs w:val="20"/>
          <w:color w:val="auto"/>
        </w:rPr>
      </w:pPr>
    </w:p>
    <w:p>
      <w:pPr>
        <w:ind w:right="40" w:firstLine="510"/>
        <w:spacing w:after="0" w:line="312" w:lineRule="auto"/>
        <w:rPr>
          <w:sz w:val="20"/>
          <w:szCs w:val="20"/>
          <w:color w:val="auto"/>
        </w:rPr>
      </w:pPr>
      <w:r>
        <w:rPr>
          <w:rFonts w:ascii="Times New Roman" w:cs="Times New Roman" w:eastAsia="Times New Roman" w:hAnsi="Times New Roman"/>
          <w:sz w:val="17"/>
          <w:szCs w:val="17"/>
          <w:color w:val="auto"/>
        </w:rPr>
        <w:t>On November 5, 2021, we completed our acquisition of Oculii Corp. In connection with the transaction, Oculii became our wholly-owned subsidiary. The benefits we expect to realize from this acquisition will depend, in part, on our ability to integrate the businesses successfully and efficiently.</w:t>
      </w:r>
    </w:p>
    <w:p>
      <w:pPr>
        <w:spacing w:after="0" w:line="140" w:lineRule="exact"/>
        <w:rPr>
          <w:sz w:val="20"/>
          <w:szCs w:val="20"/>
          <w:color w:val="auto"/>
        </w:rPr>
      </w:pPr>
    </w:p>
    <w:p>
      <w:pPr>
        <w:ind w:firstLine="468"/>
        <w:spacing w:after="0" w:line="255" w:lineRule="auto"/>
        <w:rPr>
          <w:sz w:val="20"/>
          <w:szCs w:val="20"/>
          <w:color w:val="auto"/>
        </w:rPr>
      </w:pPr>
      <w:r>
        <w:rPr>
          <w:rFonts w:ascii="Times New Roman" w:cs="Times New Roman" w:eastAsia="Times New Roman" w:hAnsi="Times New Roman"/>
          <w:sz w:val="18"/>
          <w:szCs w:val="18"/>
          <w:color w:val="auto"/>
        </w:rPr>
        <w:t>We entered into the merger agreement with Oculii with the expectation that the merger will result in various benefits to us, including certain technology and operational efficiencies or synergies. To realize these anticipated benefits, the businesses and certain technologies of Ambarella and Oculii must be successfully integrated. Historically, Ambarella and Oculii have been independent companies, and they were operated as such until the completion of the merger. The integration may be complex and time consuming and may require substantial resources and effort. Our management may face significant challenges in consolidating the operations of Ambarella and Oculii, integrating the technologies, procedures, and policies, as well as addressing the different corporate cultures of the two companies and retaining key personnel. If the businesses or technology are not successfully integrated, the anticipated benefits of the merger may not be realized fully or at all or may take longer to realize than expected.</w:t>
      </w:r>
    </w:p>
    <w:p>
      <w:pPr>
        <w:spacing w:after="0" w:line="189" w:lineRule="exact"/>
        <w:rPr>
          <w:sz w:val="20"/>
          <w:szCs w:val="20"/>
          <w:color w:val="auto"/>
        </w:rPr>
      </w:pPr>
    </w:p>
    <w:p>
      <w:pPr>
        <w:ind w:right="40" w:firstLine="468"/>
        <w:spacing w:after="0" w:line="266" w:lineRule="auto"/>
        <w:rPr>
          <w:sz w:val="20"/>
          <w:szCs w:val="20"/>
          <w:color w:val="auto"/>
        </w:rPr>
      </w:pPr>
      <w:r>
        <w:rPr>
          <w:rFonts w:ascii="Times New Roman" w:cs="Times New Roman" w:eastAsia="Times New Roman" w:hAnsi="Times New Roman"/>
          <w:sz w:val="18"/>
          <w:szCs w:val="18"/>
          <w:color w:val="auto"/>
        </w:rPr>
        <w:t>Our existing or prospective customers, licensees, suppliers and/or partners may delay, defer or cease purchasing products or services from or providing products or services to us, delay or defer other decisions concerning us, or otherwise seek to change the terms on which they do business with us. Any of the above could harm us, and thus decrease the benefits we expect to receive from the merger.</w:t>
      </w:r>
    </w:p>
    <w:p>
      <w:pPr>
        <w:spacing w:after="0" w:line="176" w:lineRule="exact"/>
        <w:rPr>
          <w:sz w:val="20"/>
          <w:szCs w:val="20"/>
          <w:color w:val="auto"/>
        </w:rPr>
      </w:pPr>
    </w:p>
    <w:p>
      <w:pPr>
        <w:ind w:right="20" w:firstLine="468"/>
        <w:spacing w:after="0" w:line="256" w:lineRule="auto"/>
        <w:rPr>
          <w:sz w:val="20"/>
          <w:szCs w:val="20"/>
          <w:color w:val="auto"/>
        </w:rPr>
      </w:pPr>
      <w:r>
        <w:rPr>
          <w:rFonts w:ascii="Times New Roman" w:cs="Times New Roman" w:eastAsia="Times New Roman" w:hAnsi="Times New Roman"/>
          <w:sz w:val="18"/>
          <w:szCs w:val="18"/>
          <w:color w:val="auto"/>
        </w:rPr>
        <w:t>In addition, the acquisition may also result in significant charges or other liabilities, including taxes, that could adversely affect our results of operations, such as cash expenses and non-cash accounting charges incurred in connection with the acquisition and/or integration of the business and operations of Ambarella and Oculii. The amount and timing of these possible charges are not yet known. Further, our failure to identify or accurately assess the magnitude of certain liabilities we are assuming in the transaction could result in unexpected litigation or regulatory exposure, unfavorable accounting charges, unexpected increases in taxes due, a loss of anticipated tax benefits or other adverse effects on our business, results of operations, financial condition or cash flows.</w:t>
      </w:r>
    </w:p>
    <w:p>
      <w:pPr>
        <w:spacing w:after="0" w:line="183" w:lineRule="exact"/>
        <w:rPr>
          <w:sz w:val="20"/>
          <w:szCs w:val="20"/>
          <w:color w:val="auto"/>
        </w:rPr>
      </w:pPr>
    </w:p>
    <w:p>
      <w:pPr>
        <w:ind w:right="360" w:firstLine="46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Oculii acquisition or potential future acquisitions involve a number of risks, including, among others, those associated with our use of a significant portion of our cash and other financial risks.</w:t>
      </w:r>
    </w:p>
    <w:p>
      <w:pPr>
        <w:spacing w:after="0" w:line="159"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8"/>
          <w:szCs w:val="18"/>
          <w:color w:val="auto"/>
        </w:rPr>
        <w:t>We used a significant portion of our cash in connection with the acquisition of Oculii, which was completed on November 5, 2021. Our use of cash to fund the Oculii acquisition has reduced our liquidity and any future acquisitions may also reduce our liquidity or require the use of equity. Using cash to fund acquisitions may limit our flexibility in responding to other business opportunities and increase our vulnerability to adverse economic and industry conditions.</w:t>
      </w:r>
    </w:p>
    <w:p>
      <w:pPr>
        <w:spacing w:after="0" w:line="176" w:lineRule="exact"/>
        <w:rPr>
          <w:sz w:val="20"/>
          <w:szCs w:val="20"/>
          <w:color w:val="auto"/>
        </w:rPr>
      </w:pPr>
    </w:p>
    <w:p>
      <w:pPr>
        <w:ind w:right="80" w:firstLine="46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of Oculii and any acquisitions we may make in the future could disrupt our business, cause dilution to our shareholders, reduce our financial resources and harm our business.</w:t>
      </w:r>
    </w:p>
    <w:p>
      <w:pPr>
        <w:spacing w:after="0" w:line="159" w:lineRule="exact"/>
        <w:rPr>
          <w:sz w:val="20"/>
          <w:szCs w:val="20"/>
          <w:color w:val="auto"/>
        </w:rPr>
      </w:pPr>
    </w:p>
    <w:p>
      <w:pPr>
        <w:ind w:right="40" w:firstLine="468"/>
        <w:spacing w:after="0" w:line="254" w:lineRule="auto"/>
        <w:rPr>
          <w:sz w:val="20"/>
          <w:szCs w:val="20"/>
          <w:color w:val="auto"/>
        </w:rPr>
      </w:pPr>
      <w:r>
        <w:rPr>
          <w:rFonts w:ascii="Times New Roman" w:cs="Times New Roman" w:eastAsia="Times New Roman" w:hAnsi="Times New Roman"/>
          <w:sz w:val="18"/>
          <w:szCs w:val="18"/>
          <w:color w:val="auto"/>
        </w:rPr>
        <w:t>Prior to our acquisition of Oculii, we had not made any acquisitions since our acquisition of VisLab S.r.l. in June 2015. Our ability to make and successfully integrate acquisitions is largely unproven. The Oculii acquisition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229" w:lineRule="exact"/>
        <w:rPr>
          <w:sz w:val="20"/>
          <w:szCs w:val="20"/>
          <w:color w:val="auto"/>
        </w:rPr>
      </w:pPr>
    </w:p>
    <w:p>
      <w:pPr>
        <w:ind w:right="180" w:firstLine="468"/>
        <w:spacing w:after="0" w:line="258"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In particular, our business has in the past tended to be seasonal with higher revenue in our third quarter as our customers typically increase their production to meet holiday shopping season or year-end demand for their products. As a result, you should not rely on period-to-period comparisons of our operating results as an indication of our future performance. It is also possible that our normal seasonal patterns will be impacted by ongoing effects of the COVID-19 pandemic, recent supply chain disruptions and semiconductor capacity shortages, and higher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520" w:right="20" w:hanging="500"/>
        <w:spacing w:after="0" w:line="282" w:lineRule="auto"/>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520" w:right="220" w:hanging="500"/>
        <w:spacing w:after="0" w:line="282" w:lineRule="auto"/>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520" w:hanging="500"/>
        <w:spacing w:after="0" w:line="282" w:lineRule="auto"/>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is currently experiencing significant shortages of capacity, which has resulted in a lengthening of the manufacturing lead time for our products and could be impacting the normal forecasting and ordering patterns of our customers. Recently, some customers have indicated their intent to reduce their inventory levels as capacity shortages improve, which may decrease such customers’ demand for our solutions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2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IP security and home security and monitoring camera markets, and successfully penetrate new markets, such as the OEM automotive, robotics and industrial markets, with our new AI computer vision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accurately predicting our future revenue and appropriately budgeting our expenses.</w:t>
      </w:r>
    </w:p>
    <w:p>
      <w:pPr>
        <w:spacing w:after="0" w:line="22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w:t>
      </w:r>
    </w:p>
    <w:p>
      <w:pPr>
        <w:spacing w:after="0" w:line="2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9" w:lineRule="exact"/>
        <w:rPr>
          <w:sz w:val="20"/>
          <w:szCs w:val="20"/>
          <w:color w:val="auto"/>
        </w:rPr>
      </w:pPr>
    </w:p>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88%, 88% and 90% of our total revenue in fiscal years 2022, 2021 and 2020, respectively. For the six months ended July 31, 2022, sales to customers in Asia accounted for approximately 83%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7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2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5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which could materially and adversely affect our financial results.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2022, we had approximately $100.0 million in debt security investments. These investments consisted primarily of money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and debt securities of corporations. We currently do not use derivative financial instruments to adjust our investment portfolio risk or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profile. These investments, as well as any cash deposited in bank accounts, are subject to general credit, liquidity, market and interest rate risks, which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exacerbated by unusual events, such as the COVID-19 pandemic, the Eurozone crisis and the U.S. debt ceiling crisis, which affected various sectors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markets and led to global credit and liquidity issues. If the global credit market continues to experience volatility or deteriorates,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portfolio may be impacted and some or all of our investments may experience credit-related loss which could adversely impact our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and position. To the extent that we increase the amount of our security investments in the future, these risks would be exacerbated.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3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firstLine="510"/>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80" w:lineRule="exact"/>
        <w:rPr>
          <w:sz w:val="20"/>
          <w:szCs w:val="20"/>
          <w:color w:val="auto"/>
        </w:rPr>
      </w:pPr>
    </w:p>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The semiconductor industry is currently experiencing shortages of certain devices, including microcontrollers, PMICs, Wi-Fi chips, which has impacted, and may continue to impact, our customers’ ability to build their products and negatively impact our customers’ demand for our solutions. We believe these shortages have been exacerbated by the COVID-19 pandemic.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88" w:lineRule="exact"/>
        <w:rPr>
          <w:sz w:val="20"/>
          <w:szCs w:val="20"/>
          <w:color w:val="auto"/>
        </w:rPr>
      </w:pPr>
    </w:p>
    <w:p>
      <w:pPr>
        <w:ind w:firstLine="51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2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Availability of capacity within our supply chain has tightened recently, which could limit the volume of products we can produce and negatively impact our business and operations.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79"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6" w:name="page47"/>
    <w:bookmarkEnd w:id="46"/>
    <w:p>
      <w:pPr>
        <w:ind w:right="5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in Asia, other than Japan. Approximately 62%, 63% and 60% of our revenue was derived from sales through WT for the fiscal years ended January 31, 2022, 2021 and 2020, respectively, and approximately 58% of our revenue was derived from sales through WT for the six months ended July 31, 2022. We anticipate that a significant portion of our revenue will continue to be derived from sales through WT in the foreseeable future. In November 2019, WPG Holdings Co., or WPG, a Taiwan distributor, announced an unsolicited bid to acquire up to 30% of WT. In January 2020, WPG acquired approximately 17% of WT, but indicated it intended to remain a passive investor in WT. An acquisition of WT by WPG could have an adverse impact on our relationship with WT. Our current agreement with WT is effective until September 2023,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121" w:lineRule="exact"/>
        <w:rPr>
          <w:sz w:val="20"/>
          <w:szCs w:val="20"/>
          <w:color w:val="auto"/>
        </w:rPr>
      </w:pPr>
    </w:p>
    <w:p>
      <w:pPr>
        <w:ind w:right="220" w:firstLine="510"/>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7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the extent that these data are inaccurate or not received in a timely manner, we may not be able to make reserve estimates for future periods accurately or at all.</w:t>
      </w:r>
    </w:p>
    <w:p>
      <w:pPr>
        <w:spacing w:after="0" w:line="184" w:lineRule="exact"/>
        <w:rPr>
          <w:sz w:val="20"/>
          <w:szCs w:val="20"/>
          <w:color w:val="auto"/>
        </w:rPr>
      </w:pPr>
    </w:p>
    <w:p>
      <w:pPr>
        <w:ind w:right="8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51"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The semiconductor industry is currently experiencing shortages of certain devices, which has impacted, and may continue to impact, our customers’ ability to build their products and negatively impact our customers’ demand for our solutions.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7" w:name="page48"/>
    <w:bookmarkEnd w:id="4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80" w:lineRule="exact"/>
        <w:rPr>
          <w:sz w:val="20"/>
          <w:szCs w:val="20"/>
          <w:color w:val="auto"/>
        </w:rPr>
      </w:pPr>
    </w:p>
    <w:p>
      <w:pPr>
        <w:ind w:firstLine="510"/>
        <w:spacing w:after="0" w:line="274" w:lineRule="auto"/>
        <w:rPr>
          <w:sz w:val="20"/>
          <w:szCs w:val="20"/>
          <w:color w:val="auto"/>
        </w:rPr>
      </w:pPr>
      <w:r>
        <w:rPr>
          <w:rFonts w:ascii="Times New Roman" w:cs="Times New Roman" w:eastAsia="Times New Roman" w:hAnsi="Times New Roman"/>
          <w:sz w:val="17"/>
          <w:szCs w:val="17"/>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spacing w:after="0" w:line="169" w:lineRule="exact"/>
        <w:rPr>
          <w:sz w:val="20"/>
          <w:szCs w:val="20"/>
          <w:color w:val="auto"/>
        </w:rPr>
      </w:pPr>
    </w:p>
    <w:p>
      <w:pPr>
        <w:ind w:right="3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ind w:right="1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In October 2019, our security camera customers Hangzhou Hikvision Digital Technology Co., Ltd, or Hikvision, and Zhejiang Dahua Technology Co., Ltd., or Dahua, were added to the Entity List of the Bureau of Industry and Security, or BIS, of the U.S. Department of Commerce, or Commerce, which imposes limitations on the supply of certain U.S. items to the listed entities. In December 2020, certain affiliated entities of our customer Shenzhen Dajiang Baiwang Technology Co., Ltd., or Dajiang Baiwang, were added to the Entity List. While the addition of such customers to the Entity List negatively impacts our ability to ship items subject to BIS regulations to these listed entities, we have determined that we are able to ship some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Dahua and Dajiang Baiwang,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93"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15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Beyond the BIS actions relating to Hikvision, Dahua and affiliates of Dajiang Baiwang, general trade tensions between the United States and China have been escalating, which has, in our view, created and will perpetuate an uncertain business environment.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negatively impacts Hikvision and Dahua’s ability to sell products into the U.S. security camera market and could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 Inflation or other deteriorations in global economic conditions may impact our operating expenses and third parties may demand pricing accommodations, which could harm our ability to meet customer demands or collect revenue or otherwise could harm our business and financial results.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Resulting changes in U.S. trade policy could trigger retaliatory actions by Russia, its allies and other affected countries, including China, resulting in a trade war.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spacing w:after="0" w:line="189" w:lineRule="exact"/>
        <w:rPr>
          <w:sz w:val="20"/>
          <w:szCs w:val="20"/>
          <w:color w:val="auto"/>
        </w:rPr>
      </w:pPr>
    </w:p>
    <w:p>
      <w:pPr>
        <w:ind w:right="160" w:firstLine="510"/>
        <w:spacing w:after="0" w:line="274" w:lineRule="auto"/>
        <w:rPr>
          <w:sz w:val="20"/>
          <w:szCs w:val="20"/>
          <w:color w:val="auto"/>
        </w:rPr>
      </w:pPr>
      <w:r>
        <w:rPr>
          <w:rFonts w:ascii="Times New Roman" w:cs="Times New Roman" w:eastAsia="Times New Roman" w:hAnsi="Times New Roman"/>
          <w:sz w:val="17"/>
          <w:szCs w:val="17"/>
          <w:color w:val="auto"/>
        </w:rPr>
        <w:t>We have significant business operations in Taiwan, including approximately 360 employees,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69" w:lineRule="exact"/>
        <w:rPr>
          <w:sz w:val="20"/>
          <w:szCs w:val="20"/>
          <w:color w:val="auto"/>
        </w:rPr>
      </w:pPr>
    </w:p>
    <w:p>
      <w:pPr>
        <w:ind w:right="340" w:firstLine="58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51" w:lineRule="exact"/>
        <w:rPr>
          <w:sz w:val="20"/>
          <w:szCs w:val="20"/>
          <w:color w:val="auto"/>
        </w:rPr>
      </w:pPr>
    </w:p>
    <w:p>
      <w:pPr>
        <w:ind w:right="140" w:firstLine="584"/>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data protection and cybersecurity.</w:t>
      </w:r>
    </w:p>
    <w:p>
      <w:pPr>
        <w:spacing w:after="0" w:line="229"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legislative and regulatory framework for privacy, data protection and cybersecurity issues worldwide is rapidly evolving and is likely to remain uncertain for the foreseeable future. We collect and otherwise process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China,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or GDPR, that imposed more stringent data protection requirements and provided for greater penalties for noncompliance. The United Kingdom has adopted legislation that substantially implements the GDPR and provides for a similar penalty structure. Similarly, California has adopted the California Consumer Privacy Act of 2018, or CCPA, which took effect in 2020. California has adopted a new law, the California Privacy Rights Act of 2020, or CPRA, that will substantially expand the CCPA effective January 1, 2023. The CCPA gives California residents the right to access, delete and opt out of certain sharing of their information, and imposes penalties for failure to comply. In 2021, the National People’s Congress passed the Data Security Law of the People’s Republic of China (Data Security Law). The Data Security Law is the first comprehensive data security legislation in China and aims to regulate a wide range of issues in relation to the collection, storage, processing, use, provision, transaction and publication of any kind of data. There is significant uncertainty in how regulators will interpret and enforce the law, but it contains provisions that allow substantial government oversight and include fines for failure to obtain required approval from China’s cyber and data protection regulators for cross-border personal information-related data transfers. Aspects of these laws remain unclear, resulting in further uncertainty and potentially requiring us to modify our data practices and policies and to incur substantial additional costs and expenses in an effort to comply. Because the interpretation and application of many laws and regulations relating to privacy, data protection, and data security, along with industry standards, are uncertain, it is possible that these laws and regulations may be interpreted and applied in a manner that is inconsistent with our data management practices or the features of our products or solutions, and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and data protection concerns, or to comply with applicable laws, regulations, policies, industry standards, contractual obligations or other legal obligations, even if unfounded, could result in additional cost and liability to us, inhibit sales, damage our reputation and adversely affect our business.</w:t>
      </w:r>
    </w:p>
    <w:p>
      <w:pPr>
        <w:spacing w:after="0" w:line="201" w:lineRule="exact"/>
        <w:rPr>
          <w:sz w:val="20"/>
          <w:szCs w:val="20"/>
          <w:color w:val="auto"/>
        </w:rPr>
      </w:pPr>
    </w:p>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88" w:lineRule="exact"/>
        <w:rPr>
          <w:sz w:val="20"/>
          <w:szCs w:val="20"/>
          <w:color w:val="auto"/>
        </w:rPr>
      </w:pPr>
    </w:p>
    <w:p>
      <w:pPr>
        <w:ind w:right="6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76" w:lineRule="exact"/>
        <w:rPr>
          <w:sz w:val="20"/>
          <w:szCs w:val="20"/>
          <w:color w:val="auto"/>
        </w:rPr>
      </w:pPr>
    </w:p>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90" w:lineRule="exact"/>
        <w:rPr>
          <w:sz w:val="20"/>
          <w:szCs w:val="20"/>
          <w:color w:val="auto"/>
        </w:rPr>
      </w:pPr>
    </w:p>
    <w:p>
      <w:pPr>
        <w:ind w:right="3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tax returns could adversely affect our results.</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w:t>
      </w:r>
    </w:p>
    <w:p>
      <w:pPr>
        <w:spacing w:after="0" w:line="183"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 In addition, many jurisdictions and the Organization for Economic Co-operation and Development, or OECD, which represents a coalition of member countries, have announced support for a global 15% minimum tax. We may be subject to these and additional taxes, which could adversely impact our effective tax rate and operating results.</w:t>
      </w:r>
    </w:p>
    <w:p>
      <w:pPr>
        <w:spacing w:after="0" w:line="84" w:lineRule="exact"/>
        <w:rPr>
          <w:sz w:val="20"/>
          <w:szCs w:val="20"/>
          <w:color w:val="auto"/>
        </w:rPr>
      </w:pPr>
    </w:p>
    <w:p>
      <w:pPr>
        <w:ind w:right="220" w:firstLine="510"/>
        <w:spacing w:after="0" w:line="289" w:lineRule="auto"/>
        <w:rPr>
          <w:sz w:val="20"/>
          <w:szCs w:val="20"/>
          <w:color w:val="auto"/>
        </w:rPr>
      </w:pPr>
      <w:r>
        <w:rPr>
          <w:rFonts w:ascii="Times New Roman" w:cs="Times New Roman" w:eastAsia="Times New Roman" w:hAnsi="Times New Roman"/>
          <w:sz w:val="17"/>
          <w:szCs w:val="17"/>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2" w:name="page53"/>
    <w:bookmarkEnd w:id="52"/>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51"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OECD released its final reports from the BEPS Action Plans. The final reports include recommendations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In December 2018, the Cayman Islands passed the International Tax Co-Operation (Economic Substance) Law, 2018, which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5"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passive foreign investment company, or PFIC, for U.S. federal income tax purposes for our 2022 fiscal year or the foreseeable future. However, a separate determination must be made at the close of each taxable year as to whether we are a PFIC for that taxable year, and we cannot assure you that we will not be a PFIC for our 2023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3" w:lineRule="exact"/>
        <w:rPr>
          <w:sz w:val="20"/>
          <w:szCs w:val="20"/>
          <w:color w:val="auto"/>
        </w:rPr>
      </w:pPr>
    </w:p>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51"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ind w:firstLine="510"/>
        <w:spacing w:after="0" w:line="258" w:lineRule="auto"/>
        <w:rPr>
          <w:sz w:val="20"/>
          <w:szCs w:val="20"/>
          <w:color w:val="auto"/>
        </w:rPr>
      </w:pPr>
      <w:r>
        <w:rPr>
          <w:rFonts w:ascii="Times New Roman" w:cs="Times New Roman" w:eastAsia="Times New Roman" w:hAnsi="Times New Roman"/>
          <w:sz w:val="18"/>
          <w:szCs w:val="18"/>
          <w:color w:val="auto"/>
        </w:rPr>
        <w:t>Prior to the Tax Act, we did not believe that we, or any of our non-U.S. subsidiaries, were considered a CFC, which is a determination made daily based on whether the 10% U.S. shareholders together own, or are considered to own under the attribution rules, more than fifty percent of the voting power or value of a non-U.S. corporation. Under the Tax Act, however, certain of the Company’s foreign subsidiaries may be classified as CFCs with respect to any single 10% U.S. shareholder, even without regard to whether 10% U.S. shareholders together own, directly or indirectly, more than fifty percent of the voting power or value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5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line="282"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53" w:lineRule="exact"/>
        <w:rPr>
          <w:rFonts w:ascii="Times New Roman" w:cs="Times New Roman" w:eastAsia="Times New Roman" w:hAnsi="Times New Roman"/>
          <w:sz w:val="18"/>
          <w:szCs w:val="18"/>
          <w:color w:val="auto"/>
        </w:rPr>
      </w:pPr>
    </w:p>
    <w:p>
      <w:pPr>
        <w:ind w:left="1520" w:right="120" w:hanging="500"/>
        <w:spacing w:after="0" w:line="282"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4" w:name="page55"/>
    <w:bookmarkEnd w:id="54"/>
    <w:p>
      <w:pPr>
        <w:ind w:left="520"/>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1" w:lineRule="exact"/>
        <w:rPr>
          <w:sz w:val="20"/>
          <w:szCs w:val="20"/>
          <w:color w:val="auto"/>
        </w:rPr>
      </w:pPr>
    </w:p>
    <w:p>
      <w:pPr>
        <w:ind w:right="2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121"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Since our initial public offering in October 2012, the market price of our ordinary shares has been highly volatile. The market price of our stock has been particularly volatile since the onset of the COVID-19 pandemic. For example, since February 1, 2020, the trading price of our common stock ranged from a low of $36.02 to a high of $ 227.59. The trading price of our ordinary shares is likely to remain volatile and could be subject to wide fluctuations in price in response to various factors, some of which are beyond our control. These factors include:</w:t>
      </w:r>
    </w:p>
    <w:p>
      <w:pPr>
        <w:spacing w:after="0" w:line="72" w:lineRule="exact"/>
        <w:rPr>
          <w:sz w:val="20"/>
          <w:szCs w:val="20"/>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caused by pandemics, and slow or negative growth of related markets;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520" w:right="30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not meet or exceed our guidance and investor expectations, which would likely cause our stock price to decline.</w:t>
      </w:r>
    </w:p>
    <w:p>
      <w:pPr>
        <w:spacing w:after="0" w:line="15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89"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 Similarly, if our guidance does not meet or exceed expectations or investors or securities analysts, the trading price of our ordinary shares is likely to decline.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ordinary shares could decrease as a result of shares being sold in the market.</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83" w:lineRule="exact"/>
        <w:rPr>
          <w:sz w:val="20"/>
          <w:szCs w:val="20"/>
          <w:color w:val="auto"/>
        </w:rPr>
      </w:pPr>
    </w:p>
    <w:p>
      <w:pPr>
        <w:ind w:right="3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5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51"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520" w:right="24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520" w:right="10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520" w:right="12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jc w:val="both"/>
        <w:ind w:left="1520" w:right="40" w:hanging="500"/>
        <w:spacing w:after="0" w:line="312" w:lineRule="auto"/>
        <w:tabs>
          <w:tab w:leader="none" w:pos="15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31" w:lineRule="exact"/>
        <w:rPr>
          <w:rFonts w:ascii="Times New Roman" w:cs="Times New Roman" w:eastAsia="Times New Roman" w:hAnsi="Times New Roman"/>
          <w:sz w:val="17"/>
          <w:szCs w:val="17"/>
          <w:color w:val="auto"/>
        </w:rPr>
      </w:pPr>
    </w:p>
    <w:p>
      <w:pPr>
        <w:ind w:left="1520" w:right="12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520" w:right="30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regional health issues and pandemics, earthquakes, fires, severe storms, floods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and Italy. If the remote or work from home conditions continue for an extended period of time, or similar restrictions and measures are implemented in more of the locations where we have offices,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83"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5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88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0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3.1(1)</w:t>
            </w:r>
          </w:p>
        </w:tc>
        <w:tc>
          <w:tcPr>
            <w:tcW w:w="94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Amended and Restated Memorandum of Association and Second Amended and Restated Articles of Association of the Registrant.</w:t>
              </w:r>
            </w:hyperlink>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Required Under Rule 13a-14(a) and 15d-14(a) of the Securities Exchange Act of 1934, as</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8920" w:type="dxa"/>
            <w:vAlign w:val="bottom"/>
            <w:tcBorders>
              <w:top w:val="single" w:sz="8" w:color="0000EE"/>
            </w:tcBorders>
            <w:gridSpan w:val="6"/>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9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Required Under Rule 13a-14(a) and 15d-14(a) of the Securities Exchange Act of 1934, as</w:t>
            </w:r>
          </w:p>
        </w:tc>
        <w:tc>
          <w:tcPr>
            <w:tcW w:w="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9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32.1±</w:t>
            </w:r>
          </w:p>
        </w:tc>
        <w:tc>
          <w:tcPr>
            <w:tcW w:w="620" w:type="dxa"/>
            <w:vAlign w:val="bottom"/>
          </w:tcPr>
          <w:p>
            <w:pPr>
              <w:spacing w:after="0"/>
              <w:rPr>
                <w:sz w:val="24"/>
                <w:szCs w:val="24"/>
                <w:color w:val="auto"/>
              </w:rPr>
            </w:pPr>
          </w:p>
        </w:tc>
        <w:tc>
          <w:tcPr>
            <w:tcW w:w="10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Required Under Rule 13a-14(b) of the Securities Exchange Act</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of 1934, as amended, and 18 U.S.C. §1350.</w:t>
            </w:r>
          </w:p>
        </w:tc>
        <w:tc>
          <w:tcPr>
            <w:tcW w:w="68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360" w:hanging="1132"/>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July 31, 2022,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8312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96" w:lineRule="exact"/>
        <w:rPr>
          <w:sz w:val="20"/>
          <w:szCs w:val="20"/>
          <w:color w:val="auto"/>
        </w:rPr>
      </w:pPr>
    </w:p>
    <w:p>
      <w:pPr>
        <w:ind w:left="500" w:right="200" w:hanging="492"/>
        <w:spacing w:after="0" w:line="261"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 Securities and Exchange Commission on September 12, 2012.</w:t>
      </w:r>
    </w:p>
    <w:p>
      <w:pPr>
        <w:ind w:left="500" w:hanging="492"/>
        <w:spacing w:after="0" w:line="253"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59" w:name="page60"/>
    <w:bookmarkEnd w:id="59"/>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29" w:lineRule="exact"/>
        <w:rPr>
          <w:sz w:val="20"/>
          <w:szCs w:val="20"/>
          <w:color w:val="auto"/>
        </w:rPr>
      </w:pPr>
    </w:p>
    <w:p>
      <w:pPr>
        <w:spacing w:after="0"/>
        <w:tabs>
          <w:tab w:leader="none" w:pos="5760" w:val="left"/>
          <w:tab w:leader="none" w:pos="8000" w:val="left"/>
        </w:tabs>
        <w:rPr>
          <w:sz w:val="20"/>
          <w:szCs w:val="20"/>
          <w:color w:val="auto"/>
        </w:rPr>
      </w:pPr>
      <w:r>
        <w:rPr>
          <w:rFonts w:ascii="Times New Roman" w:cs="Times New Roman" w:eastAsia="Times New Roman" w:hAnsi="Times New Roman"/>
          <w:sz w:val="18"/>
          <w:szCs w:val="18"/>
          <w:color w:val="auto"/>
        </w:rPr>
        <w:t>Date: September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Feng-Ming Wang</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2" w:lineRule="exact"/>
        <w:rPr>
          <w:sz w:val="20"/>
          <w:szCs w:val="20"/>
          <w:color w:val="auto"/>
        </w:rPr>
      </w:pPr>
    </w:p>
    <w:p>
      <w:pPr>
        <w:spacing w:after="0"/>
        <w:tabs>
          <w:tab w:leader="none" w:pos="5760" w:val="left"/>
          <w:tab w:leader="none" w:pos="8080" w:val="left"/>
        </w:tabs>
        <w:rPr>
          <w:sz w:val="20"/>
          <w:szCs w:val="20"/>
          <w:color w:val="auto"/>
        </w:rPr>
      </w:pPr>
      <w:r>
        <w:rPr>
          <w:rFonts w:ascii="Times New Roman" w:cs="Times New Roman" w:eastAsia="Times New Roman" w:hAnsi="Times New Roman"/>
          <w:sz w:val="18"/>
          <w:szCs w:val="18"/>
          <w:color w:val="auto"/>
        </w:rPr>
        <w:t>Date: September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Brian C. White</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00"/>
          </w:cols>
          <w:pgMar w:left="320" w:top="117" w:right="77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pacing w:after="0" w:line="23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C. White,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5715</wp:posOffset>
            </wp:positionV>
            <wp:extent cx="2837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Brian C. White</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July 31, 2022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pacing w:after="0" w:line="27"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I, Brian C. White, certify, pursuant to 18 U.S.C. Section 1350, as adopted pursuant to Section 906 of the Sarbanes-Oxley Act of 2002, that the Quarterly Report of Ambarella, Inc. on Form 10-Q for the fiscal quarter ended July 31, 2022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pacing w:after="0" w:line="27"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 White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C. White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79" Type="http://schemas.openxmlformats.org/officeDocument/2006/relationships/hyperlink" Target="http://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2022-09-08T12:50:23Z</dcterms:created>
  <dcterms:modified xsi:type="dcterms:W3CDTF">2022-09-08T12:50:23Z</dcterms:modified>
</cp:coreProperties>
</file>