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30, 2024</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001-35667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98-0459628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(I. R. 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3101 Jay Street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734-8888</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$0.00045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AMBA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30, 2024, Ambarella, Inc. issued a press release announcing its financial results for the first quarter of fiscal year 2025 ended April 30, 2024. A copy of the press release is attached as Exhibit 99.1 to this current report on Form 8-K and is incorporated by reference herein.</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regardless of any general incorporation language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30, 2024</w:t>
      </w:r>
    </w:p>
    <w:p>
      <w:pPr>
        <w:spacing w:after="0" w:line="117" w:lineRule="exact"/>
        <w:rPr>
          <w:sz w:val="20"/>
          <w:szCs w:val="20"/>
          <w:color w:val="auto"/>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30, 2024</w:t>
      </w:r>
      <w:r>
        <w:rPr>
          <w:sz w:val="20"/>
          <w:szCs w:val="20"/>
          <w:color w:val="auto"/>
        </w:rPr>
        <w:tab/>
      </w: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440" w:top="293"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 Announces First Quarter Fiscal Year 2025 Financial Results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May 30, 2024 —Santa Clara, Calif. – Ambarella, Inc. (NASDAQ: AMBA), an edge AI semiconductor company, today announced financial results for its first quarter of fiscal year 2025 ended April 30, 2024.</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first quarter of fiscal 2025 was $54.5 million, down 12% from $62.1 million in the same period in fiscal 2024.</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under U.S. generally accepted accounting principles (GAAP) for the first quarter of fiscal 2025 was 60.9%, compared with 60.4% for the same period in fiscal 2024.</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for the first quarter of fiscal 2025 was $37.9 million, or loss per diluted ordinary share of $0.93, compared with GAAP net loss of $35.9 million, or loss per diluted ordinary share of $0.91, for the same period in fiscal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on a non-GAAP basis for the first quarter of fiscal 2025 are as follows:</w:t>
      </w:r>
    </w:p>
    <w:p>
      <w:pPr>
        <w:spacing w:after="0" w:line="131" w:lineRule="exact"/>
        <w:rPr>
          <w:sz w:val="20"/>
          <w:szCs w:val="20"/>
          <w:color w:val="auto"/>
        </w:rPr>
      </w:pPr>
    </w:p>
    <w:p>
      <w:pPr>
        <w:ind w:left="960" w:right="4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on a non-GAAP basis for the first quarter of fiscal 2025 was 63.4%, compared with 63.1% for the same period in fiscal 2024.</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for the first quarter of fiscal 2025 was $10.5 million, or loss per diluted ordinary share of $0.26. This compares with non-GAAP net loss of $6.0 million, or loss per diluted ordinary share of $0.15, for the same period in fiscal 2024.</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information available as of today, Ambarella is offering the following guidance for the second quarter of fiscal year 2025, ending July 31, 2024:</w:t>
      </w:r>
    </w:p>
    <w:p>
      <w:pPr>
        <w:spacing w:after="0" w:line="67"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expected to be between $60.0 million and $64.0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on a non-GAAP basis is expected to be between 62.5% and 64.0%.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on a non-GAAP basis are expected to be between $47.5 million and $49.5 million.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Ambarella reports gross margin, net income (loss) and earnings (losses) per share in accordance with GAAP and, additionally, on a non-GAAP basis. Non-GAAP financial information excludes the impact of stock-based compensation and acquisition-related costs adjusted for the associated tax impact, which includes the effect of any benefits or shortfalls recognized. A reconciliation of the GAAP to non-GAAP gross margin, net income (loss) and earnings (losses) per share for the periods presented, as well as a description of the items excluded from the non-GAAP calculations, is included in the financial statements portion of this press release.</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cash, cash equivalents and marketable debt securities on hand at the end of the first quarter of fiscal 2025 was $203.3 million, compared with $219.9 million at the end of the prior quarter and $227.4 million at the end of the same quarter a year ago.</w:t>
      </w:r>
    </w:p>
    <w:p>
      <w:pPr>
        <w:sectPr>
          <w:pgSz w:w="11900" w:h="16838" w:orient="portrait"/>
          <w:cols w:equalWidth="0" w:num="1">
            <w:col w:w="11020"/>
          </w:cols>
          <w:pgMar w:left="440"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seeing early signs for the proliferation of AI inferencing at the network edge, and the breadth of our customer engagements is consistent with this, which should create a foundation of multiple applications for revenue growth. We now have our first win at an EV passenger vehicle OEM with our CV3-AD family of AI domain controllers, we added another CV3-AD win in commercial vehicles, and we gained multiple AI inference wins in the IoT market,” said Fermi Wang, President and CEO. “We continue to anticipate revenue growth in fiscal 2025 driven by both a cyclical tailwind as our customers’ inventory levels normalize and the secular growth of our AI inference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Conference Call</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Ambarella plans to hold a conference call at 4:30 p.m. Eastern Time / 1:30 p.m. Pacific Time today with Fermi Wang, President and Chief Executive Officer, and John Young, Chief Financial Officer, to discuss the first quarter of fiscal year 2025 results. A live and archived webcast of the call will be available on Ambarella’s website at </w:t>
      </w:r>
      <w:r>
        <w:rPr>
          <w:rFonts w:ascii="Times New Roman" w:cs="Times New Roman" w:eastAsia="Times New Roman" w:hAnsi="Times New Roman"/>
          <w:sz w:val="18"/>
          <w:szCs w:val="18"/>
          <w:u w:val="single" w:color="auto"/>
          <w:color w:val="auto"/>
        </w:rPr>
        <w:t>http://www.ambarella.com/</w:t>
      </w:r>
      <w:r>
        <w:rPr>
          <w:rFonts w:ascii="Times New Roman" w:cs="Times New Roman" w:eastAsia="Times New Roman" w:hAnsi="Times New Roman"/>
          <w:sz w:val="18"/>
          <w:szCs w:val="18"/>
          <w:color w:val="auto"/>
        </w:rPr>
        <w:t xml:space="preserve"> for up to 30 days after the call.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Ambarella</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Ambarella’s products are used in a wide variety of human vision and edge AI applications, including video security, advanced driver assistance systems (ADAS), electronic mirror, drive recorder, driver/cabin monitoring, autonomous driving and robotics applications. Ambarella’s low-power systems-on-chip (SoCs) offer high-resolution video compression, advanced image and radar processing, and powerful deep neural network processing to enable intelligent perception, fusion and planning. For more information, please visit </w:t>
      </w:r>
      <w:r>
        <w:rPr>
          <w:rFonts w:ascii="Times New Roman" w:cs="Times New Roman" w:eastAsia="Times New Roman" w:hAnsi="Times New Roman"/>
          <w:sz w:val="18"/>
          <w:szCs w:val="18"/>
          <w:u w:val="single" w:color="auto"/>
          <w:color w:val="auto"/>
        </w:rPr>
        <w:t>www.ambarella.com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not historical facts and often can be identified by terms such as “outlook,” “projected,” “intends,” “will,” “estimates,” “anticipates,” “expects,” “believes,” “could,” “should,” or similar expressions, including the guidance for the second quarter of fiscal year 2025 ending July 31, 2024, and the comments of our CEO relating to our expectation of future revenue growth, customer demand for our AI inference products, potential drivers of future revenue growth, and the normalization of customer inventory levels. The achievement or success of the matters covered by such forward-looking statements involves risks, uncertainties and assumptions. Our actual results could differ materially from those predicted or implied and reported results should not be considered as an indication of our future performance.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risks and uncertainties referred to above include, but are not limited to, global economic and political conditions, including possible trade tariffs and restrictions; revenue being generated from new customers or design wins, neither of which is assured; the commercial success of our customers’ products; our customers’ ability to manage their inventory requirements; our growth strategy; our ability to anticipate future market demands and future needs of our customers, particularly for AI inference applications; our ability to introduce, and to generate revenue from, new and enhanced solutions; our ability to develop, and to generate revenue from, new advanced technologies, such as computer vision and AI functionality; our ability to retain and expand customer relationships and to</w:t>
      </w:r>
    </w:p>
    <w:p>
      <w:pPr>
        <w:sectPr>
          <w:pgSz w:w="11900" w:h="16838" w:orient="portrait"/>
          <w:cols w:equalWidth="0" w:num="1">
            <w:col w:w="11000"/>
          </w:cols>
          <w:pgMar w:left="440" w:top="270" w:right="4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achieve design wins; the expansion of our current markets and our ability to successfully enter new markets, such as the OEM automotive and robotics markets; anticipated trends and challenges, including competition, in the markets in which we operate; risks associated with global health conditions and associated risk mitigation measures; our ability to effectively manage growth; our ability to retain key employees; and the potential for intellectual property disputes or other litigation.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Further information on these and other factors that could affect our financial results is included in the company’s Annual Report on Form 10-K for our 2024 fiscal year, which is on file with the Securities and Exchange Commission. Additional information will also be set forth in the company’s quarterly reports on Form 10-Q, annual reports on Form 10-K and other filings the company makes with the Securities and Exchange Commission from time to time, copies of which may be obtained by visiting the Investor Relations portion of our web site at www.ambarella.com or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Undue reliance should not be placed on the forward-looking statements in this release, which are based on information available to us on the date hereof. The results we report in our Quarterly Report on Form 10-Q for the first fiscal quarter ended April 30, 2024 could differ from the preliminary results announced in this press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Ambarella assumes no obligation and does not intend to update the forward-looking statements made in this press release, except as required by law.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provided in this release non-GAAP financial information, including non-GAAP gross margin, net income (loss), and earnings (losses) per share, as a supplement to the condensed consolidated financial statements, which are prepared in accordance with generally accepted accounting principles (“GAAP”). Management uses these non-GAAP financial measures internally in analyzing the company’s financial results to assess operational performance and liquidity. The company believes that both management and investors benefit from referring to these non-GAAP financial measures in assessing its performance and when planning, forecasting and analyzing future periods. Further, the company believes these non-GAAP financial measures are useful to investors because they allow for greater transparency with respect to key financial metrics that the company uses in making operating decisions and because the company believes that investors and analysts use them to help assess the health of its business and for comparison to other companies. Non-GAAP results are presented for supplemental informational purposes only for understanding the company’s operating results. The non-GAAP information should not be considered a substitute for financial information presented in accordance with GAAP, and may be different from non-GAAP measures used by other companies.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its financial results for the first quarter of fiscal year 2025, the company has provided below reconciliations of its non-GAAP financial measures to its most directly comparable GAAP financial measures. With respect to the company’s expectations for the second quarter of fiscal year 2025, a reconciliation of non-GAAP gross margin and non-GAAP operating expenses guidance to the closest corresponding GAAP measure is not available without unreasonable efforts on a forward-looking basis due to the high variability and low visibility with respect to the charges excluded from these non-GAAP measures. We expect the variability of the above charges to have a significant, and potentially unpredictable, impact on our future GAAP financial results.</w:t>
      </w:r>
    </w:p>
    <w:p>
      <w:pPr>
        <w:sectPr>
          <w:pgSz w:w="11900" w:h="16838" w:orient="portrait"/>
          <w:cols w:equalWidth="0" w:num="1">
            <w:col w:w="10980"/>
          </w:cols>
          <w:pgMar w:left="440" w:top="270"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8"/>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8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24,623</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37,519</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54,441</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18,620</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73,061</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(39,445)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ordinary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40,774,991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39,340,791</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40,774,991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39,340,791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details of stock-based compensation and acquisition-related costs included in each functional line item in the condensed consolidated statements of operations above: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9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9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9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60" w:type="dxa"/>
            <w:vAlign w:val="bottom"/>
          </w:tcPr>
          <w:p>
            <w:pPr>
              <w:spacing w:after="0"/>
              <w:rPr>
                <w:sz w:val="12"/>
                <w:szCs w:val="1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18,361</w:t>
            </w:r>
          </w:p>
        </w:tc>
      </w:tr>
      <w:tr>
        <w:trPr>
          <w:trHeight w:val="223"/>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6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27,265</w:t>
            </w: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9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9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9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60" w:type="dxa"/>
            <w:vAlign w:val="bottom"/>
          </w:tcPr>
          <w:p>
            <w:pPr>
              <w:spacing w:after="0"/>
              <w:rPr>
                <w:sz w:val="12"/>
                <w:szCs w:val="1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9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acquisition-related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difference between GAAP and non-GAAP gross margin was 2.5% and 2.7%, or $1.4 million and $1.7 million, for the three months ended April 30, 2024 and April 30, 2023, respectively. The differences were due to the effect of stock-based compensation and the amortization of acquisition-related costs.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DILUTED EARNINGS (LOSSES)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8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8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(37,932)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(35,902)</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27,265</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2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 diluted weighted average shares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6"/>
              </w:rPr>
              <w:t>40,774,991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39,340,791</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Non-GAAP - diluted weighted average shares</w:t>
            </w:r>
          </w:p>
        </w:tc>
        <w:tc>
          <w:tcPr>
            <w:tcW w:w="1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6"/>
              </w:rPr>
              <w:t>40,774,991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39,340,791</w:t>
            </w: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 diluted net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Effect of Non-GAAP - diluted weighted average shares</w:t>
            </w:r>
          </w:p>
        </w:tc>
        <w:tc>
          <w:tcPr>
            <w:tcW w:w="10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 diluted net income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bl>
    <w:p>
      <w:pPr>
        <w:sectPr>
          <w:pgSz w:w="11900" w:h="16838" w:orient="portrait"/>
          <w:cols w:equalWidth="0" w:num="1">
            <w:col w:w="11020"/>
          </w:cols>
          <w:pgMar w:left="440" w:top="263"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9200" w:type="dxa"/>
            <w:vAlign w:val="bottom"/>
          </w:tcPr>
          <w:p>
            <w:pPr>
              <w:spacing w:after="0"/>
              <w:rPr>
                <w:sz w:val="15"/>
                <w:szCs w:val="15"/>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2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$ 131,810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$ 144,914</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71,537</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75,013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28,299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28,325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29,043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6,929</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6,230</w:t>
            </w:r>
          </w:p>
        </w:tc>
      </w:tr>
      <w:tr>
        <w:trPr>
          <w:trHeight w:val="27"/>
        </w:trPr>
        <w:tc>
          <w:tcPr>
            <w:tcW w:w="9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266,907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280,157</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9,763</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10,439</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51,099</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55,136</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4,324</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303,625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303,625</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2,814</w:t>
            </w:r>
          </w:p>
        </w:tc>
      </w:tr>
      <w:tr>
        <w:trPr>
          <w:trHeight w:val="223"/>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$ 638,660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$ 657,655</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16,470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28,503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49,714</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48,598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3,148</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82,979</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1,243</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9,747</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12,909</w:t>
            </w:r>
          </w:p>
        </w:tc>
      </w:tr>
      <w:tr>
        <w:trPr>
          <w:trHeight w:val="27"/>
        </w:trPr>
        <w:tc>
          <w:tcPr>
            <w:tcW w:w="9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83,235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97,784</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Preference shares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728,842</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694,967</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(172,863)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(134,931)</w:t>
            </w:r>
          </w:p>
        </w:tc>
      </w:tr>
      <w:tr>
        <w:trPr>
          <w:trHeight w:val="230"/>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$ 638,660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$ 657,655</w:t>
            </w:r>
          </w:p>
        </w:tc>
      </w:tr>
      <w:tr>
        <w:trPr>
          <w:trHeight w:val="20"/>
        </w:trPr>
        <w:tc>
          <w:tcPr>
            <w:tcW w:w="9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Gerhardy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408.636.2310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lgerhardy@ambarella.com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2024-05-30T15:56:13Z</dcterms:created>
  <dcterms:modified xsi:type="dcterms:W3CDTF">2024-05-30T15:56:13Z</dcterms:modified>
</cp:coreProperties>
</file>