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Chen Yun-Lung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3001 TASMAN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AMBARELLA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AMBA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85"/>
        <w:spacing w:after="0"/>
        <w:rPr>
          <w:sz w:val="20"/>
          <w:szCs w:val="20"/>
          <w:color w:val="auto"/>
        </w:rPr>
      </w:pPr>
      <w:r>
        <w:rPr>
          <w:rFonts w:ascii="Times New Roman" w:cs="Times New Roman" w:eastAsia="Times New Roman" w:hAnsi="Times New Roman"/>
          <w:sz w:val="17"/>
          <w:szCs w:val="17"/>
          <w:color w:val="0000FF"/>
        </w:rPr>
        <w:t>VP, Business Development and</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06/12/2026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9,856</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67.06</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66,515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I represents the weighted average sale price of the shares sold ranging from $67.06 to $67.07 per share. Upon request by the Commission staff, the Issuer, or a security holder of the Issuer, the reporting person will provide full information regarding the number of shares sold at each separate price within the ranges set forth in this Form 4.</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By: /s/ Michael Morehead,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791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Yun-</w:t>
      </w:r>
      <w:r>
        <w:rPr>
          <w:sz w:val="20"/>
          <w:szCs w:val="20"/>
          <w:color w:val="auto"/>
        </w:rPr>
        <w:tab/>
      </w: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Lung Chen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92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212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02676" TargetMode="External"/><Relationship Id="rId14" Type="http://schemas.openxmlformats.org/officeDocument/2006/relationships/hyperlink" Target="http://www.sec.gov/cgi-bin/browse-edgar?action=getcompany&amp;CIK=00012802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2026-06-16T15:58:18Z</dcterms:created>
  <dcterms:modified xsi:type="dcterms:W3CDTF">2026-06-16T15:58:18Z</dcterms:modified>
</cp:coreProperties>
</file>