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60" w:hanging="559"/>
        <w:spacing w:after="0" w:line="258"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2023</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80" w:right="140" w:hanging="559"/>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5"/>
        </w:trPr>
        <w:tc>
          <w:tcPr>
            <w:tcW w:w="32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98-0459628</w:t>
            </w:r>
          </w:p>
        </w:tc>
      </w:tr>
      <w:tr>
        <w:trPr>
          <w:trHeight w:val="151"/>
        </w:trPr>
        <w:tc>
          <w:tcPr>
            <w:tcW w:w="5940" w:type="dxa"/>
            <w:vAlign w:val="bottom"/>
          </w:tcPr>
          <w:p>
            <w:pPr>
              <w:jc w:val="center"/>
              <w:ind w:right="349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2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594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1500" w:type="dxa"/>
            <w:vAlign w:val="bottom"/>
          </w:tcPr>
          <w:p>
            <w:pPr>
              <w:spacing w:after="0"/>
              <w:rPr>
                <w:sz w:val="24"/>
                <w:szCs w:val="24"/>
                <w:color w:val="auto"/>
              </w:rPr>
            </w:pPr>
          </w:p>
        </w:tc>
      </w:tr>
      <w:tr>
        <w:trPr>
          <w:trHeight w:val="238"/>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193"/>
        </w:trPr>
        <w:tc>
          <w:tcPr>
            <w:tcW w:w="594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5940" w:type="dxa"/>
            <w:vAlign w:val="bottom"/>
          </w:tcPr>
          <w:p>
            <w:pPr>
              <w:jc w:val="right"/>
              <w:ind w:right="1339"/>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1500" w:type="dxa"/>
            <w:vAlign w:val="bottom"/>
          </w:tcPr>
          <w:p>
            <w:pPr>
              <w:spacing w:after="0"/>
              <w:rPr>
                <w:sz w:val="24"/>
                <w:szCs w:val="24"/>
                <w:color w:val="auto"/>
              </w:rPr>
            </w:pPr>
          </w:p>
        </w:tc>
      </w:tr>
      <w:tr>
        <w:trPr>
          <w:trHeight w:val="190"/>
        </w:trPr>
        <w:tc>
          <w:tcPr>
            <w:tcW w:w="5940" w:type="dxa"/>
            <w:vAlign w:val="bottom"/>
          </w:tcPr>
          <w:p>
            <w:pPr>
              <w:jc w:val="center"/>
              <w:ind w:left="18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6" w:lineRule="exact"/>
        <w:rPr>
          <w:sz w:val="24"/>
          <w:szCs w:val="24"/>
          <w:color w:val="auto"/>
        </w:rPr>
      </w:pPr>
    </w:p>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4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8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November 30, 2023 was 40,248,073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466"/>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6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7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at October 31, 2023 and January 31, 2023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nine months ended October 31, 2023 and 2022</w:t>
            </w:r>
          </w:p>
        </w:tc>
        <w:tc>
          <w:tcPr>
            <w:tcW w:w="2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760" w:type="dxa"/>
            <w:vAlign w:val="bottom"/>
          </w:tcPr>
          <w:p>
            <w:pPr>
              <w:spacing w:after="0"/>
              <w:rPr>
                <w:sz w:val="24"/>
                <w:szCs w:val="24"/>
                <w:color w:val="auto"/>
              </w:rPr>
            </w:pPr>
          </w:p>
        </w:tc>
        <w:tc>
          <w:tcPr>
            <w:tcW w:w="91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and nine months ended October 31, 2023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2022</w:t>
            </w:r>
          </w:p>
        </w:tc>
        <w:tc>
          <w:tcPr>
            <w:tcW w:w="13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91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Shareholders’ Equity for the three and nine months ended October 31, 2023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and 2022</w:t>
            </w:r>
          </w:p>
        </w:tc>
        <w:tc>
          <w:tcPr>
            <w:tcW w:w="13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2023 and 2022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71"/>
        </w:trPr>
        <w:tc>
          <w:tcPr>
            <w:tcW w:w="760" w:type="dxa"/>
            <w:vAlign w:val="bottom"/>
          </w:tcPr>
          <w:p>
            <w:pPr>
              <w:spacing w:after="0"/>
              <w:rPr>
                <w:sz w:val="24"/>
                <w:szCs w:val="24"/>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620" w:type="dxa"/>
            <w:vAlign w:val="bottom"/>
            <w:tcBorders>
              <w:top w:val="single" w:sz="8" w:color="0000FF"/>
            </w:tcBorders>
            <w:gridSpan w:val="3"/>
          </w:tcPr>
          <w:p>
            <w:pPr>
              <w:spacing w:after="0"/>
              <w:rPr>
                <w:sz w:val="24"/>
                <w:szCs w:val="24"/>
                <w:color w:val="auto"/>
              </w:rPr>
            </w:pPr>
          </w:p>
        </w:tc>
        <w:tc>
          <w:tcPr>
            <w:tcW w:w="720" w:type="dxa"/>
            <w:vAlign w:val="bottom"/>
            <w:gridSpan w:val="3"/>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00" w:type="dxa"/>
            <w:vAlign w:val="bottom"/>
            <w:gridSpan w:val="5"/>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0" w:type="dxa"/>
            <w:vAlign w:val="bottom"/>
            <w:tcBorders>
              <w:top w:val="single" w:sz="8" w:color="0000FF"/>
              <w:bottom w:val="single" w:sz="8" w:color="0000EE"/>
            </w:tcBorders>
          </w:tcPr>
          <w:p>
            <w:pPr>
              <w:spacing w:after="0"/>
              <w:rPr>
                <w:sz w:val="24"/>
                <w:szCs w:val="24"/>
                <w:color w:val="auto"/>
              </w:rPr>
            </w:pPr>
          </w:p>
        </w:tc>
        <w:tc>
          <w:tcPr>
            <w:tcW w:w="2560" w:type="dxa"/>
            <w:vAlign w:val="bottom"/>
            <w:tcBorders>
              <w:top w:val="single" w:sz="8" w:color="0000FF"/>
            </w:tcBorders>
            <w:gridSpan w:val="3"/>
          </w:tcPr>
          <w:p>
            <w:pPr>
              <w:spacing w:after="0"/>
              <w:rPr>
                <w:sz w:val="24"/>
                <w:szCs w:val="24"/>
                <w:color w:val="auto"/>
              </w:rPr>
            </w:pPr>
          </w:p>
        </w:tc>
        <w:tc>
          <w:tcPr>
            <w:tcW w:w="4800" w:type="dxa"/>
            <w:vAlign w:val="bottom"/>
            <w:gridSpan w:val="8"/>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93"/>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140" w:type="dxa"/>
            <w:vAlign w:val="bottom"/>
            <w:gridSpan w:val="1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820" w:type="dxa"/>
            <w:vAlign w:val="bottom"/>
            <w:gridSpan w:val="14"/>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7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840" w:type="dxa"/>
            <w:vAlign w:val="bottom"/>
            <w:gridSpan w:val="15"/>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6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72"/>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226"/>
        </w:trPr>
        <w:tc>
          <w:tcPr>
            <w:tcW w:w="7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93,322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30,783</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684,629</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710,195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56,655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21"/>
                <w:szCs w:val="21"/>
                <w:color w:val="auto"/>
              </w:rPr>
            </w:pPr>
          </w:p>
        </w:tc>
      </w:tr>
      <w:tr>
        <w:trPr>
          <w:trHeight w:val="23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75,829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83,462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104,107</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outstanding at October 31, 2023 and January 31, 2023, respectively</w:t>
            </w:r>
          </w:p>
        </w:tc>
        <w:tc>
          <w:tcPr>
            <w:tcW w:w="28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 authorized; 40,229,267 and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39,043,000 shares issued and outstanding at October 31, 2023 and January 31, 2023,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667,313</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572,076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(74,324 )</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34,486</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591,788</w:t>
            </w:r>
          </w:p>
        </w:tc>
        <w:tc>
          <w:tcPr>
            <w:tcW w:w="28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606,088</w:t>
            </w:r>
          </w:p>
        </w:tc>
        <w:tc>
          <w:tcPr>
            <w:tcW w:w="100" w:type="dxa"/>
            <w:vAlign w:val="bottom"/>
            <w:tcBorders>
              <w:top w:val="single" w:sz="8" w:color="CFF0FC"/>
            </w:tcBorders>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684,629</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-4705350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-3453765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-1876425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60" w:type="dxa"/>
            <w:vAlign w:val="bottom"/>
          </w:tcPr>
          <w:p>
            <w:pPr>
              <w:spacing w:after="0"/>
              <w:rPr>
                <w:sz w:val="16"/>
                <w:szCs w:val="16"/>
                <w:color w:val="auto"/>
              </w:rPr>
            </w:pPr>
          </w:p>
        </w:tc>
        <w:tc>
          <w:tcPr>
            <w:tcW w:w="23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3"/>
        </w:trPr>
        <w:tc>
          <w:tcPr>
            <w:tcW w:w="60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174,858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254,285</w:t>
            </w:r>
          </w:p>
        </w:tc>
        <w:tc>
          <w:tcPr>
            <w:tcW w:w="100" w:type="dxa"/>
            <w:vAlign w:val="bottom"/>
            <w:shd w:val="clear" w:color="auto" w:fill="CFF0FC"/>
          </w:tcPr>
          <w:p>
            <w:pPr>
              <w:spacing w:after="0"/>
              <w:rPr>
                <w:sz w:val="20"/>
                <w:szCs w:val="20"/>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68,894</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94,996</w:t>
            </w:r>
          </w:p>
        </w:tc>
        <w:tc>
          <w:tcPr>
            <w:tcW w:w="100" w:type="dxa"/>
            <w:vAlign w:val="bottom"/>
          </w:tcPr>
          <w:p>
            <w:pPr>
              <w:spacing w:after="0"/>
              <w:rPr>
                <w:sz w:val="22"/>
                <w:szCs w:val="22"/>
                <w:color w:val="auto"/>
              </w:rPr>
            </w:pPr>
          </w:p>
        </w:tc>
      </w:tr>
      <w:tr>
        <w:trPr>
          <w:trHeight w:val="237"/>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105,964</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163,060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151,892</w:t>
            </w:r>
          </w:p>
        </w:tc>
        <w:tc>
          <w:tcPr>
            <w:tcW w:w="100" w:type="dxa"/>
            <w:vAlign w:val="bottom"/>
            <w:shd w:val="clear" w:color="auto" w:fill="CFF0FC"/>
          </w:tcPr>
          <w:p>
            <w:pPr>
              <w:spacing w:after="0"/>
              <w:rPr>
                <w:sz w:val="21"/>
                <w:szCs w:val="21"/>
                <w:color w:val="auto"/>
              </w:rPr>
            </w:pPr>
          </w:p>
        </w:tc>
      </w:tr>
      <w:tr>
        <w:trPr>
          <w:trHeight w:val="257"/>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100" w:type="dxa"/>
            <w:vAlign w:val="bottom"/>
          </w:tcPr>
          <w:p>
            <w:pPr>
              <w:spacing w:after="0"/>
              <w:rPr>
                <w:sz w:val="22"/>
                <w:szCs w:val="22"/>
                <w:color w:val="auto"/>
              </w:rPr>
            </w:pPr>
          </w:p>
        </w:tc>
      </w:tr>
      <w:tr>
        <w:trPr>
          <w:trHeight w:val="237"/>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71,948</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218,810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(41,965 )</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(20,130 )</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(112,846 )</w:t>
            </w:r>
          </w:p>
        </w:tc>
        <w:tc>
          <w:tcPr>
            <w:tcW w:w="1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(50,816 )</w:t>
            </w:r>
          </w:p>
        </w:tc>
      </w:tr>
      <w:tr>
        <w:trPr>
          <w:trHeight w:val="250"/>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(40,065 )</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(18,697 )</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(108,923 )</w:t>
            </w:r>
          </w:p>
        </w:tc>
        <w:tc>
          <w:tcPr>
            <w:tcW w:w="1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(49,323 )</w:t>
            </w:r>
          </w:p>
        </w:tc>
      </w:tr>
      <w:tr>
        <w:trPr>
          <w:trHeight w:val="250"/>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(113 )</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shd w:val="clear" w:color="auto" w:fill="CFF0FC"/>
          </w:tcPr>
          <w:p>
            <w:pPr>
              <w:spacing w:after="0"/>
              <w:rPr>
                <w:sz w:val="21"/>
                <w:szCs w:val="2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(41,710 )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(19,809 )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(108,810 )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(54,281 )</w:t>
            </w:r>
          </w:p>
        </w:tc>
      </w:tr>
      <w:tr>
        <w:trPr>
          <w:trHeight w:val="20"/>
        </w:trPr>
        <w:tc>
          <w:tcPr>
            <w:tcW w:w="6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r>
      <w:tr>
        <w:trPr>
          <w:trHeight w:val="20"/>
        </w:trPr>
        <w:tc>
          <w:tcPr>
            <w:tcW w:w="6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r>
      <w:tr>
        <w:trPr>
          <w:trHeight w:val="192"/>
        </w:trPr>
        <w:tc>
          <w:tcPr>
            <w:tcW w:w="6020" w:type="dxa"/>
            <w:vAlign w:val="bottom"/>
            <w:tcBorders>
              <w:top w:val="single" w:sz="8" w:color="CFF0FC"/>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41"/>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shareholders: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0"/>
        </w:trPr>
        <w:tc>
          <w:tcPr>
            <w:tcW w:w="6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40,053,251</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38,582,584</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39,710,248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38,185,421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40,053,251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38,582,584</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39,710,248</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38,185,421</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-2682240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-2682240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-2682240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-2022475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-2022475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-2022475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-1687830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-1687830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-1687830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-1353820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-1353820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-1353820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-676910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-659765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-676910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-659765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-676910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-659765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-205105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-205105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-205105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0" w:type="dxa"/>
            <w:vAlign w:val="bottom"/>
          </w:tcPr>
          <w:p>
            <w:pPr>
              <w:spacing w:after="0"/>
              <w:rPr>
                <w:sz w:val="16"/>
                <w:szCs w:val="16"/>
                <w:color w:val="auto"/>
              </w:rPr>
            </w:pPr>
          </w:p>
        </w:tc>
        <w:tc>
          <w:tcPr>
            <w:tcW w:w="24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3"/>
        </w:trPr>
        <w:tc>
          <w:tcPr>
            <w:tcW w:w="58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(41,710 )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(19,809 )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(108,810 )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(54,281 )</w:t>
            </w:r>
          </w:p>
        </w:tc>
      </w:tr>
      <w:tr>
        <w:trPr>
          <w:trHeight w:val="26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(1,041 )</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(727 )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(1,043 )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(289 )</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(1,041 )</w:t>
            </w: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(727 )</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(1,043 )</w:t>
            </w: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(41,999 )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(20,850 )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(109,537 )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(55,324 )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-359410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-359410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-359410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920" w:type="dxa"/>
            <w:vAlign w:val="bottom"/>
            <w:gridSpan w:val="3"/>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920" w:type="dxa"/>
            <w:vAlign w:val="bottom"/>
            <w:gridSpan w:val="3"/>
            <w:vMerge w:val="restart"/>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9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Balance--January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39,043,000</w:t>
            </w:r>
          </w:p>
        </w:tc>
        <w:tc>
          <w:tcPr>
            <w:tcW w:w="960" w:type="dxa"/>
            <w:vAlign w:val="bottom"/>
            <w:gridSpan w:val="2"/>
            <w:shd w:val="clear" w:color="auto" w:fill="CFF0FC"/>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572,076</w:t>
            </w:r>
          </w:p>
        </w:tc>
        <w:tc>
          <w:tcPr>
            <w:tcW w:w="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(492 )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34,486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606,088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467,996</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80,207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gain - 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(35,902 )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(35,902 )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Balance--April 30, 2023</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39,591,203</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607,971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(382 )</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(1,416 )</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606,191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279,568</w:t>
            </w:r>
          </w:p>
        </w:tc>
        <w:tc>
          <w:tcPr>
            <w:tcW w:w="24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553</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553</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27,320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(548 )</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(548 )</w:t>
            </w: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(31,198 )</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(31,198 )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Balance--July 31, 2023</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39,870,771</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635,844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(930 )</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(32,614 )</w:t>
            </w:r>
          </w:p>
        </w:tc>
        <w:tc>
          <w:tcPr>
            <w:tcW w:w="2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602,318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2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286,684</w:t>
            </w: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71,812</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27,649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(289 )</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(41,710 )</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(41,710 )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Balance--October 31, 2023</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40,229,267</w:t>
            </w:r>
          </w:p>
        </w:tc>
        <w:tc>
          <w:tcPr>
            <w:tcW w:w="240" w:type="dxa"/>
            <w:vAlign w:val="bottom"/>
          </w:tcPr>
          <w:p>
            <w:pPr>
              <w:spacing w:after="0"/>
              <w:rPr>
                <w:sz w:val="14"/>
                <w:szCs w:val="14"/>
                <w:color w:val="auto"/>
              </w:rPr>
            </w:pPr>
          </w:p>
        </w:tc>
        <w:tc>
          <w:tcPr>
            <w:tcW w:w="720" w:type="dxa"/>
            <w:vAlign w:val="bottom"/>
          </w:tcPr>
          <w:p>
            <w:pPr>
              <w:jc w:val="right"/>
              <w:ind w:right="553"/>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667,313</w:t>
            </w:r>
          </w:p>
        </w:tc>
        <w:tc>
          <w:tcPr>
            <w:tcW w:w="220" w:type="dxa"/>
            <w:vAlign w:val="bottom"/>
          </w:tcPr>
          <w:p>
            <w:pPr>
              <w:spacing w:after="0"/>
              <w:rPr>
                <w:sz w:val="14"/>
                <w:szCs w:val="14"/>
                <w:color w:val="auto"/>
              </w:rPr>
            </w:pPr>
          </w:p>
        </w:tc>
        <w:tc>
          <w:tcPr>
            <w:tcW w:w="180" w:type="dxa"/>
            <w:vAlign w:val="bottom"/>
          </w:tcPr>
          <w:p>
            <w:pPr>
              <w:jc w:val="right"/>
              <w:ind w:right="3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(1,219 )</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(74,324 )</w:t>
            </w: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591,788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920" w:type="dxa"/>
            <w:vAlign w:val="bottom"/>
            <w:gridSpan w:val="3"/>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920" w:type="dxa"/>
            <w:vAlign w:val="bottom"/>
            <w:gridSpan w:val="3"/>
            <w:vMerge w:val="restart"/>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9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Balance--January 31,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37,302,818</w:t>
            </w:r>
          </w:p>
        </w:tc>
        <w:tc>
          <w:tcPr>
            <w:tcW w:w="960" w:type="dxa"/>
            <w:vAlign w:val="bottom"/>
            <w:gridSpan w:val="2"/>
            <w:shd w:val="clear" w:color="auto" w:fill="CFF0FC"/>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447,287</w:t>
            </w:r>
          </w:p>
        </w:tc>
        <w:tc>
          <w:tcPr>
            <w:tcW w:w="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99,872</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547,176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736,516</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43,545</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(10,822 )</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(10,822 )</w:t>
            </w:r>
          </w:p>
        </w:tc>
        <w:tc>
          <w:tcPr>
            <w:tcW w:w="0" w:type="dxa"/>
            <w:vAlign w:val="bottom"/>
          </w:tcPr>
          <w:p>
            <w:pPr>
              <w:spacing w:after="0"/>
              <w:rPr>
                <w:sz w:val="1"/>
                <w:szCs w:val="1"/>
                <w:color w:val="auto"/>
              </w:rPr>
            </w:pPr>
          </w:p>
        </w:tc>
      </w:tr>
      <w:tr>
        <w:trPr>
          <w:trHeight w:val="169"/>
        </w:trPr>
        <w:tc>
          <w:tcPr>
            <w:tcW w:w="462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Balance--April 30, 2022</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38,082,879</w:t>
            </w:r>
          </w:p>
        </w:tc>
        <w:tc>
          <w:tcPr>
            <w:tcW w:w="240" w:type="dxa"/>
            <w:vAlign w:val="bottom"/>
            <w:tcBorders>
              <w:top w:val="single" w:sz="8" w:color="CFF0FC"/>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485,281</w:t>
            </w: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89,050</w:t>
            </w: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574,348</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2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323,572</w:t>
            </w: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1,204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(23,650 )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(23,650 )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Balance--July 31, 2022</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38,406,451</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512,696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65,400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578,111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278,687</w:t>
            </w:r>
          </w:p>
        </w:tc>
        <w:tc>
          <w:tcPr>
            <w:tcW w:w="24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386</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386</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61,041</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(1,041 )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(1,041 )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(19,809 )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(19,809 )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Balance--October 31, 2022</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38,746,179</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53"/>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543,833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(1,043 )</w:t>
            </w: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45,591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588,398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-4199890</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-4182745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-4199890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-4182745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-4199890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-4182745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-4199890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-4182745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-4199890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-4182745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-3728085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-3728085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-3728085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-3728085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-3728085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-3025140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-3025140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-3025140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-3025140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-3025140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-1439545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-1439545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-1439545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-1439545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-1439545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-727710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-710565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-727710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-710565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-727710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-710565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-727710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-710565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-727710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-710565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w w:val="95"/>
              </w:rPr>
              <w:t>(108,810 )</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(54,281 )</w:t>
            </w: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14,426</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(957 )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(281 )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82,796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82,051</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income taxes</w:t>
            </w: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(3,676 )</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non-cash items, net</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29,019</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(4,249 )</w:t>
            </w: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Inventories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9,703</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(176 )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non-current assets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(8,553 )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(2,044 )</w:t>
            </w: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6,938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taxes payable</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(1,721 )</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revenue</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(378 )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(2,940 )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(3,254 )</w:t>
            </w:r>
          </w:p>
        </w:tc>
      </w:tr>
      <w:tr>
        <w:trPr>
          <w:trHeight w:val="232"/>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(26 )</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23,056</w:t>
            </w: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39,003</w:t>
            </w:r>
          </w:p>
        </w:tc>
        <w:tc>
          <w:tcPr>
            <w:tcW w:w="100" w:type="dxa"/>
            <w:vAlign w:val="bottom"/>
            <w:tcBorders>
              <w:top w:val="single" w:sz="8" w:color="CFF0FC"/>
            </w:tcBorders>
          </w:tcPr>
          <w:p>
            <w:pPr>
              <w:spacing w:after="0"/>
              <w:rPr>
                <w:sz w:val="19"/>
                <w:szCs w:val="19"/>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 of investments</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(34,433 )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(87,641 )</w:t>
            </w: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Sales of investments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5,222</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shd w:val="clear" w:color="auto" w:fill="CFF0FC"/>
          </w:tcPr>
          <w:p>
            <w:pPr>
              <w:spacing w:after="0"/>
              <w:rPr>
                <w:sz w:val="20"/>
                <w:szCs w:val="20"/>
                <w:color w:val="auto"/>
              </w:rPr>
            </w:pPr>
          </w:p>
        </w:tc>
      </w:tr>
      <w:tr>
        <w:trPr>
          <w:trHeight w:val="262"/>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9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44,310</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(10,047 )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(13,023 )</w:t>
            </w: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Escrow claim associated with business acquisition</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tcPr>
          <w:p>
            <w:pPr>
              <w:spacing w:after="0"/>
              <w:rPr>
                <w:sz w:val="19"/>
                <w:szCs w:val="19"/>
                <w:color w:val="auto"/>
              </w:rPr>
            </w:pPr>
          </w:p>
        </w:tc>
      </w:tr>
      <w:tr>
        <w:trPr>
          <w:trHeight w:val="223"/>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5,052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(99,159 )</w:t>
            </w:r>
          </w:p>
        </w:tc>
      </w:tr>
      <w:tr>
        <w:trPr>
          <w:trHeight w:val="222"/>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1"/>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6,912</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6,834</w:t>
            </w:r>
          </w:p>
        </w:tc>
        <w:tc>
          <w:tcPr>
            <w:tcW w:w="100" w:type="dxa"/>
            <w:vAlign w:val="bottom"/>
            <w:shd w:val="clear" w:color="auto" w:fill="CFF0FC"/>
          </w:tcPr>
          <w:p>
            <w:pPr>
              <w:spacing w:after="0"/>
              <w:rPr>
                <w:sz w:val="20"/>
                <w:szCs w:val="20"/>
                <w:color w:val="auto"/>
              </w:rPr>
            </w:pPr>
          </w:p>
        </w:tc>
      </w:tr>
      <w:tr>
        <w:trPr>
          <w:trHeight w:val="228"/>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for intangible assets</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(4,775 )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(4,887 )</w:t>
            </w:r>
          </w:p>
        </w:tc>
      </w:tr>
      <w:tr>
        <w:trPr>
          <w:trHeight w:val="223"/>
        </w:trPr>
        <w:tc>
          <w:tcPr>
            <w:tcW w:w="7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30,245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(58,209 )</w:t>
            </w:r>
          </w:p>
        </w:tc>
      </w:tr>
      <w:tr>
        <w:trPr>
          <w:trHeight w:val="232"/>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113,549</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171,053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143,794</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112,844</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5,499</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-2931160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-1713865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-1113790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-814070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right="6240" w:hanging="512"/>
        <w:spacing w:after="0" w:line="378" w:lineRule="auto"/>
        <w:tabs>
          <w:tab w:leader="none" w:pos="19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image processing, and powerful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2023 fiscal year filed with the SEC on March 31, 2023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2023.</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 w:name="page9"/>
    <w:bookmarkEnd w:id="8"/>
    <w:p>
      <w:pPr>
        <w:ind w:right="140" w:firstLine="554"/>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its two major distributors, WT Microelectronics Co., Ltd., formerly Wintech Microelectronics Co., Ltd., or WT, which serves as its non-exclusive sales representative and fulfillment partner in Asia other than Japan, and Hakuto Co., Ltd., or Hakuto, a Japan distributor,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7"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commercial paper,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October 31, 2023 and January 31, 2023,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112,837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as presented in the condensed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143,794</w:t>
            </w:r>
          </w:p>
        </w:tc>
        <w:tc>
          <w:tcPr>
            <w:tcW w:w="20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113,549</w:t>
            </w:r>
          </w:p>
        </w:tc>
        <w:tc>
          <w:tcPr>
            <w:tcW w:w="18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18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money market funds and debt securities that are denominated in United States dollars. The debt security investment portfolio consists of commercial paper, corporate bonds, asset-backed securities and U.S. government securities. All of the investments are classified as available-for-sale securities and reported at fair value in the condensed consolidated balance sheets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October 31, 2023</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8"/>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(642 )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(328 )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January 31, 2023</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8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18,333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(224 )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18,753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(149 )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(235 )</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101,686</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101,194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-1739265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-1739265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-1739265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-1739265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as of October 31, 2023, aggregated by investment category and length of time that individual securities have been in a continuous loss position: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As of October 31, 2023</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4"/>
                <w:szCs w:val="14"/>
                <w:color w:val="auto"/>
              </w:rPr>
            </w:pPr>
          </w:p>
        </w:tc>
        <w:tc>
          <w:tcPr>
            <w:tcW w:w="25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6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(642 )</w:t>
            </w: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53,972</w:t>
            </w:r>
          </w:p>
        </w:tc>
        <w:tc>
          <w:tcPr>
            <w:tcW w:w="260" w:type="dxa"/>
            <w:vAlign w:val="bottom"/>
            <w:vMerge w:val="restart"/>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(678 )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23,963</w:t>
            </w:r>
          </w:p>
        </w:tc>
        <w:tc>
          <w:tcPr>
            <w:tcW w:w="4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(548 )</w:t>
            </w:r>
          </w:p>
        </w:tc>
        <w:tc>
          <w:tcPr>
            <w:tcW w:w="12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77,935</w:t>
            </w:r>
          </w:p>
        </w:tc>
        <w:tc>
          <w:tcPr>
            <w:tcW w:w="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(1,226 )</w:t>
            </w:r>
          </w:p>
        </w:tc>
        <w:tc>
          <w:tcPr>
            <w:tcW w:w="0" w:type="dxa"/>
            <w:vAlign w:val="bottom"/>
          </w:tcPr>
          <w:p>
            <w:pPr>
              <w:spacing w:after="0"/>
              <w:rPr>
                <w:sz w:val="1"/>
                <w:szCs w:val="1"/>
                <w:color w:val="auto"/>
              </w:rPr>
            </w:pPr>
          </w:p>
        </w:tc>
      </w:tr>
      <w:tr>
        <w:trPr>
          <w:trHeight w:val="227"/>
        </w:trPr>
        <w:tc>
          <w:tcPr>
            <w:tcW w:w="3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-25400</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-8255</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January 31, 2023, there were no debt securities with unrealized losses for more than twelve months.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80" w:type="dxa"/>
            <w:vAlign w:val="bottom"/>
          </w:tcPr>
          <w:p>
            <w:pPr>
              <w:spacing w:after="0"/>
              <w:rPr>
                <w:sz w:val="17"/>
                <w:szCs w:val="17"/>
                <w:color w:val="auto"/>
              </w:rPr>
            </w:pPr>
          </w:p>
        </w:tc>
      </w:tr>
      <w:tr>
        <w:trPr>
          <w:trHeight w:val="196"/>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7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80" w:type="dxa"/>
            <w:vAlign w:val="bottom"/>
            <w:shd w:val="clear" w:color="auto" w:fill="CFF0FC"/>
          </w:tcPr>
          <w:p>
            <w:pPr>
              <w:spacing w:after="0"/>
              <w:rPr>
                <w:sz w:val="23"/>
                <w:szCs w:val="23"/>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93,322</w:t>
            </w:r>
          </w:p>
        </w:tc>
        <w:tc>
          <w:tcPr>
            <w:tcW w:w="80" w:type="dxa"/>
            <w:vAlign w:val="bottom"/>
          </w:tcPr>
          <w:p>
            <w:pPr>
              <w:spacing w:after="0"/>
              <w:rPr>
                <w:sz w:val="22"/>
                <w:szCs w:val="22"/>
                <w:color w:val="auto"/>
              </w:rPr>
            </w:pPr>
          </w:p>
        </w:tc>
      </w:tr>
      <w:tr>
        <w:trPr>
          <w:trHeight w:val="277"/>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101,194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October 31, 2023 and January 31,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80" w:type="dxa"/>
            <w:vAlign w:val="bottom"/>
            <w:shd w:val="clear" w:color="auto" w:fill="CFF0FC"/>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Due in 1 - 5 years</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52,414</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5 - 7 years</w:t>
            </w:r>
          </w:p>
        </w:tc>
        <w:tc>
          <w:tcPr>
            <w:tcW w:w="12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94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-685165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loss in the condensed consolidated balance sheets. The credit-related losses were not material for the three and nine months ended October 31, 2023 and 2022, respectively.</w:t>
      </w:r>
    </w:p>
    <w:p>
      <w:pPr>
        <w:spacing w:after="0" w:line="18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Interest income, including amortization of premiums and accretion of discounts related to the investments, as well as realized gains and losses from sales of the investments are recorded in other income, net, in the condensed consolidated statements of operations. For the three months ended October 31, 2023 and 2022, interest income and realized gains and losses, net, were approximately $1.3 million and $0.7 million, respectively. For the nine months ended October 31, 2023 and 2022, interest income and realized gains and losses, net, were approximately $3.5 million and $0.8 million, respectively.</w:t>
      </w:r>
    </w:p>
    <w:p>
      <w:pPr>
        <w:spacing w:after="0" w:line="164" w:lineRule="exact"/>
        <w:rPr>
          <w:sz w:val="20"/>
          <w:szCs w:val="20"/>
          <w:color w:val="auto"/>
        </w:rPr>
      </w:pPr>
    </w:p>
    <w:p>
      <w:pPr>
        <w:jc w:val="both"/>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October 31, 2023 and January 31, 2023,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 of October 31, 2023</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7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102,171</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 of January 31, 2023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101,194</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93,322</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-2202180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-2202180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-2202180</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-2202180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-685165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-685165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-685165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October 31, 2023 and January 31, 2023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80" w:type="dxa"/>
            <w:vAlign w:val="bottom"/>
          </w:tcPr>
          <w:p>
            <w:pPr>
              <w:spacing w:after="0"/>
              <w:rPr>
                <w:sz w:val="17"/>
                <w:szCs w:val="17"/>
                <w:color w:val="auto"/>
              </w:rPr>
            </w:pPr>
          </w:p>
        </w:tc>
      </w:tr>
      <w:tr>
        <w:trPr>
          <w:trHeight w:val="169"/>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center"/>
              <w:ind w:right="101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center"/>
              <w:ind w:left="679"/>
              <w:spacing w:after="0"/>
              <w:rPr>
                <w:sz w:val="20"/>
                <w:szCs w:val="20"/>
                <w:color w:val="auto"/>
              </w:rPr>
            </w:pPr>
            <w:r>
              <w:rPr>
                <w:rFonts w:ascii="Times New Roman" w:cs="Times New Roman" w:eastAsia="Times New Roman" w:hAnsi="Times New Roman"/>
                <w:sz w:val="18"/>
                <w:szCs w:val="18"/>
                <w:color w:val="auto"/>
              </w:rPr>
              <w:t>19,016</w:t>
            </w:r>
          </w:p>
        </w:tc>
        <w:tc>
          <w:tcPr>
            <w:tcW w:w="36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26,023</w:t>
            </w:r>
          </w:p>
        </w:tc>
        <w:tc>
          <w:tcPr>
            <w:tcW w:w="8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8"/>
                <w:szCs w:val="18"/>
                <w:color w:val="auto"/>
              </w:rPr>
              <w:t>11,767</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80" w:type="dxa"/>
            <w:vAlign w:val="bottom"/>
          </w:tcPr>
          <w:p>
            <w:pPr>
              <w:spacing w:after="0"/>
              <w:rPr>
                <w:sz w:val="21"/>
                <w:szCs w:val="21"/>
                <w:color w:val="auto"/>
              </w:rPr>
            </w:pPr>
          </w:p>
        </w:tc>
      </w:tr>
      <w:tr>
        <w:trPr>
          <w:trHeight w:val="277"/>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center"/>
              <w:ind w:left="679"/>
              <w:spacing w:after="0"/>
              <w:rPr>
                <w:sz w:val="20"/>
                <w:szCs w:val="20"/>
                <w:color w:val="auto"/>
              </w:rPr>
            </w:pPr>
            <w:r>
              <w:rPr>
                <w:rFonts w:ascii="Times New Roman" w:cs="Times New Roman" w:eastAsia="Times New Roman" w:hAnsi="Times New Roman"/>
                <w:sz w:val="18"/>
                <w:szCs w:val="18"/>
                <w:color w:val="auto"/>
              </w:rPr>
              <w:t>30,783</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$1.2 million and $1.0 million for the three months ended October 31, 2023 and 2022, respectively, and was approximately $3.5 million and $2.8 million for the nine months ended October 31, 2023 and 2022, respectively. Property and equipment at October 31, 2023 and January 31, 2023 consisted of the following:</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80" w:type="dxa"/>
            <w:vAlign w:val="bottom"/>
          </w:tcPr>
          <w:p>
            <w:pPr>
              <w:spacing w:after="0"/>
              <w:rPr>
                <w:sz w:val="20"/>
                <w:szCs w:val="20"/>
                <w:color w:val="auto"/>
              </w:rPr>
            </w:pPr>
          </w:p>
        </w:tc>
      </w:tr>
      <w:tr>
        <w:trPr>
          <w:trHeight w:val="247"/>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8"/>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34,177</w:t>
            </w:r>
          </w:p>
        </w:tc>
        <w:tc>
          <w:tcPr>
            <w:tcW w:w="80" w:type="dxa"/>
            <w:vAlign w:val="bottom"/>
          </w:tcPr>
          <w:p>
            <w:pPr>
              <w:spacing w:after="0"/>
              <w:rPr>
                <w:sz w:val="19"/>
                <w:szCs w:val="19"/>
                <w:color w:val="auto"/>
              </w:rPr>
            </w:pPr>
          </w:p>
        </w:tc>
      </w:tr>
      <w:tr>
        <w:trPr>
          <w:trHeight w:val="252"/>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(25,309 )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(22,363 )</w:t>
            </w:r>
          </w:p>
        </w:tc>
      </w:tr>
      <w:tr>
        <w:trPr>
          <w:trHeight w:val="237"/>
        </w:trPr>
        <w:tc>
          <w:tcPr>
            <w:tcW w:w="4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8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-505460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October 31, 2023, approximately $8.5 million was recorded in accrued and other current liabilities and $9.8 million was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October 31, 2023 and January 31, 2023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As of October 31, 2023</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January 31, 2023</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44,340</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(12,584 )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(6,319 )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(6,204 )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(3,932 )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(2,933 )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(1,833 )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(714 )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40" w:type="dxa"/>
            <w:vAlign w:val="bottom"/>
          </w:tcPr>
          <w:p>
            <w:pPr>
              <w:spacing w:after="0"/>
              <w:rPr>
                <w:sz w:val="24"/>
                <w:szCs w:val="24"/>
                <w:color w:val="auto"/>
              </w:rPr>
            </w:pPr>
          </w:p>
        </w:tc>
        <w:tc>
          <w:tcPr>
            <w:tcW w:w="2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81,240</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(22,435 )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(12,531 )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58,497</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26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-513715</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-496570</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-513715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-496570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-513715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-496570</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-513715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-496570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-513715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-496570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nine months ended October 31, 2023, there were approximately $12.5 million of software licenses purchased and approximately $2.2 million of software licenses retired. The amortization expense associated with software licenses was approximately $3.1 million and $2.0 million for the three months ended October 31, 2023 and 2022, respectively, and was approximately $8.5 million and $5.2 million for the nine months ended October 31, 2023 and 2022, respectively. The amortization expense associated with acquisition-related intangible assets, including developed technology, customer relationships and trade name, was approximately $1.2 million and $1.2 million for the three months ended October 31, 2023 and 2022, respectively, and was approximately $3.6 million and $3.6 million for the nine months ended October 31, 2023 and 2022 respectively. As of October 31, 2023, the Company has not commenced amortization with respect to approximately $9.4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these intangible assets as of October 31, 2023 is as follows:</w:t>
      </w:r>
    </w:p>
    <w:p>
      <w:pPr>
        <w:spacing w:after="0" w:line="200" w:lineRule="exact"/>
        <w:rPr>
          <w:sz w:val="20"/>
          <w:szCs w:val="20"/>
          <w:color w:val="auto"/>
        </w:rPr>
      </w:pP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6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0" w:type="dxa"/>
            <w:vAlign w:val="bottom"/>
          </w:tcPr>
          <w:p>
            <w:pPr>
              <w:spacing w:after="0"/>
              <w:rPr>
                <w:sz w:val="1"/>
                <w:szCs w:val="1"/>
                <w:color w:val="auto"/>
              </w:rPr>
            </w:pPr>
          </w:p>
        </w:tc>
      </w:tr>
      <w:tr>
        <w:trPr>
          <w:trHeight w:val="154"/>
        </w:trPr>
        <w:tc>
          <w:tcPr>
            <w:tcW w:w="700" w:type="dxa"/>
            <w:vAlign w:val="bottom"/>
            <w:tcBorders>
              <w:bottom w:val="single" w:sz="8" w:color="auto"/>
            </w:tcBorders>
            <w:vMerge w:val="continue"/>
          </w:tcPr>
          <w:p>
            <w:pPr>
              <w:spacing w:after="0"/>
              <w:rPr>
                <w:sz w:val="12"/>
                <w:szCs w:val="12"/>
                <w:color w:val="auto"/>
              </w:rPr>
            </w:pPr>
          </w:p>
        </w:tc>
        <w:tc>
          <w:tcPr>
            <w:tcW w:w="668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2024 (3 months remaining)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6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6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6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6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3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58,805</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at least annually, in the fourth fiscal quarter, or more frequently if events or changes in circumstances indicate that they may be impaired. There were no goodwill and intangible asset impairments for the three and nine months ended October 31, 2023 and 2022,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October 31, 2023 and January 31, 2023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32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22,152</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8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80" w:type="dxa"/>
            <w:vAlign w:val="bottom"/>
          </w:tcPr>
          <w:p>
            <w:pPr>
              <w:spacing w:after="0"/>
              <w:rPr>
                <w:sz w:val="21"/>
                <w:szCs w:val="21"/>
                <w:color w:val="auto"/>
              </w:rPr>
            </w:pPr>
          </w:p>
        </w:tc>
      </w:tr>
      <w:tr>
        <w:trPr>
          <w:trHeight w:val="276"/>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56,655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The timing of SoC development and invoicing from outside foundries usually results in the fluctuation of accrued product development costs. For the accrued employee compensation, approximately $5.6 million of annual bonus was paid in the first quarter of fiscal year 2024, of which $1.1 million was paid in cash and $4.5 million was settled with restricted stock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color w:val="auto"/>
        </w:rPr>
        <w:t>The Company enters into various operating leases for its worldwide facilities. The operating lease expense was approximately $1.0 million and $1.0 million for the three months ended October 31, 2023 and 2022, respectively, and was approximately $2.8 million and $2.8 million for the nine months ended October 31, 2023 and 2022, respectively. The Company's short-term leases and finance leases were not material as of October 31, 2023 and January 31, 2023, respectively.</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87"/>
        </w:trPr>
        <w:tc>
          <w:tcPr>
            <w:tcW w:w="6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6"/>
                <w:szCs w:val="16"/>
                <w:color w:val="auto"/>
              </w:rPr>
            </w:pPr>
          </w:p>
        </w:tc>
      </w:tr>
      <w:tr>
        <w:trPr>
          <w:trHeight w:val="183"/>
        </w:trPr>
        <w:tc>
          <w:tcPr>
            <w:tcW w:w="616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4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80" w:type="dxa"/>
            <w:vAlign w:val="bottom"/>
          </w:tcPr>
          <w:p>
            <w:pPr>
              <w:spacing w:after="0"/>
              <w:rPr>
                <w:sz w:val="15"/>
                <w:szCs w:val="15"/>
                <w:color w:val="auto"/>
              </w:rPr>
            </w:pPr>
          </w:p>
        </w:tc>
      </w:tr>
      <w:tr>
        <w:trPr>
          <w:trHeight w:val="169"/>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80" w:type="dxa"/>
            <w:vAlign w:val="bottom"/>
          </w:tcPr>
          <w:p>
            <w:pPr>
              <w:spacing w:after="0"/>
              <w:rPr>
                <w:sz w:val="14"/>
                <w:szCs w:val="14"/>
                <w:color w:val="auto"/>
              </w:rPr>
            </w:pPr>
          </w:p>
        </w:tc>
      </w:tr>
      <w:tr>
        <w:trPr>
          <w:trHeight w:val="24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shd w:val="clear" w:color="auto" w:fill="CFF0FC"/>
          </w:tcPr>
          <w:p>
            <w:pPr>
              <w:spacing w:after="0"/>
              <w:rPr>
                <w:sz w:val="21"/>
                <w:szCs w:val="21"/>
                <w:color w:val="auto"/>
              </w:rPr>
            </w:pPr>
          </w:p>
        </w:tc>
      </w:tr>
      <w:tr>
        <w:trPr>
          <w:trHeight w:val="211"/>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 from</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0"/>
                <w:szCs w:val="20"/>
                <w:color w:val="auto"/>
              </w:rPr>
            </w:pPr>
          </w:p>
        </w:tc>
      </w:tr>
    </w:tbl>
    <w:p>
      <w:pPr>
        <w:spacing w:after="0" w:line="21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2023, the weighted average remaining lease term is 1.95 years, and the weighted average discount rate is 3.62 percent. Future minimum lease payments for the lease liabilities are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87"/>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480" w:type="dxa"/>
            <w:vAlign w:val="bottom"/>
            <w:vMerge w:val="restart"/>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0" w:type="dxa"/>
            <w:vAlign w:val="bottom"/>
          </w:tcPr>
          <w:p>
            <w:pPr>
              <w:spacing w:after="0"/>
              <w:rPr>
                <w:sz w:val="1"/>
                <w:szCs w:val="1"/>
                <w:color w:val="auto"/>
              </w:rPr>
            </w:pPr>
          </w:p>
        </w:tc>
      </w:tr>
      <w:tr>
        <w:trPr>
          <w:trHeight w:val="154"/>
        </w:trPr>
        <w:tc>
          <w:tcPr>
            <w:tcW w:w="70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jc w:val="center"/>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2024 (3 months remaining)</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4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4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460" w:type="dxa"/>
            <w:vAlign w:val="bottom"/>
            <w:tcBorders>
              <w:top w:val="single" w:sz="8" w:color="auto"/>
            </w:tcBorders>
            <w:shd w:val="clear" w:color="auto" w:fill="CFF0FC"/>
          </w:tcPr>
          <w:p>
            <w:pPr>
              <w:spacing w:after="0"/>
              <w:rPr>
                <w:sz w:val="20"/>
                <w:szCs w:val="20"/>
                <w:color w:val="auto"/>
              </w:rPr>
            </w:pPr>
          </w:p>
        </w:tc>
        <w:tc>
          <w:tcPr>
            <w:tcW w:w="2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interest</w:t>
            </w:r>
          </w:p>
        </w:tc>
        <w:tc>
          <w:tcPr>
            <w:tcW w:w="460" w:type="dxa"/>
            <w:vAlign w:val="bottom"/>
          </w:tcPr>
          <w:p>
            <w:pPr>
              <w:spacing w:after="0"/>
              <w:rPr>
                <w:sz w:val="22"/>
                <w:szCs w:val="22"/>
                <w:color w:val="auto"/>
              </w:rPr>
            </w:pP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77"/>
        </w:trPr>
        <w:tc>
          <w:tcPr>
            <w:tcW w:w="61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October 31, 2023 and January 31, 2023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32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8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Pr>
          <w:p>
            <w:pPr>
              <w:spacing w:after="0"/>
              <w:rPr>
                <w:sz w:val="21"/>
                <w:szCs w:val="21"/>
                <w:color w:val="auto"/>
              </w:rPr>
            </w:pPr>
          </w:p>
        </w:tc>
      </w:tr>
      <w:tr>
        <w:trPr>
          <w:trHeight w:val="276"/>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the Company’s initial public offering, or IPO, a total of 20,000,000 preference shares, with a $0.00045 par value per share, were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preference shares issued and outstanding as of October 31, 2023 and January 31, 2023, respectively.</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2023 and January 31, 2023, the following ordinary shares were reserved for future issuance under the Company’s equity plans and employee stock purchase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5"/>
        </w:trPr>
        <w:tc>
          <w:tcPr>
            <w:tcW w:w="1700" w:type="dxa"/>
            <w:vAlign w:val="bottom"/>
          </w:tcPr>
          <w:p>
            <w:pPr>
              <w:spacing w:after="0"/>
              <w:rPr>
                <w:sz w:val="17"/>
                <w:szCs w:val="17"/>
                <w:color w:val="auto"/>
              </w:rPr>
            </w:pPr>
          </w:p>
        </w:tc>
        <w:tc>
          <w:tcPr>
            <w:tcW w:w="3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16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48"/>
        </w:trPr>
        <w:tc>
          <w:tcPr>
            <w:tcW w:w="1700" w:type="dxa"/>
            <w:vAlign w:val="bottom"/>
          </w:tcPr>
          <w:p>
            <w:pPr>
              <w:spacing w:after="0"/>
              <w:rPr>
                <w:sz w:val="21"/>
                <w:szCs w:val="21"/>
                <w:color w:val="auto"/>
              </w:rPr>
            </w:pPr>
          </w:p>
        </w:tc>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4,783,996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5,822,819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2,834,384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2,986,403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57"/>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color w:val="auto"/>
        </w:rPr>
        <w:t>On May 26, 2023,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an extension of the Company's existing share repurchase program for an additional twelve months through June 30, 2024. There were no ordinary shares repurchased in the nine months ended October 31, 2023. As of October 31, 2023, there was approximately $49.0 million available for repurchases under the current repurchase program through June 30, 2024.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83"/>
        </w:trPr>
        <w:tc>
          <w:tcPr>
            <w:tcW w:w="40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69"/>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6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Pr>
          <w:p>
            <w:pPr>
              <w:spacing w:after="0"/>
              <w:rPr>
                <w:sz w:val="22"/>
                <w:szCs w:val="22"/>
                <w:color w:val="auto"/>
              </w:rPr>
            </w:pPr>
          </w:p>
        </w:tc>
      </w:tr>
      <w:tr>
        <w:trPr>
          <w:trHeight w:val="250"/>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53,775</w:t>
            </w:r>
          </w:p>
        </w:tc>
        <w:tc>
          <w:tcPr>
            <w:tcW w:w="80" w:type="dxa"/>
            <w:vAlign w:val="bottom"/>
            <w:shd w:val="clear" w:color="auto" w:fill="CFF0FC"/>
          </w:tcPr>
          <w:p>
            <w:pPr>
              <w:spacing w:after="0"/>
              <w:rPr>
                <w:sz w:val="21"/>
                <w:szCs w:val="21"/>
                <w:color w:val="auto"/>
              </w:rPr>
            </w:pPr>
          </w:p>
        </w:tc>
      </w:tr>
      <w:tr>
        <w:trPr>
          <w:trHeight w:val="25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80" w:type="dxa"/>
            <w:vAlign w:val="bottom"/>
          </w:tcPr>
          <w:p>
            <w:pPr>
              <w:spacing w:after="0"/>
              <w:rPr>
                <w:sz w:val="22"/>
                <w:szCs w:val="22"/>
                <w:color w:val="auto"/>
              </w:rPr>
            </w:pPr>
          </w:p>
        </w:tc>
      </w:tr>
      <w:tr>
        <w:trPr>
          <w:trHeight w:val="277"/>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82,796</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82,051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-25400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October 31, 2023, approximately $1.4 million of stock-based compensation expense was accrued in accrued and other current liabilities in the condensed consolidated balance sheets. Total unrecognized compensation cost related to unvested stock options at October 31, 2023 was $8.3 million and is expected to be recognized over a weighted-average period of 1.45 years. Total unrecognized compensation cost related to unvested restricted stock units at October 31, 2023 was approximately $188.0 million and is expected to be recognized over a weighted-average period of 2.56 years.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October 17, 2023, the Company entered into a separation agreement and release with Mr. Brian White, the Company’s Chief Financial Officer, associated with his retirement for his continued service through January 31, 2024 ("the separation date"). The agreement provides for acceleration of vesting of 24,559 shares of equity awards and compensation of $693,000 which is expected to be settled through the issuance of restricted stock units. As a result, the Company expects to recognize approximately $1.9 million of additional stock-based compensation expense through the separation date, of which $0.2 million has been recognized in the three months ended October 31, 2023.</w:t>
      </w:r>
    </w:p>
    <w:p>
      <w:pPr>
        <w:spacing w:after="0" w:line="18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2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8"/>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5.49 %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43"/>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-454025</wp:posOffset>
            </wp:positionV>
            <wp:extent cx="5700395"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2023</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484,791</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(65,188 )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(926 )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(1,064 )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417,613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October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358,750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October 31, 2023 was $44.99, as reported by The Nasdaq Global Select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5360" w:type="dxa"/>
            <w:vAlign w:val="bottom"/>
          </w:tcPr>
          <w:p>
            <w:pPr>
              <w:spacing w:after="0"/>
              <w:rPr>
                <w:sz w:val="16"/>
                <w:szCs w:val="16"/>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2,573,359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(969,060 )</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(128,201 )</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80" w:type="dxa"/>
            <w:vAlign w:val="bottom"/>
          </w:tcPr>
          <w:p>
            <w:pPr>
              <w:spacing w:after="0"/>
              <w:rPr>
                <w:sz w:val="21"/>
                <w:szCs w:val="21"/>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October 31,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2,666,473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8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2023, the aggregate intrinsic value of unvested restricted stock units was $120.0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periods indicated:</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60" w:type="dxa"/>
            <w:vAlign w:val="bottom"/>
          </w:tcPr>
          <w:p>
            <w:pPr>
              <w:spacing w:after="0"/>
              <w:rPr>
                <w:sz w:val="16"/>
                <w:szCs w:val="16"/>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 except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1"/>
              </w:rPr>
              <w:t>share</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(41,710 )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(19,809 )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(108,810 )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(54,281 )</w:t>
            </w: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40,053,251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38,582,584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39,710,248</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38,185,421</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40,053,251</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38,582,584</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39,710,248</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38,185,421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(1.04 )</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(0.51 )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(1.04 )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(0.51 )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-556895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-539115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-556895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-539115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-556895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-539115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-556895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-539115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-205105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-187960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-205105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-205105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6"/>
        </w:trPr>
        <w:tc>
          <w:tcPr>
            <w:tcW w:w="580" w:type="dxa"/>
            <w:vAlign w:val="bottom"/>
          </w:tcPr>
          <w:p>
            <w:pPr>
              <w:spacing w:after="0"/>
              <w:rPr>
                <w:sz w:val="20"/>
                <w:szCs w:val="20"/>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214,595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242,277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351,595</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63"/>
        </w:trPr>
        <w:tc>
          <w:tcPr>
            <w:tcW w:w="58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1,408,315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1,374,705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1,549,473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2"/>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1,733,191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1,628,631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1,911,967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6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-685165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-685165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-685165</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3"/>
        </w:trPr>
        <w:tc>
          <w:tcPr>
            <w:tcW w:w="5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(40,065 )  $</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(18,697 )  $</w:t>
            </w:r>
          </w:p>
        </w:tc>
        <w:tc>
          <w:tcPr>
            <w:tcW w:w="1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(108,923 )  $</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(49,323 )</w:t>
            </w:r>
          </w:p>
        </w:tc>
      </w:tr>
      <w:tr>
        <w:trPr>
          <w:trHeight w:val="26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22"/>
                <w:szCs w:val="22"/>
                <w:color w:val="auto"/>
              </w:rPr>
            </w:pPr>
          </w:p>
        </w:tc>
      </w:tr>
      <w:tr>
        <w:trPr>
          <w:trHeight w:val="27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4"/>
                <w:szCs w:val="24"/>
                <w:color w:val="auto"/>
              </w:rPr>
            </w:pPr>
          </w:p>
        </w:tc>
      </w:tr>
    </w:tbl>
    <w:p>
      <w:pPr>
        <w:spacing w:after="0" w:line="19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recorded an expense for income taxes of $1.6 million for the three months ended October 31, 2023 and a benefit for income taxes of $0.1 million for the nine months ended October 31, 2023, respectively. For the three and nine months ended October 31, 2022, the Company recorded an expense for income taxes of $1.1 million and $5.0 million, respectively. The increase in income tax expense for the three months ended October 31, 2023, as compared to the same period in the prior fiscal year, was primarily due to an increase in non-deductible stock-based compensation. The decrease in income tax expense for the nine months ended October 31, 2023 was primarily due to the tax benefit from the release of a $4.0 million valuation allowance on the deferred tax assets of Oculii Corp, or Oculii, partially offset by an increase in the proportion of profits generated in higher tax jurisdictions.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the realizability of its net deferred tax assets based on all available evidence, using a “more likely than not” standard. The realizability of the Company’s net deferred tax assets is dependent on its ability to generate sufficient future taxable income during periods prior to the expiration of tax attributes to fully utilize these assets. During the second quarter of fiscal year 2024, based on all available positive and negative evidence, the Company determined it was appropriate to release the valuation allowance on Oculii’s US federal deferred tax assets. The Company recognized a $3.6 million tax benefit in the first half of fiscal year 2024 as a result of the valuation allowance release. The Company recognized an additional $0.4 million tax benefit during the three months ended October 31, 2023.</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Company’s fiscal years 2020 through 2023 are generally open and subject to potential examination by U.S. federal tax authorities. The Company’s fiscal years 2019 through 2023 are generally open and subject to potential examination by state tax authorities. The Company’s fiscal years 2016 to 2023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October 31, 2023, the gross amount of unrecognized tax benefits was approximately $22.6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99" w:lineRule="exact"/>
        <w:rPr>
          <w:sz w:val="20"/>
          <w:szCs w:val="20"/>
          <w:color w:val="auto"/>
        </w:rPr>
      </w:pPr>
    </w:p>
    <w:p>
      <w:pPr>
        <w:ind w:left="520" w:right="7860" w:hanging="512"/>
        <w:spacing w:after="0" w:line="532" w:lineRule="auto"/>
        <w:tabs>
          <w:tab w:leader="none" w:pos="28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 Manufacturer Commitments</w:t>
      </w:r>
    </w:p>
    <w:p>
      <w:pPr>
        <w:spacing w:after="0" w:line="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October 31, 2023 and January 31, 2023, total manufacturing purchase commitments were approximately $26.2 million and $43.6 million, respectively. The Company also reviews and assesses the need for any expected loss liabilities on quarterly basis for all products that it does not expect to sell for which it has committed purchases from suppliers and records the liabilities in accrued and other current liabilities in the condensed consolidated balance sheets. The liabilities for these purchase commitments were immaterial as of October 31, 2023 and were approximately $2.9 million as of January 31, 2023.</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October 31, 2023, and no liabilities have been recorded for these obligations in the condensed consolidated balance sheets as of October 31, 2023 and January 31, 2023,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October 31, 2023 and January 31, 2023, there were no accruals for contingent liabilities related to such matters recorded in the condensed consolidated balance sheets.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right="300" w:firstLine="554"/>
        <w:spacing w:after="0" w:line="261" w:lineRule="auto"/>
        <w:rPr>
          <w:sz w:val="20"/>
          <w:szCs w:val="20"/>
          <w:color w:val="auto"/>
        </w:rPr>
      </w:pPr>
      <w:r>
        <w:rPr>
          <w:rFonts w:ascii="Times New Roman" w:cs="Times New Roman" w:eastAsia="Times New Roman" w:hAnsi="Times New Roman"/>
          <w:sz w:val="18"/>
          <w:szCs w:val="18"/>
          <w:color w:val="auto"/>
        </w:rPr>
        <w:t>The Company operates in one operating and reporting segment related to the development and sales of low-power,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 Certain prior quarter amounts of revenue by geographic region have been adjusted to reflect the appropriate bill-to location for the related revenue. These adjustments did not impact the total revenues in any of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1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91,295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150,595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54,724</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254,285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-676910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-676910</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-676910</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-676910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Substantially all of the Company’s property and equipment were located in the Asia Pacific region, United States and Europe. As of October 31, 2023, the net amount of these fixed assets located in these regions was approximately $5.7 million, $3.9 million and $1.3 million, respectively. As of January 31, 2023, the net amount of these fixed assets located in these regions was approximately $6.3 million, $4.0 million and $1.5 million, respectively.</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three months ended October 31, 2023, the customers representing 10% or more of revenue were WT, Hakuto and Chicony, which accounted for approximately 53.7%, 12.0% and 11.7% of total revenue, respectively. For the nine months ended October 31, 2023, the customers representing 10% or more of revenue were WT and Chicony, which accounted for approximately 52.2% and 13.9% of total revenue, respectively. For the three and nine months ended October 31, 2022, the customers representing 10% or more of revenue were WT and Chicony, which accounted for approximately 61.6% and 10.7% of total revenue for the three months ended October 31, 2022, respectively, and accounted for approximately 59.1% and 11.6% of total revenue for the nine months ended October 31, 2022, respectively. Accounts receivable with WT, Chicony and Hakuto were approximately $8.1 million, $6.0 million and $1.1 million as of October 31, 2023, respectively.</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9" w:name="page20"/>
    <w:bookmarkEnd w:id="19"/>
    <w:p>
      <w:pPr>
        <w:ind w:left="10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2023 and management’s discussion and analysis of our financial condition and results of operations included in our Annual Report on Form 10-K for the 2023 fiscal year filed with the Securities and Exchange Commission, or SEC, on March 31, 2023.</w:t>
      </w:r>
    </w:p>
    <w:p>
      <w:pPr>
        <w:spacing w:after="0" w:line="18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high-definition, or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human viewing, computer vision and radar detection functionalities. As a result, we believe that our future revenue growth, if any, will significantly depend upon our ability to expand within camera markets with our AI and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9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 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40" w:hanging="514"/>
        <w:spacing w:after="0" w:line="258"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$50.6 million and $174.9 million for the three and nine months ended October 31, 2023, respectively. This represented decreases of 39.1% and 31.2%, respectively, as compared to the same periods in the prior fiscal year. The decreases in revenue were primarily attributable to lower product unit shipments as a result of customer inventory level reduction efforts, as well as lower nonrecurring engineering (NRE) project services. The decreased revenues from lower product shipments were partially offset by continued adoption of our CV-based solutions, which have higher average selling prices than non-CV solutions.</w:t>
      </w:r>
    </w:p>
    <w:p>
      <w:pPr>
        <w:spacing w:after="0" w:line="75" w:lineRule="exact"/>
        <w:rPr>
          <w:rFonts w:ascii="Times New Roman" w:cs="Times New Roman" w:eastAsia="Times New Roman" w:hAnsi="Times New Roman"/>
          <w:sz w:val="18"/>
          <w:szCs w:val="18"/>
          <w:color w:val="auto"/>
        </w:rPr>
      </w:pPr>
    </w:p>
    <w:p>
      <w:pPr>
        <w:ind w:left="1540" w:right="60" w:hanging="514"/>
        <w:spacing w:after="0" w:line="256"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$42.0 million and $112.8 million for the three and nine months ended October 31, 2023, respectively, as compared to operating losses of $20.1 million and $50.8 million for the three and nine months ended October 31, 2022, respectively. The increased operating losses were primarily due to decreased revenue and gross profit, as well as increased operating expenses. The increased operating expenses primarily related to higher chip tape-out costs and engineering-related expenses associated with the progress, complexity and number of chips in development, as well as higher compensation expenses including severance charges associated with a workforce reduction.</w:t>
      </w:r>
    </w:p>
    <w:p>
      <w:pPr>
        <w:spacing w:after="0" w:line="79" w:lineRule="exact"/>
        <w:rPr>
          <w:rFonts w:ascii="Times New Roman" w:cs="Times New Roman" w:eastAsia="Times New Roman" w:hAnsi="Times New Roman"/>
          <w:sz w:val="18"/>
          <w:szCs w:val="18"/>
          <w:color w:val="auto"/>
        </w:rPr>
      </w:pPr>
    </w:p>
    <w:p>
      <w:pPr>
        <w:ind w:left="1540" w:right="40" w:hanging="514"/>
        <w:spacing w:after="0" w:line="258"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$23.1 million for the nine months ended October 31, 2023, as compared to $39.0 million for the nine months ended October 31, 2022. The lower cash flows from operating activities were primarily attributable to higher net loss adjusted for certain non-cash items, and a decrease in liabilities associated with the timing of payments to our suppliers, partially offset by higher collections of accounts receivable associated with the timing of sales and decreased inventory purchases due to lower demand from customers.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Uncertainty in customer demand as well as the worldwide economy, in general,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volatility in our sales and revenues, primarily owing to uncertainty around demand for semiconductor products. Some customers have indicated they are reducing their inventory levels, as some component lead times contract toward normal levels, which has reduced and may continue to reduce demand for our products. Uncertain market demand may be exacerbating these customers’ inventory reduction efforts. Supply chain issues can impact our business as they relate to both our suppliers and our customers. With respect to our suppliers, we have in the past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such customers may delay future orders of our products or hold inventory of our products for longer periods of time. We believe that our customers are making progress with their inventory reduction efforts, and we expect conditions to return to more stability in future periods.</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2" w:name="page23"/>
    <w:bookmarkEnd w:id="22"/>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9 to 18 months following a design win; however, in some markets, lengthier product and development cycles are possible, depending on the scope and nature of the project, such as in the automotive market.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$ 174,858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254,285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1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68,894</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105,964</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159,289</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52,864</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163,060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151,892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1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218,810</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210,105</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(41,965 )</w:t>
            </w:r>
          </w:p>
        </w:tc>
        <w:tc>
          <w:tcPr>
            <w:tcW w:w="16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(20,130 )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(112,846 )</w:t>
            </w:r>
          </w:p>
        </w:tc>
        <w:tc>
          <w:tcPr>
            <w:tcW w:w="14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(50,816 )</w:t>
            </w:r>
          </w:p>
        </w:tc>
        <w:tc>
          <w:tcPr>
            <w:tcW w:w="0" w:type="dxa"/>
            <w:vAlign w:val="bottom"/>
          </w:tcPr>
          <w:p>
            <w:pPr>
              <w:spacing w:after="0"/>
              <w:rPr>
                <w:sz w:val="1"/>
                <w:szCs w:val="1"/>
                <w:color w:val="auto"/>
              </w:rPr>
            </w:pPr>
          </w:p>
        </w:tc>
      </w:tr>
      <w:tr>
        <w:trPr>
          <w:trHeight w:val="245"/>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(40,065 )</w:t>
            </w:r>
          </w:p>
        </w:tc>
        <w:tc>
          <w:tcPr>
            <w:tcW w:w="16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(18,697 )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(108,923 )</w:t>
            </w:r>
          </w:p>
        </w:tc>
        <w:tc>
          <w:tcPr>
            <w:tcW w:w="14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(49,323 )</w:t>
            </w:r>
          </w:p>
        </w:tc>
        <w:tc>
          <w:tcPr>
            <w:tcW w:w="0" w:type="dxa"/>
            <w:vAlign w:val="bottom"/>
          </w:tcPr>
          <w:p>
            <w:pPr>
              <w:spacing w:after="0"/>
              <w:rPr>
                <w:sz w:val="1"/>
                <w:szCs w:val="1"/>
                <w:color w:val="auto"/>
              </w:rPr>
            </w:pPr>
          </w:p>
        </w:tc>
      </w:tr>
      <w:tr>
        <w:trPr>
          <w:trHeight w:val="245"/>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(41,710 )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(19,809 )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 (108,810 )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(54,281 )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-1516380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-1516380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-1516380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-1516380</wp:posOffset>
            </wp:positionV>
            <wp:extent cx="431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-856615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-856615</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-856615</wp:posOffset>
            </wp:positionV>
            <wp:extent cx="431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-856615</wp:posOffset>
            </wp:positionV>
            <wp:extent cx="431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-521970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-521970</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-521970</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514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431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6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40" w:type="dxa"/>
            <w:vAlign w:val="bottom"/>
          </w:tcPr>
          <w:p>
            <w:pPr>
              <w:spacing w:after="0"/>
              <w:rPr>
                <w:sz w:val="13"/>
                <w:szCs w:val="13"/>
                <w:color w:val="auto"/>
              </w:rPr>
            </w:pPr>
          </w:p>
        </w:tc>
      </w:tr>
      <w:tr>
        <w:trPr>
          <w:trHeight w:val="187"/>
        </w:trPr>
        <w:tc>
          <w:tcPr>
            <w:tcW w:w="3780" w:type="dxa"/>
            <w:vAlign w:val="bottom"/>
          </w:tcPr>
          <w:p>
            <w:pPr>
              <w:spacing w:after="0"/>
              <w:rPr>
                <w:sz w:val="16"/>
                <w:szCs w:val="16"/>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83"/>
        </w:trPr>
        <w:tc>
          <w:tcPr>
            <w:tcW w:w="3780" w:type="dxa"/>
            <w:vAlign w:val="bottom"/>
          </w:tcPr>
          <w:p>
            <w:pPr>
              <w:spacing w:after="0"/>
              <w:rPr>
                <w:sz w:val="15"/>
                <w:szCs w:val="15"/>
                <w:color w:val="auto"/>
              </w:rPr>
            </w:pPr>
          </w:p>
        </w:tc>
        <w:tc>
          <w:tcPr>
            <w:tcW w:w="8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-316865</wp:posOffset>
            </wp:positionV>
            <wp:extent cx="4989195"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0</wp:posOffset>
            </wp:positionV>
            <wp:extent cx="24688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Gross profit</w:t>
      </w:r>
    </w:p>
    <w:p>
      <w:pPr>
        <w:spacing w:after="0" w:line="6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5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6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7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r>
      <w:tr>
        <w:trPr>
          <w:trHeight w:val="51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4"/>
                <w:szCs w:val="24"/>
                <w:color w:val="auto"/>
              </w:rPr>
            </w:pPr>
          </w:p>
        </w:tc>
      </w:tr>
      <w:tr>
        <w:trPr>
          <w:trHeight w:val="263"/>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2"/>
                <w:szCs w:val="22"/>
                <w:color w:val="auto"/>
              </w:rPr>
            </w:pPr>
          </w:p>
        </w:tc>
      </w:tr>
      <w:tr>
        <w:trPr>
          <w:trHeight w:val="239"/>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20"/>
                <w:szCs w:val="20"/>
                <w:color w:val="auto"/>
              </w:rPr>
            </w:pPr>
          </w:p>
        </w:tc>
      </w:tr>
      <w:tr>
        <w:trPr>
          <w:trHeight w:val="254"/>
        </w:trPr>
        <w:tc>
          <w:tcPr>
            <w:tcW w:w="10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(83 )</w:t>
            </w:r>
          </w:p>
        </w:tc>
        <w:tc>
          <w:tcPr>
            <w:tcW w:w="320" w:type="dxa"/>
            <w:vAlign w:val="bottom"/>
          </w:tcPr>
          <w:p>
            <w:pPr>
              <w:spacing w:after="0"/>
              <w:rPr>
                <w:sz w:val="22"/>
                <w:szCs w:val="22"/>
                <w:color w:val="auto"/>
              </w:rPr>
            </w:pPr>
          </w:p>
        </w:tc>
        <w:tc>
          <w:tcPr>
            <w:tcW w:w="70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(25 )</w:t>
            </w:r>
          </w:p>
        </w:tc>
        <w:tc>
          <w:tcPr>
            <w:tcW w:w="320" w:type="dxa"/>
            <w:vAlign w:val="bottom"/>
          </w:tcPr>
          <w:p>
            <w:pPr>
              <w:spacing w:after="0"/>
              <w:rPr>
                <w:sz w:val="22"/>
                <w:szCs w:val="22"/>
                <w:color w:val="auto"/>
              </w:rPr>
            </w:pPr>
          </w:p>
        </w:tc>
        <w:tc>
          <w:tcPr>
            <w:tcW w:w="7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(64 )</w:t>
            </w:r>
          </w:p>
        </w:tc>
        <w:tc>
          <w:tcPr>
            <w:tcW w:w="300" w:type="dxa"/>
            <w:vAlign w:val="bottom"/>
          </w:tcPr>
          <w:p>
            <w:pPr>
              <w:spacing w:after="0"/>
              <w:rPr>
                <w:sz w:val="22"/>
                <w:szCs w:val="22"/>
                <w:color w:val="auto"/>
              </w:rPr>
            </w:pPr>
          </w:p>
        </w:tc>
        <w:tc>
          <w:tcPr>
            <w:tcW w:w="74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(20 )</w:t>
            </w:r>
          </w:p>
        </w:tc>
      </w:tr>
      <w:tr>
        <w:trPr>
          <w:trHeight w:val="250"/>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r>
      <w:tr>
        <w:trPr>
          <w:trHeight w:val="257"/>
        </w:trPr>
        <w:tc>
          <w:tcPr>
            <w:tcW w:w="10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(79 )</w:t>
            </w:r>
          </w:p>
        </w:tc>
        <w:tc>
          <w:tcPr>
            <w:tcW w:w="320" w:type="dxa"/>
            <w:vAlign w:val="bottom"/>
          </w:tcPr>
          <w:p>
            <w:pPr>
              <w:spacing w:after="0"/>
              <w:rPr>
                <w:sz w:val="22"/>
                <w:szCs w:val="22"/>
                <w:color w:val="auto"/>
              </w:rPr>
            </w:pPr>
          </w:p>
        </w:tc>
        <w:tc>
          <w:tcPr>
            <w:tcW w:w="70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(23 )</w:t>
            </w:r>
          </w:p>
        </w:tc>
        <w:tc>
          <w:tcPr>
            <w:tcW w:w="320" w:type="dxa"/>
            <w:vAlign w:val="bottom"/>
          </w:tcPr>
          <w:p>
            <w:pPr>
              <w:spacing w:after="0"/>
              <w:rPr>
                <w:sz w:val="22"/>
                <w:szCs w:val="22"/>
                <w:color w:val="auto"/>
              </w:rPr>
            </w:pPr>
          </w:p>
        </w:tc>
        <w:tc>
          <w:tcPr>
            <w:tcW w:w="7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(62 )</w:t>
            </w:r>
          </w:p>
        </w:tc>
        <w:tc>
          <w:tcPr>
            <w:tcW w:w="300" w:type="dxa"/>
            <w:vAlign w:val="bottom"/>
          </w:tcPr>
          <w:p>
            <w:pPr>
              <w:spacing w:after="0"/>
              <w:rPr>
                <w:sz w:val="22"/>
                <w:szCs w:val="22"/>
                <w:color w:val="auto"/>
              </w:rPr>
            </w:pPr>
          </w:p>
        </w:tc>
        <w:tc>
          <w:tcPr>
            <w:tcW w:w="74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(19 )</w:t>
            </w:r>
          </w:p>
        </w:tc>
      </w:tr>
      <w:tr>
        <w:trPr>
          <w:trHeight w:val="250"/>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r>
      <w:tr>
        <w:trPr>
          <w:trHeight w:val="24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8"/>
                <w:szCs w:val="28"/>
                <w:color w:val="auto"/>
                <w:w w:val="97"/>
                <w:vertAlign w:val="superscript"/>
              </w:rPr>
              <w:t>)</w:t>
            </w:r>
            <w:r>
              <w:rPr>
                <w:rFonts w:ascii="Times New Roman" w:cs="Times New Roman" w:eastAsia="Times New Roman" w:hAnsi="Times New Roman"/>
                <w:sz w:val="15"/>
                <w:szCs w:val="15"/>
                <w:color w:val="auto"/>
                <w:w w:val="97"/>
              </w:rPr>
              <w:t xml:space="preserve">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8"/>
                <w:szCs w:val="28"/>
                <w:color w:val="auto"/>
                <w:w w:val="97"/>
                <w:vertAlign w:val="superscript"/>
              </w:rPr>
              <w:t>)</w:t>
            </w:r>
            <w:r>
              <w:rPr>
                <w:rFonts w:ascii="Times New Roman" w:cs="Times New Roman" w:eastAsia="Times New Roman" w:hAnsi="Times New Roman"/>
                <w:sz w:val="15"/>
                <w:szCs w:val="15"/>
                <w:color w:val="auto"/>
                <w:w w:val="97"/>
              </w:rPr>
              <w:t xml:space="preserve">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8"/>
                <w:szCs w:val="28"/>
                <w:color w:val="auto"/>
                <w:w w:val="97"/>
                <w:vertAlign w:val="superscript"/>
              </w:rPr>
              <w:t>)</w:t>
            </w:r>
            <w:r>
              <w:rPr>
                <w:rFonts w:ascii="Times New Roman" w:cs="Times New Roman" w:eastAsia="Times New Roman" w:hAnsi="Times New Roman"/>
                <w:sz w:val="15"/>
                <w:szCs w:val="15"/>
                <w:color w:val="auto"/>
                <w:w w:val="97"/>
              </w:rPr>
              <w:t xml:space="preserve">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-1662430</wp:posOffset>
            </wp:positionV>
            <wp:extent cx="4989195"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-1336675</wp:posOffset>
            </wp:positionV>
            <wp:extent cx="4989195"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-1010920</wp:posOffset>
            </wp:positionV>
            <wp:extent cx="4989195"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-676275</wp:posOffset>
            </wp:positionV>
            <wp:extent cx="4989195" cy="162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989195" cy="16256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-342265</wp:posOffset>
            </wp:positionV>
            <wp:extent cx="4989195" cy="162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720"/>
          </w:cols>
          <w:pgMar w:left="320" w:top="335" w:right="37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type w:val="continuous"/>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HD and Ultra HD video and image processing SoC solutions to IoT OEMs, IoT ODMs, automotive OEMs or Tier-1 automotive suppliers, either directly or through our distributors. In recent years, our SoC solutions have been primarily used in IoT camera markets, such as IP security, automotive video recorder, drone and wearable cameras. Although we expect these human viewing camera markets to continue to generate revenue for the foreseeable future, we have recently introduced new SoCs targeting emerging AI and computer vision applications in the IoT, automotive, industrial and robotics markets. For the nine months ended October 31, 2023, we derived a substantial portion of our revenue from sales made indirectly through one of our distributors, WT Microelectronics Co., Ltd., formerly Wintech Microelectronics Co., Ltd., or WT, which serves as our non-exclusive sales representative and fulfillment partner in Asia other than Japan, and to one ODM, Chicony Electronics Co., Ltd., or Chicony, which manufactures devices incorporating our solutions on behalf of multiple end-customers.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CV-based solutions generally have higher selling prices than our traditional video and image processing SoC solutions that do not enable CV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realized gains and losses from equity and debt security investments, subsidies granted by foreign governments, as well as gains and losses from foreign currency transactions and remeasurements.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8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8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9" w:lineRule="exact"/>
        <w:rPr>
          <w:sz w:val="20"/>
          <w:szCs w:val="20"/>
          <w:color w:val="auto"/>
        </w:rPr>
      </w:pPr>
    </w:p>
    <w:p>
      <w:pPr>
        <w:ind w:right="160" w:firstLine="478"/>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October 31, 2023 and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2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2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8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980" w:type="dxa"/>
            <w:vAlign w:val="bottom"/>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50,595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(32,501 )</w:t>
            </w:r>
          </w:p>
        </w:tc>
        <w:tc>
          <w:tcPr>
            <w:tcW w:w="34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(39.1 )%$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$ 254,285</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(79,427 )</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Revenue decreased for the three and nine months ended October 31, 2023, as compared to the same periods in the prior fiscal year, primarily due to lower product unit shipments as a result of customer inventory level reduction efforts, as well as lower NRE project services. The decreased revenues from lower product shipments were partially offset by continued adoption of our CV-based solutions, which have higher average selling prices than non-CV solutions.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10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1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20,612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(10,806 )</w:t>
            </w:r>
          </w:p>
        </w:tc>
        <w:tc>
          <w:tcPr>
            <w:tcW w:w="30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(34.4 )%$  68,894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94,996</w:t>
            </w: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(26,102 )</w:t>
            </w:r>
          </w:p>
        </w:tc>
        <w:tc>
          <w:tcPr>
            <w:tcW w:w="3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65"/>
        </w:trPr>
        <w:tc>
          <w:tcPr>
            <w:tcW w:w="2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22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(21,695 )</w:t>
            </w:r>
          </w:p>
        </w:tc>
        <w:tc>
          <w:tcPr>
            <w:tcW w:w="300" w:type="dxa"/>
            <w:vAlign w:val="bottom"/>
          </w:tcPr>
          <w:p>
            <w:pPr>
              <w:spacing w:after="0"/>
              <w:rPr>
                <w:sz w:val="23"/>
                <w:szCs w:val="23"/>
                <w:color w:val="auto"/>
              </w:rPr>
            </w:pPr>
          </w:p>
        </w:tc>
        <w:tc>
          <w:tcPr>
            <w:tcW w:w="9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(42.0 )%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159,289</w:t>
            </w:r>
          </w:p>
        </w:tc>
        <w:tc>
          <w:tcPr>
            <w:tcW w:w="18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(53,325 )</w:t>
            </w:r>
          </w:p>
        </w:tc>
        <w:tc>
          <w:tcPr>
            <w:tcW w:w="360" w:type="dxa"/>
            <w:vAlign w:val="bottom"/>
          </w:tcPr>
          <w:p>
            <w:pPr>
              <w:spacing w:after="0"/>
              <w:rPr>
                <w:sz w:val="23"/>
                <w:szCs w:val="23"/>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43"/>
        </w:trPr>
        <w:tc>
          <w:tcPr>
            <w:tcW w:w="2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59.3 %</w:t>
            </w: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62.2 %</w:t>
            </w: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(2.9 )%</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60.6 %</w:t>
            </w:r>
          </w:p>
        </w:tc>
        <w:tc>
          <w:tcPr>
            <w:tcW w:w="1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62.6 %</w:t>
            </w: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661"/>
        </w:trPr>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-976630</wp:posOffset>
            </wp:positionV>
            <wp:extent cx="641223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Cost of revenue decreased for the three and nine months ended October 31, 2023, as compared to the same periods in the prior fiscal year, primarily due to lower product unit shipments associated with lower revenue and reversals of adverse purchase commitments recognized in prior periods as a result of favorable changes in contract terms and business alternatives. The decreases were partially offset by increased assembly costs and higher amortization of intangible assets. For the nine months ended October 31, 2023, the decrease in cost of revenue was also partially offset by higher inventory reserves on excess inventory due to lower demand outlook.</w:t>
      </w:r>
    </w:p>
    <w:p>
      <w:pPr>
        <w:spacing w:after="0" w:line="18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Gross margin decreased for the three and nine months ended October 31, 2023, as compared to the same periods in the prior fiscal year, primarily due to unfavorable product mix and lower NRE project services, as well as higher indirect costs associated with assembly cost and amortization of intangible assets, partially offset by reversals of adverse purchase commitments recognized in prior periods and sales of inventory that were previously reserved. For the nine months ended October 31, 2023, the gross margin was also negatively impacted by higher inventory reserves.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53,702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52,864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$ 151,892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11,168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291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19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for the three and nine months ended October 31, 2023, as compared to the same periods in the prior fiscal year, primarily due to approximately $1.2 million and $7.7 million, respectively, of additional SoC development cost and engineering-related expenses associated with the complexity, progress and number of chips in development. The increases were also attributable to approximately $0.7 million of severance charges associated with a workforce reduction in the third quarter of fiscal year 2024. Personnel costs, including stock-based compensation, employee benefits and incentive bonus, decreased by approximately $1.1 million for the three months ended October 31, 2023 as a result of lower headcount while increased by approximately $2.7 million for the nine months ended October 31, 2023.</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18,246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18,944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(698 )</w:t>
            </w:r>
          </w:p>
        </w:tc>
        <w:tc>
          <w:tcPr>
            <w:tcW w:w="300" w:type="dxa"/>
            <w:vAlign w:val="bottom"/>
          </w:tcPr>
          <w:p>
            <w:pPr>
              <w:spacing w:after="0"/>
              <w:rPr>
                <w:sz w:val="20"/>
                <w:szCs w:val="20"/>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58,213</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(2,463 )</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291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decreased for the three and nine months ended October 31, 2023, as compared to the same periods in the prior fiscal year, primarily due to approximately $0.4 million and $1.0 million, respectively, of lower traveling, sales support and facility-related expenses. The decreases were also attributable to approximately $0.5 million lower personnel costs for the three months ended October 31, 2023 as a result of lower headcount and approximately $1.7 million of lower stock-based compensation for the nine months ended October 31, 2023 associated with an acceleration of certain equity awards in the first quarter of fiscal year 2023 that did not recur in fiscal year 2024. The decreases were partially offset by approximately $0.1 million of severance charges associated with a workforce reduction in the third quarter of fiscal year 2024.</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32.6 %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162.8 %</w:t>
            </w:r>
          </w:p>
        </w:tc>
        <w:tc>
          <w:tcPr>
            <w:tcW w:w="0" w:type="dxa"/>
            <w:vAlign w:val="bottom"/>
          </w:tcPr>
          <w:p>
            <w:pPr>
              <w:spacing w:after="0"/>
              <w:rPr>
                <w:sz w:val="1"/>
                <w:szCs w:val="1"/>
                <w:color w:val="auto"/>
              </w:rPr>
            </w:pPr>
          </w:p>
        </w:tc>
      </w:tr>
      <w:tr>
        <w:trPr>
          <w:trHeight w:val="657"/>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increases in other income, net, for the three and nine months ended October 31, 2023, as compared to the same periods in the prior fiscal year, were primarily due to $1.4 million and $4.5 million, respectively, of additional yields and interest income from our debt security investments and cash deposits. The increases were partially offset by an approximately $0.7 million of lower other income associated with lower subsidies from a foreign government and increased interest expenses associated with software license purchases, as well as $0.3 million of net losses from foreign currency remeasurements. For the nine months ended October 31, 2023, the increase was also negatively impacted by an approximately $1.2 million impairment recognized in the second quarter of fiscal year 2024 relating to an equity investment.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3"/>
                <w:szCs w:val="13"/>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12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7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4"/>
                <w:szCs w:val="14"/>
                <w:color w:val="auto"/>
              </w:rPr>
            </w:pPr>
          </w:p>
        </w:tc>
        <w:tc>
          <w:tcPr>
            <w:tcW w:w="740" w:type="dxa"/>
            <w:vAlign w:val="bottom"/>
            <w:tcBorders>
              <w:top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1,645</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52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(5,071 )</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(102.3 ) %</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tcPr>
          <w:p>
            <w:pPr>
              <w:ind w:left="60"/>
              <w:spacing w:after="0" w:line="234" w:lineRule="exact"/>
              <w:rPr>
                <w:sz w:val="20"/>
                <w:szCs w:val="20"/>
                <w:color w:val="auto"/>
              </w:rPr>
            </w:pPr>
            <w:r>
              <w:rPr>
                <w:rFonts w:ascii="Calibri" w:cs="Calibri" w:eastAsia="Calibri" w:hAnsi="Calibri"/>
                <w:sz w:val="20"/>
                <w:szCs w:val="20"/>
                <w:color w:val="auto"/>
              </w:rPr>
              <w:t>%</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10.2  </w:t>
            </w:r>
            <w:r>
              <w:rPr>
                <w:rFonts w:ascii="Calibri" w:cs="Calibri" w:eastAsia="Calibri" w:hAnsi="Calibri"/>
                <w:sz w:val="19"/>
                <w:szCs w:val="19"/>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increase in income tax expense for the three months ended October 31, 2023, as compared to the same period in the prior fiscal year, was primarily due to an increase in non-deductible stock-based compensation. The decrease in income tax expense for the nine months ended October 31, 2023 was primarily due to the tax benefit from the release of a $4.0 million valuation allowance on the deferred tax assets of Oculii Corp, or Oculii, partially offset by an increase in the proportion of profits generated in higher tax jurisdictions.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October 31, 2023 and January 31, 2023, we had cash, cash equivalents and marketable debt securities of approximately $222.3 million and $206.9 million, respectively. We invest in highly-liquid, short-term marketable debt securities and hold these investments as available-for-sale securities. As of October 31, 2023, these securities had a fair value of approximately $103.8 million with unrealized losses of approximately $1.2 million caused by market fluctuations. For the three and nine months ended October 31, 2023, there was approximately $1.3 million and $3.5 million, respectively, of interest and other income related to the debt security investments recorded in other income, net in the condensed consolidated statements of operations. The current inflationary environment in the United States and resulting high interest rates have not had a material impact on our investment portfolio and financial position.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9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23,056</w:t>
            </w:r>
          </w:p>
        </w:tc>
        <w:tc>
          <w:tcPr>
            <w:tcW w:w="6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(99,159 )</w:t>
            </w:r>
          </w:p>
        </w:tc>
        <w:tc>
          <w:tcPr>
            <w:tcW w:w="0" w:type="dxa"/>
            <w:vAlign w:val="bottom"/>
          </w:tcPr>
          <w:p>
            <w:pPr>
              <w:spacing w:after="0"/>
              <w:rPr>
                <w:sz w:val="1"/>
                <w:szCs w:val="1"/>
                <w:color w:val="auto"/>
              </w:rPr>
            </w:pPr>
          </w:p>
        </w:tc>
      </w:tr>
      <w:tr>
        <w:trPr>
          <w:trHeight w:val="247"/>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820" w:type="dxa"/>
            <w:vAlign w:val="bottom"/>
            <w:vMerge w:val="restart"/>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30,245</w:t>
            </w: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(58,209 )</w:t>
            </w: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-299085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-299085</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for the nine months ended October 31, 2023, as compared to the same period in the prior fiscal year, primarily attributable to higher net loss adjusted for certain non-cash items, and a decrease in liabilities associated with the timing of payments to our suppliers, partially offset by higher collections of accounts receivable associated with the timing of sales and decreased inventory purchases due to lower demand from customers.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decreased for the nine months ended October 31, 2023, as compared to the same period in the prior fiscal year, primarily attributable to approximately $53.2 million of less cash outflow for debt securities due to the timing of investment, $48.8 million of cash receipts from maturities and sales of our debt security investments, as well as $3.0 million less in payments for purchase of property, equipment and licenses, partially offset by a $0.7 million claim from an acquisition escrow account in fiscal year 2023 that did not recur in fiscal year 2024.</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for the nine months ended October 31, 2023, as compared to the same period in the prior fiscal year, primarily due to approximately $0.1 million less in payments for the purchase of licenses.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 ordinary shares were repurchased during the three and nine months ended October 31, 2023. On May 26, 2023, our Board of Directors approved an extension of the existing share repurchase program for an additional twelve months through June 30, 2024. The repurchase program does not obligate us to acquire any particular amount of ordinary shares, and it may be suspended at any time at our discretion. As of October 31, 2023, there was approximately $49.0 million remaining available for repurchases under the repurchase program through June 30, 2024.</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October 31, 2023, we had cash, cash equivalents and marketable debt securities on hand of approximately $222.3 million. We believe that our existing cash balances will be sufficient to meet our anticipated cash requirements through at least the next 12 months. In the future, we expect our operating and capital expenditures to increase as we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short-term and long-term capital requirements will depend on many factors, including the following:</w:t>
      </w:r>
    </w:p>
    <w:p>
      <w:pPr>
        <w:spacing w:after="0" w:line="117" w:lineRule="exact"/>
        <w:rPr>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540" w:right="320" w:hanging="514"/>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macroeconomic conditions, high inflation and trade restrictions, the impact of COVID-19, as well as effects of the measures implemented to control the spread of the virus;</w:t>
      </w:r>
    </w:p>
    <w:p>
      <w:pPr>
        <w:spacing w:after="0" w:line="53" w:lineRule="exact"/>
        <w:rPr>
          <w:rFonts w:ascii="Times New Roman" w:cs="Times New Roman" w:eastAsia="Times New Roman" w:hAnsi="Times New Roman"/>
          <w:sz w:val="18"/>
          <w:szCs w:val="18"/>
          <w:color w:val="auto"/>
        </w:rPr>
      </w:pPr>
    </w:p>
    <w:p>
      <w:pPr>
        <w:ind w:left="1540" w:right="320" w:hanging="514"/>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2023, we had purchase obligations with our independent contract manufacturers of $26.2 million.</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28" w:name="page29"/>
    <w:bookmarkEnd w:id="28"/>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October 31, 2023, we entered into several noncancelable on-premise internal-use software license agreements for product design. As of October 31, 2023, the total estimated future undiscounted cash payments for these licenses were approximately $7.5 million, of which $2.9 million will be paid within 12 months and the remaining $4.6 million will be paid within 12 to 36 months.</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other material changes in our contractual obligations, commitments and contingencies from those disclosed in our Annual Report on Form 10-K for the fiscal year ended January 31, 2023. Please see Item 7, “Management’s Discussion and Analysis of Financial Condition and Results of Operations – Contractual Obligations, Commitments and Contingencies” in our Annual Report on Form 10-K for the fiscal year ended January 31, 2023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2023,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2023 fiscal year filed with the SEC on March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60" w:firstLine="509"/>
        <w:spacing w:after="0" w:line="277" w:lineRule="auto"/>
        <w:rPr>
          <w:sz w:val="20"/>
          <w:szCs w:val="20"/>
          <w:color w:val="auto"/>
        </w:rPr>
      </w:pPr>
      <w:r>
        <w:rPr>
          <w:rFonts w:ascii="Times New Roman" w:cs="Times New Roman" w:eastAsia="Times New Roman" w:hAnsi="Times New Roman"/>
          <w:sz w:val="17"/>
          <w:szCs w:val="17"/>
          <w:color w:val="auto"/>
        </w:rPr>
        <w:t>As of October 31, 2023 and January 31, 2023, we had cash, cash equivalents and marketable debt securities totaling $222.3 million and $206.9 million, respectively. Our cash is deposited in checking accounts with reputable financial institutions in excess of the Federal Deposit Insurance Corporation, or FDIC, insurance coverage limit of $250,000 per depositor, per FDIC-insured bank, per ownership category. The cash equivalents and marketable debt securities consist primarily of investments in money market funds, commercial paper, corporate bonds, asset-backed securities and U.S. government securities. Our cash is held primarily for working capital purposes. We do not enter into investments for trading or speculative purposes.</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primary objective of our investment activities is to preserve capital, provide liquidity and maximize income without significantly increasing risk. Some of the securities we invest in are subject to market risk. This means that a change in prevailing interest rates may have an impact on </w:t>
      </w:r>
      <w:r>
        <w:rPr>
          <w:rFonts w:ascii="Times New Roman" w:cs="Times New Roman" w:eastAsia="Times New Roman" w:hAnsi="Times New Roman"/>
          <w:sz w:val="18"/>
          <w:szCs w:val="18"/>
          <w:color w:val="212529"/>
        </w:rPr>
        <w:t>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income and the fair market value of those securities</w:t>
      </w:r>
      <w:r>
        <w:rPr>
          <w:rFonts w:ascii="Times New Roman" w:cs="Times New Roman" w:eastAsia="Times New Roman" w:hAnsi="Times New Roman"/>
          <w:sz w:val="18"/>
          <w:szCs w:val="18"/>
          <w:color w:val="000000"/>
        </w:rPr>
        <w:t>. To minimize this risk, we maintain our portfolio in a variety of debt securities with high liquidity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low credit risk. The current inflationary environment in the United States and resulting high interest rates have generated high interest income and have not had a material negative impact on our investment portfolio and financial position to date. We do not enter into investments for trading or speculative purposes. As of October 31, 2023, a hypothetical 10% change in interest rates would not have a material impact on our interest income or investment fair value. The liquidity risk and the risk associated with fluctuating interest rates are limited to our investment portfolio.</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October 31, 2023, our disclosure controls and procedures were effective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October 31, 2023 that have materially affected, or are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Refer to Note 13, Commitments and Contingencies, to the condensed consolidated financial statements included in Part I, Item 1 of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6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global semiconductor supply shortages and weak economic conditions could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30" w:name="page31"/>
    <w:bookmarkEnd w:id="30"/>
    <w:p>
      <w:pPr>
        <w:ind w:left="503" w:right="5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political, social and economic conditions in Hong Kong.</w:t>
      </w:r>
    </w:p>
    <w:p>
      <w:pPr>
        <w:spacing w:after="0" w:line="117"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our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 inflation and trade restrictions, recessionary concerns and trade restrictions, may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503" w:right="40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53"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5" w:right="339" w:bottom="1440" w:gutter="0" w:footer="0" w:header="0"/>
        </w:sectPr>
      </w:pPr>
    </w:p>
    <w:bookmarkStart w:id="31" w:name="page32"/>
    <w:bookmarkEnd w:id="31"/>
    <w:p>
      <w:pPr>
        <w:jc w:val="both"/>
        <w:ind w:left="503" w:right="340" w:hanging="503"/>
        <w:spacing w:after="0" w:line="312" w:lineRule="auto"/>
        <w:tabs>
          <w:tab w:leader="none" w:pos="50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we may make in the future could disrupt our business, cause dilution to our shareholders, reduce our financial resources and harm our business.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vendors, service providers and contractors in the operation of our business.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53"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adversely affected our business and could materially and adversely affect our business in the future.</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Impacts of the global semiconductor supply shortage and uncertain macroeconomic conditions could adversely affect our business, financial condition, and results of operations.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While we work closely with our suppliers and customers to minimize the potential adverse impacts of these considerations of supply shortage and longer lead times, we have experienced increased volatility in our business. In recent periods, some customers have indicated they are reducing their inventory levels as lead times for semiconductor chips and other components used by customers begin to shrink, which has reduced, and may continue to reduce, such customers’ demand for our products and harm our financial results. Weak economic conditions or uncertain demand for their products may exacerbate such customers’ inventory reduction efforts, further impacting such customers’ demand for our products. To the extent customers face supply chain issues with respect to other components needed to pair with our products in order to produce their end products, such customers may delay future orders of our products or hold inventory of our products for longer periods of time. With respect to our suppliers, we have in the past experienced supply constraints for certain chips from Samsung and we may in the future experience similar issues. Impacts of the global supply shortages and uncertainty in customer demand and the worldwide economy in general may be exacerbated by the impacts of high inflation and global banking concerns, and we may experience increased volatility in sales and revenues as a result.</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between the United States and China and potential new export restrictions may make it more difficult to secure future design wins with China customers.</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including the automotive OEM and ADAS market, our revenue and financial condition could be harmed.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3" w:name="page34"/>
    <w:bookmarkEnd w:id="33"/>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believe that our future revenue growth, if any, significantly depends on our ability to expand within the Internet of Things, or IoT, camera markets with our new artificial intelligence, or AI, computer vision SoC solutions, and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3"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also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has recently experienced significant shortages of manufacturing capacity, which resulted in a lengthening of the manufacturing lead time for our products and which has at times harmed our revenue. While this capacity shortage has improved, lead times for our products remain longer than normal, which could negatively impact our ability to meet our customer’s demand for our products and have an adverse impact on our revenue, results of operations and customer relationships.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our customers having excess inventory. In recent periods, some customers have indicated they are reducing their inventory levels as lead times for semiconductor chips and other components used by customers shrink, which may reduce such customers’ demand for our products in future periods and harm our financial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in addition to the impact of the COVID-19 pandemic. The Bureau of Industry and Security, or BIS, has imposed restrictions on exports and reexports of U.S.-controlled items to Hong Kong by imposing on Hong Kong the same stringent licensing requirements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8"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computer vision technology in automotive or IP security camera applications could slow the demand for our new solutions. If our key target markets do not grow, grow slower, or do not develop in ways that we currently expect, demand for our SoCs may not materialize as expected, and our business and operating results could suffer.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our business and could materially and adversely affect our business in the future.</w:t>
      </w:r>
    </w:p>
    <w:p>
      <w:pPr>
        <w:spacing w:after="0" w:line="22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Our business has been, and may in the future be, adversely impacted by the effects of the COVID-19 pandemic. In addition to global macroeconomic effects, the COVID-19 pandemic and related adverse public health developments caused, and may again cause, disruption to our operations. We have had to impose remote or work from home conditions at different times for varying periods of time in most of our offices. Approximately 340 of our employees are located in Taiwan and approximately 225 employees are located in China, and lengthy closures of these offices could significantly disrupt our software engineering and customer support operations. In addition, we and our suppliers, third-party distributors and customers have been, and may in the future again be, disrupted by quarantines and restrictions on certain employees’ ability to perform their jobs, office closures or restrictions, disruptions to shipping infrastructure, or other travel or health-related restrictions. Moreover, if there is a significant COVID-19 outbreak that impacts Samsung’s ability to manufacture our SoCs or our third-party contractors’ ability to assemble, test and ship our products, we could experience delays or reductions in our ability to ship products to our customers.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Since fiscal year 2023, we have experienced, and we expect to continue to experience, a significant disruption of orders by customers. During the first half of fiscal year 2023, we experienced a significant increase in the manufacturing lead time for our products, including supply constraints for certain chips from Samsung Electronics Corporation (Samsung), which disrupted the normal ordering patterns of our customers and harmed our revenue, but which may have in turn led to increased customer demand for our products in order to increase their inventory levels. In recent periods, some customers have sought to reduce their inventory levels as lead times for semiconductor chips and other components used by customers shrink, which has reduced, and may continue to reduce, such customers’ demand for our products in future periods. Weak or uncertain economic conditions, including high inflation or reduced market demand, may exacerbate these risks. In addition, decreased consumer demand from the impact of pandemic lockdowns in China contributed to, and could in the future contribute to, decreased revenue in consumer-related markets.</w:t>
      </w:r>
    </w:p>
    <w:p>
      <w:pPr>
        <w:spacing w:after="0" w:line="188"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5" w:name="page36"/>
    <w:bookmarkEnd w:id="35"/>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In recent periods, some customers have indicated they are reducing their inventory levels of our products, which may reduce such customers’ demand for our products in future quarters.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2023, the customers representing 10% or more of our revenue were WT Microelectronics Co., Ltd., or WT, which serves as our non-exclusive sales representative and fulfillment partner in Asia other than Japan, and Chicony Electronics Co., Ltd., or Chicony, one ODM which manufactures devices incorporating our solutions on behalf of multiple end-customers, accounted for approximately 57% and 12% of total revenue, respectively. For the nine months ended October 31, 2023, the customers representing 10% or more of revenue were WT and Chicony, which accounts for approximately 52% and 14% of total revenue, respectively. In addition, we believe that revenue from our top 10 end customers, either directly or through a distributor or an ODM, accounted for approximately 47% of our total revenue in fiscal year 2023 and accounted for approximately 54% of our total revenue for the nine months ended October 31, 2023.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92"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8" w:name="page39"/>
    <w:bookmarkEnd w:id="38"/>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increasingly difficult to successfully defend against or implement adequate preventive measures, and we may face difficulties or delays in identifying and otherwise responding to any security breach or incident. Moreover, remote work by our personnel and remote access to our systems have increased significantly, which also increases our cybersecurity risk profile. We expect to incur significant costs in an effort to detect and prevent security breaches and incidents, and we may face increased costs and requirements to expend substantial resources in the event of an actual or perceived security breach or incident. Our policies and security measures cannot guarantee security, and our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Experienced computer programmers and hackers may be able to penetrate our security controls and misappropriate or compromise our confidential information or that of third parties or create system disruptions. Computer programmers and hackers also may be able to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incidents, and attacks compromising or otherwise impacting their products, and their products may contain security vulnerabilities, each of which could impact our systems. Data security breaches and incidents may also result from non-technical means, including, for example, intentional malfeasance or negligence by an employee or contractor. Any data security breach or incident or theft, misuse, loss, unavailability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 penalties, damages, and other liabilities, any of which could have a material adverse effect on our business, financial condition, our reputation, and our relationships with our customers and partners. We may also encounter errors resulting in corruption or loss of data, an inability to accurately process or record transactions, and security or technical reliability issues. All of these could harm our ability to conduct core operating functions such as product development, customer support, processing purchase orders and invoices, product distribution, recording and reporting financial and management information on a timely and accurate basis, and could impact our internal control compliance efforts. Due to political uncertainty and military actions associated with the ongoing hostility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20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third-party service providers also are subject to similar, and in certain cases greater, security threats. Any unauthorized access by third parties to the systems of our cloud-based service providers, any other security breaches or incidents impacting such systems, or the existence of computer viruses, ransomware or other malicious code in their data or software could expose us to a risk of loss, misappropriation, unavailability and other unauthorized processing of information.</w:t>
      </w:r>
    </w:p>
    <w:p>
      <w:pPr>
        <w:spacing w:after="0" w:line="187" w:lineRule="exact"/>
        <w:rPr>
          <w:sz w:val="20"/>
          <w:szCs w:val="20"/>
          <w:color w:val="auto"/>
        </w:rPr>
      </w:pPr>
    </w:p>
    <w:p>
      <w:pPr>
        <w:ind w:right="26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$204.9 million, $167.3 million and $140.8 million in fiscal years 2023, 2022 and 2021, respectively. For the nine months ended October 31, 2023, our research and development expense was $163.1 million.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8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72" w:lineRule="exact"/>
        <w:rPr>
          <w:sz w:val="20"/>
          <w:szCs w:val="20"/>
          <w:color w:val="auto"/>
        </w:rPr>
      </w:pPr>
    </w:p>
    <w:p>
      <w:pPr>
        <w:ind w:left="1020" w:right="3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For the fiscal year ended January 31, 2023, the customers representing 10% or more of revenue were WT and Chicony, which accounted for approximately 57% and 12% of total revenue, respectively. For the nine months ended October 31, 2023, the customers representing 10% or more of revenue were WT and Chicony, which accounts for approximately 52% and 14% of total revenue, respectively. As of October 31, 2023, accounts receivable with WT and Chicony were approximately $8.1 million and $6.0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Most recently, some customers have indicated their intent to reduce their inventory levels as capacity shortages improve, which has and may continue to negatively impact such customers’ demand for our solutions in future periods and, in turn, harm our financial results.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88"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5540" w:right="5200" w:hanging="5023"/>
        <w:spacing w:after="0" w:line="409" w:lineRule="auto"/>
        <w:tabs>
          <w:tab w:leader="none" w:pos="103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complexity and costs of managing international operations;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2" w:name="page43"/>
    <w:bookmarkEnd w:id="42"/>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our acquisition of Oculii in 2021, we had not made any acquisitions since our acquisition of VisLab S.r.l. in 2015. Our ability to make and successfully integrate acquisitions is largely unproven.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effects of the COVID-19 pandemic, supply chain disruptions and semiconductor capacity shortages, including the buildup of inventory by customers in response to such shortages, and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and political conditions in the countries where we operate or where our products are sold or used, including recent macroeconomic volatility, the COVID-19 pandemic, U.S.-China relations and the conditions in Hong Kong;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4" w:name="page45"/>
    <w:bookmarkEnd w:id="44"/>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In the recent years, we expanded our staffing and increased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9"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ind w:firstLine="509"/>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Sales to customers in Asia accounted for approximately 79%, 86% and 88% of our total revenue in fiscal years 2023, 2022 and 2021, respectively. For the nine months ended October 31, 2023, sales to customers in Asia accounted for approximately 78% of our total revenue. Certain prior quarter amounts of revenue by geographic region have been adjusted to reflect the appropriate bill-to location for the related revenue. These adjustments did not impact the total revenues in any of the periods presented.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 of October 31, 2023, we had approximately $103.8 million in money market funds and debt security investments. The debt security investments consisted of commercial paper,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For example, in March 2023, Silicon Valley Bank (SVB) was closed and the Federal Deposit Insurance Corporation (FDIC) was appointed as receiver. At the time of closing on March 10, 2023, we had cash deposits with SVB of approximately $17.0 million. We also had cash equivalents and marketable debt security investments residing in custodial accounts held by U.S. Bank for which SVB Asset Management was the investment advisor until March 15, 2023. While we were able to recover all deposited amounts from SVB, there can be no assurance that our current or future banks will not face similar risks as SVB or that we will be able to recover in full our deposits in the event of similar closures. We regularly maintain cash balances that are not insured or are in excess of the FDIC’s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the semiconductor industry recently experienced shortages of certain devices, including microcontrollers, PMICs, Wi-Fi chips, which impacted our customers’ ability to build their products and negatively impact our customers’ demand for our solutions. We believe these shortages were exacerbated by the COVID-19 pandemic.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right="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Availability of capacity within our supply chain tightened during fiscal year 2023, which at times limited the volume of products we can produce, negatively impacting our business and operations, and similar capacity constraints may adversely affect our business in the future.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9"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57%, 62% and 63% of our revenue was derived from sales through WT for the fiscal years ended January 31, 2023, 2022 and 2021, respectively, and approximately 52% of our revenue was derived from sales through WT for the nine months ended October 31, 2023.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In recent periods, some end customers have indicated they are seeking to reduce their inventory levels, which may reduce such customers’ demand for our products, including products purchased through our distributors, in future periods and harm our financial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9"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 In recent periods, customers have indicated they are reducing their inventory levels as lead times for semiconductor chips and other components used by customers shrink, which has reduced, and may continue to reduce, such customers’ demand for our products in future periods. Weak or uncertain economic conditions may exacerbate these risks.</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Additionally,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While our current products are not restricted by these controls, such controls could impact our ability to export products to China in the future. It also is possible that the Chinese government will retaliate in ways that could impact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0" w:name="page51"/>
    <w:bookmarkEnd w:id="50"/>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8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92"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We have significant business operations in Taiwan, including approximately 340 employees,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Several of our customers, including Hangzhou Hikvision Digital Technology Co., Ltd, or Hikvision, Zhejiang Dahua Technology Co., Ltd., or Dahua, and affiliates of Shenzhen Dajiang Baiwang Technology Co., Ltd., have been added to the Entity List of the Bureau of Industry and Security, or BIS, of the U.S. Department of Commerce, or Commerce, which imposes limitations on the supply of U.S. controlled items to the listed entities. In October 2022, BIS imposed additional restrictions on transactions with Dahua involving items subject to BIS export regulations.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3"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data protection and cybersecurity.</w:t>
      </w:r>
    </w:p>
    <w:p>
      <w:pPr>
        <w:spacing w:after="0" w:line="229" w:lineRule="exact"/>
        <w:rPr>
          <w:sz w:val="20"/>
          <w:szCs w:val="20"/>
          <w:color w:val="auto"/>
        </w:rPr>
      </w:pPr>
    </w:p>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This data is subject to a variety of U.S. and international laws and regulations, including oversight by various regulatory or other governmental bodies.</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Many foreign countries and governmental bodies, including China, the European Union and other relevant jurisdictions where we conduct business, have laws and regulations concerning the collection, use and other processing of personal information and other data obtained from their residents or by businesses operating within their jurisdictions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substantially expanded the CCPA as of January 1, 2023. The CCPA, as amended and modified by the CPRA, gives California residents the right to access, delete and opt out of certain sharing of their information, and imposes penalties for failure to comply. Numerous other U.S. states have proposed, and in certain cases enacted, similar general privacy legislation.</w:t>
      </w:r>
    </w:p>
    <w:p>
      <w:pPr>
        <w:spacing w:after="0" w:line="1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Significant uncertainty remains regarding how regulators will interpret and enforce these laws, but the Data Security Law contains provisions that allow substantial government oversight and include fines for failure to obtain required approval from China’s cyber and data protection regulators for cross-border personal information-related data transfers. PIPL authorizes enforcement by cybersecurity authorities and other regulators, and provides for fines and other remedies for noncompliance.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pacing w:after="0" w:line="18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In August 2022, the U.S. enacted the Inflation Reduction Act of 2022, or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90" w:lineRule="exact"/>
        <w:rPr>
          <w:sz w:val="20"/>
          <w:szCs w:val="20"/>
          <w:color w:val="auto"/>
        </w:rPr>
      </w:pPr>
    </w:p>
    <w:p>
      <w:pPr>
        <w:ind w:right="240" w:firstLine="509"/>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5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5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2021, more than 140 countries tentatively signed on to a framework that imposes a global minimum tax of 15%. The Council of the European Union has adopted this initiative for enactment by European Union member states, with implementation into the domestic laws of those states by the end of 2023, for fiscal years starting on or after December 31, 2023 for multinationals that meet the annual threshold of at least EUR 750 million of consolidated revenues. Additional changes to global tax laws are likely to occur, and such changes may adversely affect our effective tax rate, operating results, and cash flow.</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8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2023 fiscal year or the foreseeable future. However, a separate determination must be made at the close of each taxable year as to whether we are a PFIC for that taxable year, and we cannot assure you that we will not be a PFIC for our 2024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3"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certain attribution rules, 10%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50% of the voting power or value of a non-U.S. corporation. Under the Tax Act, however, because our group includes one or more U.S. subsidiaries, certain of our non-U.S. subsidiaries may be classified as CFCs with respect to any single 10% U.S. shareholder, even without regard to whether 10% U.S. shareholders together own, directly or indirectly, more than 50% of the voting power or value of the Company. Our 10% or greater U.S. shareholders should consult their individual tax advisors for advice regarding the Tax Act's revision to the U.S. federal income tax law applicable to owners of CFCs.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6" w:name="page57"/>
    <w:bookmarkEnd w:id="56"/>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and was $44.99 at the close of trading on October 31, 2023.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and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7" w:name="page58"/>
    <w:bookmarkEnd w:id="57"/>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of investors or securities analysts, the trading price of our ordinary shares is likely to decline.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shares being sold in the market.</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including the COVID-19 pandemic and regional health issues,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our last fiscal quarter ending October 31, 2023, no director or officer, as defined in Rule 16a-1(f), adopted or terminated a “Rule 10b5-1 trading arrangement” or a “non-Rule 10b5-1 trading arrangement,” each as defined in Regulation S-K Item 408.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2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6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9"/>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36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10.1*</w:t>
            </w:r>
          </w:p>
        </w:tc>
        <w:tc>
          <w:tcPr>
            <w:tcW w:w="64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Separation Agreement entered into by Ambarella Corp. with Brian White dated October 17,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36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10.2*</w:t>
            </w:r>
          </w:p>
        </w:tc>
        <w:tc>
          <w:tcPr>
            <w:tcW w:w="64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Employment letter entered into by Ambarella Corp. with John Young dated October 17,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3640" w:type="dxa"/>
            <w:vAlign w:val="bottom"/>
            <w:tcBorders>
              <w:right w:val="single" w:sz="8" w:color="0000EE"/>
            </w:tcBorders>
            <w:gridSpan w:val="3"/>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648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4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6920" w:type="dxa"/>
            <w:vAlign w:val="bottom"/>
            <w:gridSpan w:val="7"/>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 and 18 U.S.C. §1350.</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120" w:type="dxa"/>
            <w:vAlign w:val="bottom"/>
            <w:tcBorders>
              <w:right w:val="single" w:sz="8" w:color="0000EE"/>
            </w:tcBorders>
            <w:gridSpan w:val="2"/>
            <w:shd w:val="clear" w:color="auto" w:fill="0000FF"/>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9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40" w:right="140" w:hanging="1139"/>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October 31, 2023,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8312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23" w:lineRule="exact"/>
        <w:rPr>
          <w:sz w:val="20"/>
          <w:szCs w:val="20"/>
          <w:color w:val="auto"/>
        </w:rPr>
      </w:pPr>
    </w:p>
    <w:p>
      <w:pPr>
        <w:ind w:left="1140" w:right="380" w:hanging="1139"/>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 and Exchange Commission on September 12, 2012.</w:t>
      </w:r>
    </w:p>
    <w:p>
      <w:pPr>
        <w:ind w:left="1140" w:hanging="11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36" w:lineRule="exact"/>
        <w:rPr>
          <w:sz w:val="20"/>
          <w:szCs w:val="20"/>
          <w:color w:val="auto"/>
        </w:rPr>
      </w:pPr>
    </w:p>
    <w:p>
      <w:pPr>
        <w:ind w:left="1140" w:hanging="1139"/>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w:t>
      </w:r>
    </w:p>
    <w:p>
      <w:pPr>
        <w:spacing w:after="0" w:line="27" w:lineRule="exact"/>
        <w:rPr>
          <w:rFonts w:ascii="Times New Roman" w:cs="Times New Roman" w:eastAsia="Times New Roman" w:hAnsi="Times New Roman"/>
          <w:sz w:val="18"/>
          <w:szCs w:val="18"/>
          <w:color w:val="auto"/>
        </w:rPr>
      </w:pPr>
    </w:p>
    <w:p>
      <w:pPr>
        <w:ind w:left="11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61" w:name="page62"/>
    <w:bookmarkEnd w:id="6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0" w:lineRule="exact"/>
        <w:rPr>
          <w:sz w:val="20"/>
          <w:szCs w:val="20"/>
          <w:color w:val="auto"/>
        </w:rPr>
      </w:pPr>
    </w:p>
    <w:p>
      <w:pPr>
        <w:ind w:left="20"/>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December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292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Feng-Ming Wang</w:t>
      </w:r>
    </w:p>
    <w:p>
      <w:pPr>
        <w:spacing w:after="0" w:line="10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91" w:lineRule="exact"/>
        <w:rPr>
          <w:sz w:val="20"/>
          <w:szCs w:val="20"/>
          <w:color w:val="auto"/>
        </w:rPr>
      </w:pPr>
    </w:p>
    <w:p>
      <w:pPr>
        <w:ind w:left="20"/>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December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292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Brian C. White</w:t>
      </w:r>
    </w:p>
    <w:p>
      <w:pPr>
        <w:spacing w:after="0" w:line="10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3" w:right="779" w:bottom="1440" w:gutter="0" w:footer="0" w:header="0"/>
        </w:sectPr>
      </w:pPr>
    </w:p>
    <w:bookmarkStart w:id="62" w:name="page63"/>
    <w:bookmarkEnd w:id="62"/>
    <w:p>
      <w:pPr>
        <w:ind w:left="824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2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Separation Agreement and Release (“Agreement”) is made by and between Brian White (“Employee”) and Ambarella Corporation (the “Company”) (collectively referred to as the “Parties” or individually referred to as a “Party”).</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Employee is employed by the Company;</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Employee signed an offer letter with the Company on March 18, 2022 (the “Offer Letter”);</w:t>
      </w:r>
    </w:p>
    <w:p>
      <w:pPr>
        <w:spacing w:after="0" w:line="23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Employee signed a Change of Control and Severance Agreement with the Company on March 28, 2022 (the “Severance Agreement”);</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Employee signed an At-Will Employment, Confidential Information, Invention Assignment, and Arbitration Agreement with the Company on March 28, 2022 (the “Confidentiality Agreement”);</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WHEREAS, Employee holds certain outstanding equity awards (“Awards”) covering ordinary shares of the Company (“Shares”) granted under and subject to the Company’s 2021 Equity Incentive Plan (the “Plan”) and award agreements thereunder, as set forth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(the “Award Documents”);</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Employee will separate from employment with the Company effective February 2, 2024 (the “Scheduled Separation Date,” and the actual date of separation is referred to herein the “Separation Date”, which may be the same date as the Scheduled Separation Date); and</w:t>
      </w:r>
    </w:p>
    <w:p>
      <w:pPr>
        <w:spacing w:after="0" w:line="20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NOW, THEREFORE, in consideration of the mutual promises made herein, the Company and Employee hereby agree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37" w:lineRule="exact"/>
        <w:rPr>
          <w:sz w:val="20"/>
          <w:szCs w:val="20"/>
          <w:color w:val="auto"/>
        </w:rPr>
      </w:pPr>
    </w:p>
    <w:p>
      <w:pPr>
        <w:ind w:left="1020" w:hanging="26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jc w:val="both"/>
        <w:ind w:firstLine="1497"/>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Transitional Services.</w:t>
      </w:r>
      <w:r>
        <w:rPr>
          <w:rFonts w:ascii="Times New Roman" w:cs="Times New Roman" w:eastAsia="Times New Roman" w:hAnsi="Times New Roman"/>
          <w:sz w:val="22"/>
          <w:szCs w:val="22"/>
          <w:color w:val="auto"/>
        </w:rPr>
        <w:t xml:space="preserve"> Employee shall be permitted to continue Employee’s full-time employment with the Company until the Scheduled Separation Date (the period between the Effective Date of this Agreement (as defined in Section 20) and the Scheduled Separation Date,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3" w:name="page64"/>
    <w:bookmarkEnd w:id="63"/>
    <w:p>
      <w:pPr>
        <w:ind w:right="20"/>
        <w:spacing w:after="0" w:line="258" w:lineRule="auto"/>
        <w:rPr>
          <w:sz w:val="20"/>
          <w:szCs w:val="20"/>
          <w:color w:val="auto"/>
        </w:rPr>
      </w:pPr>
      <w:r>
        <w:rPr>
          <w:rFonts w:ascii="Times New Roman" w:cs="Times New Roman" w:eastAsia="Times New Roman" w:hAnsi="Times New Roman"/>
          <w:sz w:val="22"/>
          <w:szCs w:val="22"/>
          <w:color w:val="auto"/>
        </w:rPr>
        <w:t>“Transition Period”). Employee agrees to provide services to the Company in good faith and to transition Employee’s role during the Transition Period as determined and instructed by the Company in the Company’s sole discretion.</w:t>
      </w:r>
    </w:p>
    <w:p>
      <w:pPr>
        <w:spacing w:after="0" w:line="154" w:lineRule="exact"/>
        <w:rPr>
          <w:sz w:val="20"/>
          <w:szCs w:val="20"/>
          <w:color w:val="auto"/>
        </w:rPr>
      </w:pPr>
    </w:p>
    <w:p>
      <w:pPr>
        <w:jc w:val="both"/>
        <w:ind w:firstLine="1505"/>
        <w:spacing w:after="0" w:line="236" w:lineRule="auto"/>
        <w:tabs>
          <w:tab w:leader="none" w:pos="20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Compensation. </w:t>
      </w:r>
      <w:r>
        <w:rPr>
          <w:rFonts w:ascii="Times New Roman" w:cs="Times New Roman" w:eastAsia="Times New Roman" w:hAnsi="Times New Roman"/>
          <w:sz w:val="22"/>
          <w:szCs w:val="22"/>
          <w:color w:val="auto"/>
        </w:rPr>
        <w:t>The Company shall continue to pay Employee’s base salary until the Separation Date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rate set for Employee as of the Effective Date, less applicable withholdings, payable in accordance with the Company’s regular payroll practices. However, Employee’s participation in the Company’s Fiscal Year 2024 Annual Bonus Plan (the “Bonus Plan”) will cease as of the Effective Date and Employee shall not be eligible to receive any bonus or other payment under the Bonus Plan. During the Transition Period, Employee shall remain eligible to vest in Employee’s Awards in accordance with the terms and conditions of the applicable Award Documents. Employee’s other benefits shall remain in force and effect during the Transition Period, except as required by the Company’s applicable policies and plans.</w:t>
      </w:r>
    </w:p>
    <w:p>
      <w:pPr>
        <w:spacing w:after="0" w:line="202"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Acknowledgement</w:t>
      </w:r>
      <w:r>
        <w:rPr>
          <w:rFonts w:ascii="Times New Roman" w:cs="Times New Roman" w:eastAsia="Times New Roman" w:hAnsi="Times New Roman"/>
          <w:sz w:val="22"/>
          <w:szCs w:val="22"/>
          <w:color w:val="auto"/>
        </w:rPr>
        <w:t>. Employee acknowledges that without this Agreement, Employee is otherwise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entitled to the consideration listed in this section 1.</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Supplemental Release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Employee agrees that the consideration set forth in the Supplemental Release is expressly conditioned upon Employee’s continued employment with the Company through the Scheduled Separation Date, Employee’s execution and non-revocation of the Supplemental Release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“Supplemental Release”), and Employee’s fulfillment of its terms and conditions. In addition, Employee agrees that the consideration set forth in Section 1.a. will be payable to Employee in the form, as elected by the Company in its sole discretion, of either (x) cash in an amount equal to the Payment, as defined in the Supplemental Release (the “Cash Severance”), or (y) the number of Shares as set forth in the Supplemental Release to be issued pursuant to a Severance Award, as defined in the Supplemental Release, granted under the Plan and applicable restricted stock unit award agreement thereunder, in either case in accordance with the terms and conditions of, the Supplemental Release. In the event that any Severance Award is granted to Employee (which shall be granted, if at all, no later than the Separation Date), then 100% of the Shares underlying such Severance Award will vest subject to Employee’s continued employment in accordance with this Agreement through the Scheduled Separation Date, and become payable contingent on the timely effectiveness and irrevocability of the Supplemental Release.</w:t>
      </w:r>
    </w:p>
    <w:p>
      <w:pPr>
        <w:spacing w:after="0" w:line="215"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Employee’s health insurance benefits shall cease on the last day of the month in which the Separation Date occurs, subject to Employee’s right to continue Employee’s health insurance under COBRA. Employee’s participation in all benefits and incidents of employment, including, but not limited to, vesting in any equity awards including the Awards and any Severance Award, and the accrual of bonuses, vacation, and paid time off, shall cease as of the Separation Date, subject to the application of the acceleration of Award vesting provisions as set forth in, and in accordance with, the terms and conditions of the Supplement Release.</w:t>
      </w:r>
    </w:p>
    <w:p>
      <w:pPr>
        <w:spacing w:after="0" w:line="208" w:lineRule="exact"/>
        <w:rPr>
          <w:rFonts w:ascii="Times New Roman" w:cs="Times New Roman" w:eastAsia="Times New Roman" w:hAnsi="Times New Roman"/>
          <w:sz w:val="22"/>
          <w:szCs w:val="22"/>
          <w:color w:val="auto"/>
        </w:rPr>
      </w:pPr>
    </w:p>
    <w:p>
      <w:pPr>
        <w:jc w:val="both"/>
        <w:ind w:right="20" w:firstLine="757"/>
        <w:spacing w:after="0" w:line="239"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Salary and Receipt of All Benefits</w:t>
      </w:r>
      <w:r>
        <w:rPr>
          <w:rFonts w:ascii="Times New Roman" w:cs="Times New Roman" w:eastAsia="Times New Roman" w:hAnsi="Times New Roman"/>
          <w:sz w:val="22"/>
          <w:szCs w:val="22"/>
          <w:color w:val="auto"/>
        </w:rPr>
        <w:t>. Employee acknowledges and represents that, other than the consideration set forth in this Agreement, the Company has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Employee.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jc w:val="both"/>
        <w:ind w:firstLine="757"/>
        <w:spacing w:after="0" w:line="234" w:lineRule="auto"/>
        <w:tabs>
          <w:tab w:leader="none" w:pos="101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Employee agrees that the foregoing consideration represents settlement in full of all outstanding obligations owed to Employee by the Company and its current and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Employee’s employment relationship with the Company and the termination of that relationship;</w:t>
      </w:r>
    </w:p>
    <w:p>
      <w:pPr>
        <w:spacing w:after="0" w:line="185" w:lineRule="exact"/>
        <w:rPr>
          <w:rFonts w:ascii="Times New Roman" w:cs="Times New Roman" w:eastAsia="Times New Roman" w:hAnsi="Times New Roman"/>
          <w:sz w:val="22"/>
          <w:szCs w:val="22"/>
          <w:color w:val="auto"/>
        </w:rPr>
      </w:pPr>
    </w:p>
    <w:p>
      <w:pPr>
        <w:jc w:val="both"/>
        <w:ind w:right="20" w:firstLine="86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20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0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Employee Retirement Income Security Act of 1974, the Worker Adjustment and Retraining Notification Act, the Family and Medical Leave Act, the Immigration Reform and Control Act, the California Family Rights Act, the California Labor Code, and the California Workers’ Compensation Act.</w:t>
      </w:r>
    </w:p>
    <w:p>
      <w:pPr>
        <w:spacing w:after="0" w:line="20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the federal or any state constitution;</w:t>
      </w:r>
    </w:p>
    <w:p>
      <w:pPr>
        <w:spacing w:after="0" w:line="23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any other laws and regulations relating to employment or employment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discrimination;</w:t>
      </w:r>
    </w:p>
    <w:p>
      <w:pPr>
        <w:spacing w:after="0" w:line="209"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any loss, cost, damage, or expense arising out of any dispute over the nonwithholding or other tax treatment of any of the proceeds received by Employee as a result of this Agreement; and</w:t>
      </w:r>
    </w:p>
    <w:p>
      <w:pPr>
        <w:spacing w:after="0" w:line="18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attorneys’ fees and costs.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jc w:val="both"/>
        <w:spacing w:after="0" w:line="238" w:lineRule="auto"/>
        <w:rPr>
          <w:sz w:val="20"/>
          <w:szCs w:val="20"/>
          <w:color w:val="auto"/>
        </w:rPr>
      </w:pPr>
      <w:r>
        <w:rPr>
          <w:rFonts w:ascii="Times New Roman" w:cs="Times New Roman" w:eastAsia="Times New Roman" w:hAnsi="Times New Roman"/>
          <w:sz w:val="22"/>
          <w:szCs w:val="22"/>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This release does not extend to any right Employee may have to unemployment compensation benefits. Nothing herein releases any rights or claims Employee may have under the California Fair Employment and Housing Act.</w:t>
      </w:r>
    </w:p>
    <w:p>
      <w:pPr>
        <w:spacing w:after="0" w:line="204" w:lineRule="exact"/>
        <w:rPr>
          <w:sz w:val="20"/>
          <w:szCs w:val="20"/>
          <w:color w:val="auto"/>
        </w:rPr>
      </w:pPr>
    </w:p>
    <w:p>
      <w:pPr>
        <w:jc w:val="both"/>
        <w:ind w:firstLine="757"/>
        <w:spacing w:after="0" w:line="256" w:lineRule="exact"/>
        <w:tabs>
          <w:tab w:leader="none" w:pos="101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 and Confidential Information/Company Property</w:t>
      </w:r>
      <w:r>
        <w:rPr>
          <w:rFonts w:ascii="Times New Roman" w:cs="Times New Roman" w:eastAsia="Times New Roman" w:hAnsi="Times New Roman"/>
          <w:sz w:val="22"/>
          <w:szCs w:val="22"/>
          <w:color w:val="auto"/>
        </w:rPr>
        <w:t>. Employee acknowledges that, separate from this Agreement, Employee remains under continuing obligations to the Company under the Confidentiality Agreement, including the provisions therein regarding nondisclosure of the Company’s trade secrets and confidential and proprietary information. Employee agrees and acknowledges that any incentive-based compensation provided to Employee shall be subject to the Company’s Executive Compensation Clawback Policy and any clawback policy adopted pursuant to the listing standards of any national securities exchange or association on which the Company’s securities are listed or that otherwise is adopted pursuant to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 Act or other applicable law.</w:t>
      </w:r>
    </w:p>
    <w:p>
      <w:pPr>
        <w:spacing w:after="0" w:line="171"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Cooperation</w:t>
      </w:r>
      <w:r>
        <w:rPr>
          <w:rFonts w:ascii="Times New Roman" w:cs="Times New Roman" w:eastAsia="Times New Roman" w:hAnsi="Times New Roman"/>
          <w:sz w:val="22"/>
          <w:szCs w:val="22"/>
          <w:color w:val="auto"/>
        </w:rPr>
        <w:t>. Subject to the Protected Activity provision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Employee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210" w:lineRule="exact"/>
        <w:rPr>
          <w:rFonts w:ascii="Times New Roman" w:cs="Times New Roman" w:eastAsia="Times New Roman" w:hAnsi="Times New Roman"/>
          <w:sz w:val="22"/>
          <w:szCs w:val="22"/>
          <w:color w:val="auto"/>
        </w:rPr>
      </w:pPr>
    </w:p>
    <w:p>
      <w:pPr>
        <w:jc w:val="both"/>
        <w:ind w:firstLine="757"/>
        <w:spacing w:after="0" w:line="232" w:lineRule="auto"/>
        <w:tabs>
          <w:tab w:leader="none" w:pos="101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Activity Not Prohibited</w:t>
      </w:r>
      <w:r>
        <w:rPr>
          <w:rFonts w:ascii="Times New Roman" w:cs="Times New Roman" w:eastAsia="Times New Roman" w:hAnsi="Times New Roman"/>
          <w:sz w:val="22"/>
          <w:szCs w:val="22"/>
          <w:color w:val="auto"/>
        </w:rPr>
        <w:t>. Employee understands that nothing in this Agreement shall in any way limit or prohibit Employee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(ii) disclosing information pertaining to sexual harassment or any other unlawful or potentially unlawful conduct; and/or (iii) disclosing factual information (other than the amount paid under this Agreement) related to a claim filed in a civil action or complaint filed in an administrative action about sexual assault, an act of sexual harassment, or an act of (or failure to prevent) harassment or discrimination based on sex, or an act of retaliation against a person for reporting harassment or discrimination based on sex. Employee understands that in connection with such Protected Activity, Employee is permitted to make disclosures as permitted by law, without giving notice to, or receiving authorization from, the Company. Notwithstanding the foregoing, Employee agrees to take all reasonable precautions to prevent any unauthorized use or disclosure of any information that may constitute Company confidential information under the Confidentiality Agreement to any parties or in any manner not protected by law. Employee further understands that “Protected Activity” does not include the disclosure of any Company attorney-client privileged communications or attorney work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product. Any language in the Confidentiality Agreement regarding Employee’s right to engage in Protected Activity that conflicts with, or is contrary to, this section is superseded by this Agreement. 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cs="Times New Roman" w:eastAsia="Times New Roman" w:hAnsi="Times New Roman"/>
          <w:sz w:val="21"/>
          <w:szCs w:val="21"/>
          <w:i w:val="1"/>
          <w:iCs w:val="1"/>
          <w:color w:val="auto"/>
        </w:rPr>
        <w:t>solely</w:t>
      </w:r>
      <w:r>
        <w:rPr>
          <w:rFonts w:ascii="Times New Roman" w:cs="Times New Roman" w:eastAsia="Times New Roman" w:hAnsi="Times New Roman"/>
          <w:sz w:val="21"/>
          <w:szCs w:val="21"/>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5" w:lineRule="exact"/>
        <w:rPr>
          <w:sz w:val="20"/>
          <w:szCs w:val="20"/>
          <w:color w:val="auto"/>
        </w:rPr>
      </w:pPr>
    </w:p>
    <w:p>
      <w:pPr>
        <w:jc w:val="both"/>
        <w:ind w:firstLine="757"/>
        <w:spacing w:after="0" w:line="239" w:lineRule="auto"/>
        <w:tabs>
          <w:tab w:leader="none" w:pos="101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In addition to the rights provided in the “Attorneys’ Fees” section below, Employee acknowledges and agrees that any material breach of this Agreement or of any provision of the Confidentiality Agreement shall entitle the Company immediately to recover and/or cease providing the consideration provided to Employee under this Agreement and to obtain damages.</w:t>
      </w:r>
    </w:p>
    <w:p>
      <w:pPr>
        <w:spacing w:after="0" w:line="20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Employee understands and acknowledges that with respect to all claims released herein, this Agreement constitutes a compromise and settlement of any and all actual or potential disputed claims by Employee unless such claims were explicitly not released by the release in this Agreement.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20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Costs</w:t>
      </w:r>
      <w:r>
        <w:rPr>
          <w:rFonts w:ascii="Times New Roman" w:cs="Times New Roman" w:eastAsia="Times New Roman" w:hAnsi="Times New Roman"/>
          <w:sz w:val="22"/>
          <w:szCs w:val="22"/>
          <w:color w:val="auto"/>
        </w:rPr>
        <w:t>. The Parties shall each bear their own costs, attorneys’ fees, and other fees incurred in connection with the preparation of this Agreement.</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12.</w:t>
      </w: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The Company makes no representations or warranties with respect to the tax consequences of the payments and any other consideration provided to Employee or made on Employee’s behalf under the terms of this Agreement or the Supplemental Release. Employee agrees and understands that Employee is responsible for payment, if any, of local, state, and/or federal taxes on the payments and any other consideration provided hereunder or under the Supplemental Release by the Company and any penalties or assessments thereon, and all amounts payable hereunder are subject to applicable tax withholdings.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 The Parties agree and acknowledge that the payments made pursuant to section 1 of this Agreement and section 1 of the Supplemental Release are not related to sexual harassment or sexual abuse and not intended to fall within the scope of 26 U.S.C. Section 162(q).</w:t>
      </w:r>
    </w:p>
    <w:p>
      <w:pPr>
        <w:spacing w:after="0" w:line="20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It is intended that this Agreement and the Supplemental Release are exempt from, or if not exempt from, will comply with, Section 409A of the Internal Revenue Code of 1986, as amended (the “Code”), and any final regulations and official guidance thereunder, and</w:t>
      </w: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p>
      <w:pPr>
        <w:jc w:val="both"/>
        <w:spacing w:after="0" w:line="243" w:lineRule="auto"/>
        <w:rPr>
          <w:sz w:val="20"/>
          <w:szCs w:val="20"/>
          <w:color w:val="auto"/>
        </w:rPr>
      </w:pPr>
      <w:r>
        <w:rPr>
          <w:rFonts w:ascii="Times New Roman" w:cs="Times New Roman" w:eastAsia="Times New Roman" w:hAnsi="Times New Roman"/>
          <w:sz w:val="21"/>
          <w:szCs w:val="21"/>
          <w:color w:val="auto"/>
        </w:rPr>
        <w:t>any applicable state law equivalent, as each may be amended or promulgated from time to time (together, “Section 409A”), so that none of the payments to be provided under this Agreement or under the Supplemental Release will be subject to the additional tax imposed under Section 409A, and any ambiguities or ambiguous terms herein or under the Supplemental Release will be interpreted to be so exempt from or so comply with Section 409A. Each payment and benefit to be paid or provided under this Agreement is intended to constitute a separate payment for purposes of Section 1.409A-2(b)(2) of the Treasury Regulations. Notwithstanding any provisions to the contrary under this Agreement or the Supplemental Release, if and to the extent necessary to avoid subjecting Employee to an additional tax under Section 409A, any payments or benefits deemed to be separation-related deferred compensation (within the meaning of Section 409A), whether under this Agreement, the Supplemental Release or any other arrangement, payable to Employee will be delayed until the date that is six (6) months and one (1) day following Employee’s separation from service (within the meaning of Section 409A), except that in the event of Employee’s death, any such delayed payments will be paid as soon as practicable after the date of Employee’s death, and in each case all subsequent payments and benefits will be payable in accordance with the payment schedule applicable to such payment or benefit. To the extent necessary to comply with Section 409A, references to the termination of Employee’s employment or similar terms under this Agreement and the Supplemental Release will mean Employee’s separation from service within the meaning of Section 409A. In no event will the Company or any other Releasees have any responsibility, liability, or obligations to reimburse, hold harmless, or indemnify Employee for any taxes or costs that may be imposed on Employee as a result of Section 409A. Company and Employee will work together in good faith to consider either (i) amendments to this Agreement; or (ii) revisions to this Agreement with respect to the payment of any amounts, awards, or benefits, which are necessary or appropriate to avoid imposition of any additional tax or income recognition prior to the actual payment to Employee under Section 409A.</w:t>
      </w:r>
    </w:p>
    <w:p>
      <w:pPr>
        <w:spacing w:after="0" w:line="21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20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20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Confidentiality Agreement and the Award Documents, to the extent not modified hereby, represents the entire agreement and understanding between the Company and Employee concerning the subject matter of this Agreement and Employee’s employment with and separation from the Company and the events leading thereto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22"/>
          <w:szCs w:val="22"/>
          <w:color w:val="auto"/>
        </w:rPr>
        <w:t>and associated therewith, and supersedes and replaces any and all prior agreements and understandings concerning the subject matter of this Agreement and Employee’s relationship with the Company.</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 Oral Modification</w:t>
      </w:r>
      <w:r>
        <w:rPr>
          <w:rFonts w:ascii="Times New Roman" w:cs="Times New Roman" w:eastAsia="Times New Roman" w:hAnsi="Times New Roman"/>
          <w:sz w:val="22"/>
          <w:szCs w:val="22"/>
          <w:color w:val="auto"/>
        </w:rPr>
        <w:t>. This Agreement may only be amended in a writing signed by Employee and the Company’s Chief Executive Officer.</w:t>
      </w:r>
    </w:p>
    <w:p>
      <w:pPr>
        <w:spacing w:after="0" w:line="18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the laws of the State of California, without regard for choice-of-law provisions. Employee consents to personal and exclusive jurisdiction and venue in the State of California.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will become effective on the date it has been signed by both Parties (the “Effective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spacing w:after="0" w:line="20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Voluntary Execution of Agreement</w:t>
      </w:r>
      <w:r>
        <w:rPr>
          <w:rFonts w:ascii="Times New Roman" w:cs="Times New Roman" w:eastAsia="Times New Roman" w:hAnsi="Times New Roman"/>
          <w:sz w:val="22"/>
          <w:szCs w:val="22"/>
          <w:color w:val="auto"/>
        </w:rPr>
        <w:t>. Employee understands and agrees that Employee executed this Agreement voluntarily and without any duress or undue influence on the part or behalf of the Company or any third party, with the full intent of releasing all of Employee’s claims against the Company and any of the other Releasees. Employee acknowledges that:</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 has read this Agreement;</w:t>
      </w:r>
    </w:p>
    <w:p>
      <w:pPr>
        <w:spacing w:after="0" w:line="200" w:lineRule="exact"/>
        <w:rPr>
          <w:sz w:val="20"/>
          <w:szCs w:val="20"/>
          <w:color w:val="auto"/>
        </w:rPr>
      </w:pPr>
    </w:p>
    <w:p>
      <w:pPr>
        <w:sectPr>
          <w:pgSz w:w="11900" w:h="16838" w:orient="portrait"/>
          <w:cols w:equalWidth="0" w:num="2">
            <w:col w:w="1640" w:space="300"/>
            <w:col w:w="9300"/>
          </w:cols>
          <w:pgMar w:left="320" w:top="355" w:right="339" w:bottom="1440" w:gutter="0" w:footer="0" w:header="0"/>
          <w:type w:val="continuous"/>
        </w:sectPr>
      </w:pPr>
    </w:p>
    <w:p>
      <w:pPr>
        <w:spacing w:after="0" w:line="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 w:hanging="316"/>
        <w:spacing w:after="0" w:line="258" w:lineRule="auto"/>
        <w:rPr>
          <w:sz w:val="20"/>
          <w:szCs w:val="20"/>
          <w:color w:val="auto"/>
        </w:rPr>
      </w:pPr>
      <w:r>
        <w:rPr>
          <w:rFonts w:ascii="Times New Roman" w:cs="Times New Roman" w:eastAsia="Times New Roman" w:hAnsi="Times New Roman"/>
          <w:sz w:val="22"/>
          <w:szCs w:val="22"/>
          <w:color w:val="auto"/>
        </w:rPr>
        <w:t>Employee has been represented in the preparation, negotiation, and execution of this Agreement by legal counsel of Employee’s own choice or has elected not to retain legal counsel;</w:t>
      </w:r>
    </w:p>
    <w:p>
      <w:pPr>
        <w:spacing w:after="0" w:line="185" w:lineRule="exact"/>
        <w:rPr>
          <w:sz w:val="20"/>
          <w:szCs w:val="20"/>
          <w:color w:val="auto"/>
        </w:rPr>
      </w:pPr>
    </w:p>
    <w:p>
      <w:pPr>
        <w:sectPr>
          <w:pgSz w:w="11900" w:h="16838" w:orient="portrait"/>
          <w:cols w:equalWidth="0" w:num="2">
            <w:col w:w="1640" w:space="620"/>
            <w:col w:w="8980"/>
          </w:cols>
          <w:pgMar w:left="320" w:top="355" w:right="33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Employee understands the terms and consequences of this Agreement and of the releases it contains;</w:t>
      </w:r>
    </w:p>
    <w:p>
      <w:pPr>
        <w:spacing w:after="0" w:line="200" w:lineRule="exact"/>
        <w:rPr>
          <w:sz w:val="20"/>
          <w:szCs w:val="20"/>
          <w:color w:val="auto"/>
        </w:rPr>
      </w:pPr>
    </w:p>
    <w:p>
      <w:pPr>
        <w:sectPr>
          <w:pgSz w:w="11900" w:h="16838" w:orient="portrait"/>
          <w:cols w:equalWidth="0" w:num="2">
            <w:col w:w="1640" w:space="300"/>
            <w:col w:w="9300"/>
          </w:cols>
          <w:pgMar w:left="320" w:top="355" w:right="339" w:bottom="1440" w:gutter="0" w:footer="0" w:header="0"/>
          <w:type w:val="continuous"/>
        </w:sectPr>
      </w:pPr>
    </w:p>
    <w:p>
      <w:pPr>
        <w:spacing w:after="0" w:line="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 is fully aware of the legal and binding effect of this Agreement; and</w:t>
      </w:r>
    </w:p>
    <w:p>
      <w:pPr>
        <w:spacing w:after="0" w:line="200" w:lineRule="exact"/>
        <w:rPr>
          <w:sz w:val="20"/>
          <w:szCs w:val="20"/>
          <w:color w:val="auto"/>
        </w:rPr>
      </w:pPr>
    </w:p>
    <w:p>
      <w:pPr>
        <w:sectPr>
          <w:pgSz w:w="11900" w:h="16838" w:orient="portrait"/>
          <w:cols w:equalWidth="0" w:num="2">
            <w:col w:w="1640" w:space="300"/>
            <w:col w:w="9300"/>
          </w:cols>
          <w:pgMar w:left="320" w:top="355" w:right="339" w:bottom="1440" w:gutter="0" w:footer="0" w:header="0"/>
          <w:type w:val="continuous"/>
        </w:sectPr>
      </w:pPr>
    </w:p>
    <w:p>
      <w:pPr>
        <w:spacing w:after="0" w:line="45" w:lineRule="exact"/>
        <w:rPr>
          <w:sz w:val="20"/>
          <w:szCs w:val="20"/>
          <w:color w:val="auto"/>
        </w:rPr>
      </w:pPr>
    </w:p>
    <w:p>
      <w:pPr>
        <w:ind w:left="2260" w:right="60" w:hanging="754"/>
        <w:spacing w:after="0" w:line="258" w:lineRule="auto"/>
        <w:tabs>
          <w:tab w:leader="none" w:pos="194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not relied upon any representations or statements made by the Company that are not specifically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BRIAN WHITE, an individual</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Dated: October 17, 2023</w:t>
            </w:r>
          </w:p>
        </w:tc>
        <w:tc>
          <w:tcPr>
            <w:tcW w:w="2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rPr>
              <w:t>/s/ Brian White</w:t>
            </w:r>
          </w:p>
        </w:tc>
      </w:tr>
      <w:tr>
        <w:trPr>
          <w:trHeight w:val="275"/>
        </w:trPr>
        <w:tc>
          <w:tcPr>
            <w:tcW w:w="26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Brian White</w:t>
            </w:r>
          </w:p>
        </w:tc>
        <w:tc>
          <w:tcPr>
            <w:tcW w:w="21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AMBARELLA CORPORATION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2580" w:val="left"/>
          <w:tab w:leader="none" w:pos="3020" w:val="left"/>
        </w:tabs>
        <w:rPr>
          <w:sz w:val="20"/>
          <w:szCs w:val="20"/>
          <w:color w:val="auto"/>
        </w:rPr>
      </w:pPr>
      <w:r>
        <w:rPr>
          <w:rFonts w:ascii="Times New Roman" w:cs="Times New Roman" w:eastAsia="Times New Roman" w:hAnsi="Times New Roman"/>
          <w:sz w:val="22"/>
          <w:szCs w:val="22"/>
          <w:color w:val="auto"/>
        </w:rPr>
        <w:t>Dated: October 17, 2023</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Fermi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-13970</wp:posOffset>
            </wp:positionV>
            <wp:extent cx="11772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22"/>
          <w:szCs w:val="22"/>
          <w:color w:val="auto"/>
        </w:rPr>
        <w:t>Fermi Wang</w:t>
      </w:r>
    </w:p>
    <w:p>
      <w:pPr>
        <w:ind w:left="1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RELEASE</w:t>
      </w:r>
    </w:p>
    <w:p>
      <w:pPr>
        <w:spacing w:after="0" w:line="2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Supplemental Release (“Supplemental Release”) is made by and between Brian White (“Employee”) and Ambarella Corporation (the “Company”) (collectively referred to as the “Parties” or individually referred to as a “Party”).</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Employee was employed by the Company;</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Employee signed an offer letter with the Company on March 18, 2022 (the “Offer Letter”);</w:t>
      </w:r>
    </w:p>
    <w:p>
      <w:pPr>
        <w:spacing w:after="0" w:line="23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Employee signed a Change of Control and Severance Agreement with the Company on March 28, 2022 (the “Severance Agreement”);</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Employee signed an At-Will Employment, Confidential Information, Invention Assignment, and Arbitration Agreement with the Company on March 28, 2022 (the “Confidentiality Agreement”);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entered into the Separation Agreement and Release, dated [October 17, 2023] (the “Agreement”);</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WHEREAS, the Company previously granted Employee certain equity awards (“Awards”) covering ordinary shares of the Company (“Shares”) under and subject to the Company’s 2021 Equity Incentive Plan (the “Plan”) and applicable award agreements thereunder, as set forth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to the Agreement (the “Award Documents”);</w:t>
      </w:r>
    </w:p>
    <w:p>
      <w:pPr>
        <w:spacing w:after="0" w:line="20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Employee separated from employment with the Company effective [February 2, 2024] (the “Separation Date”); and</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NOW, THEREFORE, in consideration of the mutual promises made herein, the Company and Employee hereby agree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37" w:lineRule="exact"/>
        <w:rPr>
          <w:sz w:val="20"/>
          <w:szCs w:val="20"/>
          <w:color w:val="auto"/>
        </w:rPr>
      </w:pPr>
    </w:p>
    <w:p>
      <w:pPr>
        <w:ind w:left="1180" w:hanging="423"/>
        <w:spacing w:after="0"/>
        <w:tabs>
          <w:tab w:leader="none" w:pos="11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jc w:val="both"/>
        <w:ind w:firstLine="1497"/>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Payment</w:t>
      </w:r>
      <w:r>
        <w:rPr>
          <w:rFonts w:ascii="Times New Roman" w:cs="Times New Roman" w:eastAsia="Times New Roman" w:hAnsi="Times New Roman"/>
          <w:sz w:val="22"/>
          <w:szCs w:val="22"/>
          <w:color w:val="auto"/>
        </w:rPr>
        <w:t>. [The Company agrees to pay Employee a total of $630,000.00, representing the sum of (x) twelve months of Employee’s salary, plus (y) Employee’s target bonus amount under the Fiscal Year 2023 Bonus Plan (the “Payment”), subject to the terms of this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1" w:name="page72"/>
    <w:bookmarkEnd w:id="71"/>
    <w:p>
      <w:pPr>
        <w:jc w:val="both"/>
        <w:spacing w:after="0" w:line="244" w:lineRule="auto"/>
        <w:rPr>
          <w:sz w:val="20"/>
          <w:szCs w:val="20"/>
          <w:color w:val="auto"/>
        </w:rPr>
      </w:pPr>
      <w:r>
        <w:rPr>
          <w:rFonts w:ascii="Times New Roman" w:cs="Times New Roman" w:eastAsia="Times New Roman" w:hAnsi="Times New Roman"/>
          <w:sz w:val="21"/>
          <w:szCs w:val="21"/>
          <w:color w:val="auto"/>
        </w:rPr>
        <w:t>Supplemental Release, including this Section 1(a). Such Payment will be made, less applicable withholdings, as soon as reasonably practicable following the date the Agreement becomes effective and irrevocable, but no later than April 15, 2024, subject to Section 13 of the Agreement.] OR [In addition to the Awards, the Company has granted Employee an award of vested restricted stock units covering [</w:t>
      </w:r>
      <w:r>
        <w:rPr>
          <w:rFonts w:ascii="Times New Roman" w:cs="Times New Roman" w:eastAsia="Times New Roman" w:hAnsi="Times New Roman"/>
          <w:sz w:val="21"/>
          <w:szCs w:val="21"/>
          <w:i w:val="1"/>
          <w:iCs w:val="1"/>
          <w:color w:val="auto"/>
        </w:rPr>
        <w:t>Insert number</w:t>
      </w:r>
      <w:r>
        <w:rPr>
          <w:rFonts w:ascii="Times New Roman" w:cs="Times New Roman" w:eastAsia="Times New Roman" w:hAnsi="Times New Roman"/>
          <w:sz w:val="21"/>
          <w:szCs w:val="21"/>
          <w:color w:val="auto"/>
        </w:rPr>
        <w:t>] Shares as of the date immediately prior to the Separation Date (the “Severance Award”), under the Plan and applicable award agreement thereunder (the “Severance Award Agreement”). The number of Shares subject to the Severance Award reflects such number determined as (i) the product of (A) 110%, and (B) $630,000, which represents the sum of (x) twelve months of Employee’s salary, plus (y) Employee’s target bonus amount under the Fiscal Year 2023 Bonus Plan, divided by (ii) the closing price of a Share as reported on the Nasdaq Global Select Market on the last trading day immediately prior to the Separation Date, with any resulting fractional Share rounded down to the nearest whole Share. Delivery of the Shares under the Severance Award will occur as soon as reasonably practicable following the date the Agreement becomes effective and irrevocable, but no later than April 15, 2024, subject to Section 13 of the Agreement. In the event that the conditions for payment of the Severance Award are not met in full, then the Severance Award will be forfeited automatically and Employee no longer will have any rights to such Severance Award or the Shares subject thereto.]</w:t>
      </w:r>
    </w:p>
    <w:p>
      <w:pPr>
        <w:spacing w:after="0" w:line="206" w:lineRule="exact"/>
        <w:rPr>
          <w:sz w:val="20"/>
          <w:szCs w:val="20"/>
          <w:color w:val="auto"/>
        </w:rPr>
      </w:pPr>
    </w:p>
    <w:p>
      <w:pPr>
        <w:jc w:val="both"/>
        <w:ind w:firstLine="1505"/>
        <w:spacing w:after="0" w:line="238"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Equity Awards. </w:t>
      </w:r>
      <w:r>
        <w:rPr>
          <w:rFonts w:ascii="Times New Roman" w:cs="Times New Roman" w:eastAsia="Times New Roman" w:hAnsi="Times New Roman"/>
          <w:sz w:val="22"/>
          <w:szCs w:val="22"/>
          <w:color w:val="auto"/>
        </w:rPr>
        <w:t>Subject to the effectiveness of this Supplemental Release as provided herein, Employee’s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vesting in the following Awards (each, an “RSU Grant” and together, the “RSU Grants”) will accelerate as to the number of Shares subject to the RSU Grant that would have been scheduled to vest through the one-year anniversary of the Separation Date had Employee remained employed with the Company through such date. As result of such acceleration, the following number of Shares will vest under each RSU Grant:</w:t>
      </w:r>
    </w:p>
    <w:p>
      <w:pPr>
        <w:spacing w:after="0" w:line="207" w:lineRule="exact"/>
        <w:rPr>
          <w:rFonts w:ascii="Times New Roman" w:cs="Times New Roman" w:eastAsia="Times New Roman" w:hAnsi="Times New Roman"/>
          <w:sz w:val="22"/>
          <w:szCs w:val="22"/>
          <w:color w:val="auto"/>
        </w:rPr>
      </w:pPr>
    </w:p>
    <w:p>
      <w:pPr>
        <w:ind w:left="2620" w:hanging="366"/>
        <w:spacing w:after="0"/>
        <w:tabs>
          <w:tab w:leader="none" w:pos="26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Number U006706: 20,000 shares</w:t>
      </w:r>
    </w:p>
    <w:p>
      <w:pPr>
        <w:spacing w:after="0" w:line="14" w:lineRule="exact"/>
        <w:rPr>
          <w:rFonts w:ascii="Times New Roman" w:cs="Times New Roman" w:eastAsia="Times New Roman" w:hAnsi="Times New Roman"/>
          <w:sz w:val="22"/>
          <w:szCs w:val="22"/>
          <w:color w:val="auto"/>
        </w:rPr>
      </w:pPr>
    </w:p>
    <w:p>
      <w:pPr>
        <w:ind w:left="2620" w:hanging="366"/>
        <w:spacing w:after="0"/>
        <w:tabs>
          <w:tab w:leader="none" w:pos="26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Number U007922:  4,559 shares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Subject to the effectiveness of this Supplemental Release as provided herein and subject to Section 13 of the Agreement, all portions of the RSU Grants the vesting of which is accelerated pursuant to the terms herein will be settled within thirty (30) days following the Separation Date. The RSU Grants and the Shares issued thereunder will continue to be governed by the terms and conditions of the Award Documents.</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To the extent any Award has not vested through the Separation Date or is not eligible for the vesting acceleration provided above in this subsection b., such unvested portion of the Award automatically has been forfeited as of the end of the Separation Date and Employee no longer has any rights to such forfeited Awards (or applicable portions thereof) or the Shares subject thereto. For purposes of clarity, the Award of performance-based restricted stock units Grant Number </w:t>
      </w:r>
      <w:r>
        <w:rPr>
          <w:rFonts w:ascii="Times New Roman" w:cs="Times New Roman" w:eastAsia="Times New Roman" w:hAnsi="Times New Roman"/>
          <w:sz w:val="19"/>
          <w:szCs w:val="19"/>
          <w:color w:val="auto"/>
        </w:rPr>
        <w:t>P000084</w:t>
      </w:r>
      <w:r>
        <w:rPr>
          <w:rFonts w:ascii="Times New Roman" w:cs="Times New Roman" w:eastAsia="Times New Roman" w:hAnsi="Times New Roman"/>
          <w:sz w:val="22"/>
          <w:szCs w:val="22"/>
          <w:color w:val="auto"/>
        </w:rPr>
        <w:t xml:space="preserve"> has been forfeited in its entirety as of the Separation Date without having vested as to any portion thereof, and never will become vested.</w:t>
      </w:r>
    </w:p>
    <w:p>
      <w:pPr>
        <w:spacing w:after="0" w:line="200" w:lineRule="exact"/>
        <w:rPr>
          <w:sz w:val="20"/>
          <w:szCs w:val="20"/>
          <w:color w:val="auto"/>
        </w:rPr>
      </w:pPr>
    </w:p>
    <w:p>
      <w:pPr>
        <w:jc w:val="both"/>
        <w:ind w:firstLine="1505"/>
        <w:spacing w:after="0" w:line="235"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COBRA</w:t>
      </w:r>
      <w:r>
        <w:rPr>
          <w:rFonts w:ascii="Times New Roman" w:cs="Times New Roman" w:eastAsia="Times New Roman" w:hAnsi="Times New Roman"/>
          <w:sz w:val="22"/>
          <w:szCs w:val="22"/>
          <w:color w:val="auto"/>
        </w:rPr>
        <w:t>. Provided Employee timely elects continuation coverage pursuant to the Consolidated Omnibus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Budget Reconciliation Act of 1985, as amended (“COBRA”), within the time period prescribed pursuant to COBRA, the Company shall pay directly to the insurance provider for the costs Employee otherwise would incur for COBRA coverage for Employe and Employee’s eligible dependents for a period of twelve (12) months beginning the calendar month immediately following the calendar month in which the Separation Date occurred, or, if earlier, until the earlier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jc w:val="both"/>
        <w:spacing w:after="0" w:line="246" w:lineRule="auto"/>
        <w:rPr>
          <w:sz w:val="20"/>
          <w:szCs w:val="20"/>
          <w:color w:val="auto"/>
        </w:rPr>
      </w:pPr>
      <w:r>
        <w:rPr>
          <w:rFonts w:ascii="Times New Roman" w:cs="Times New Roman" w:eastAsia="Times New Roman" w:hAnsi="Times New Roman"/>
          <w:sz w:val="21"/>
          <w:szCs w:val="21"/>
          <w:color w:val="auto"/>
        </w:rPr>
        <w:t>the date Employee is no longer eligible for continuation coverage under COBRA or Employee has secured health insurance coverage through another employer. However, if the Company determines in its sole discretion that it cannot provide the following COBRA benefits without potentially violating applicable law (including, without limitation, Section 2716 of the Public Health Service Act), the Company will instead provide the Employee a taxable payment in an amount equal to the monthly COBRA premium that the Employee would be required to pay to continue the Employee’s group health coverage in effect on the date of termination of employment (which amount will be based on the premium for the first month of COBRA coverage), which payments will be made regardless of whether the Employee elects COBRA continuation coverage and will commence in the month following the month of the Separation Date and continue for the period of months indicated in this section (the “COBRA Replacement Payments”). For the avoidance of doubt, the COBRA Replacement Payments may be used for any purpose, including, but not limited to continuation coverage under COBRA, and will be subject to any applicable withholdings.</w:t>
      </w:r>
    </w:p>
    <w:p>
      <w:pPr>
        <w:spacing w:after="0" w:line="194" w:lineRule="exact"/>
        <w:rPr>
          <w:sz w:val="20"/>
          <w:szCs w:val="20"/>
          <w:color w:val="auto"/>
        </w:rPr>
      </w:pPr>
    </w:p>
    <w:p>
      <w:pPr>
        <w:ind w:firstLine="1505"/>
        <w:spacing w:after="0" w:line="262" w:lineRule="auto"/>
        <w:tabs>
          <w:tab w:leader="none" w:pos="203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Acknowledgement</w:t>
      </w:r>
      <w:r>
        <w:rPr>
          <w:rFonts w:ascii="Times New Roman" w:cs="Times New Roman" w:eastAsia="Times New Roman" w:hAnsi="Times New Roman"/>
          <w:sz w:val="22"/>
          <w:szCs w:val="22"/>
          <w:color w:val="auto"/>
        </w:rPr>
        <w:t>. Employee acknowledges that without this Supplemental Release, Employee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not entitled to the consideration listed in this section 1.</w:t>
      </w:r>
    </w:p>
    <w:p>
      <w:pPr>
        <w:spacing w:after="0" w:line="180" w:lineRule="exact"/>
        <w:rPr>
          <w:rFonts w:ascii="Times New Roman" w:cs="Times New Roman" w:eastAsia="Times New Roman" w:hAnsi="Times New Roman"/>
          <w:sz w:val="22"/>
          <w:szCs w:val="22"/>
          <w:color w:val="auto"/>
        </w:rPr>
      </w:pPr>
    </w:p>
    <w:p>
      <w:pPr>
        <w:jc w:val="both"/>
        <w:ind w:firstLine="757"/>
        <w:spacing w:after="0" w:line="232" w:lineRule="auto"/>
        <w:tabs>
          <w:tab w:leader="none" w:pos="120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Employee hereby releases and waives any and all claims, whether or not now known, that Employee has or might have against the Company or any of its current and/or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“Releasees”) arising from any omissions, acts, facts, or damages that have occurred up until and including that date Employee signed this Supplemental Release, including, but not limited to, the following: (a) claims arising under the federal or any state constitution; (b) claims arising under the federal or any state statute, including the Age Discrimination in Employment Act of 1967, the Older Workers Benefit Protection Act, Title VII of the Civil Rights Act of 1964, the Civil Rights Act of 1991, the Rehabilitation Act of 1973, the Americans with Disabilities Act of 1990, the Equal Pay Act, the Fair Labor Standards Act, the Fair Credit Reporting Act, the Employee Retirement Income Security Act of 1974, the Worker Adjustment and Retraining Notification Act, the Family and Medical Leave Act, the Immigration Reform and Control Act, the California Family Rights Act, the California Labor Code, and the California Workers’ Compensation Act; (c) claims arising under federal, state or local laws prohibiting discrimination in employment, including laws prohibiting discrimination in employment on the basis of race, sex, age, disability, national origin, or religion, such as the California Fair Employment and Housing Act; (d) claims for misclassification, wrongful discharge, breach of contract, breach of contract, breach of public policy, physical or mental harm or distress; (e) any claim for attorneys’ fees and costs; (f) any and all claims relating to, or arising from, Employee’s right to purchase, or actual purchase of shares of stock of the Company; (g) any claims of amounts due for fees, commissions, expenses, salary, bonuses, profit sharing, fringe benefits; and (h) any and all other claims arising from Employee’s relationship with the Company or the termination of that relationship, including, but not limited to, claims that may have arisen since the date Employee signed the Agreement. Employee agrees that Employee will not file any legal action asserting any such claims. Employee agrees that the release set forth in this Section 2 shall be and remain in effect in all respects as a complete general release as to the matters released. This release does not extend to: (i) any obligations incurred under this Supplemental Release; or (ii) claims that cannot be released as a matter of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3" w:name="page74"/>
    <w:bookmarkEnd w:id="73"/>
    <w:p>
      <w:pPr>
        <w:jc w:val="both"/>
        <w:ind w:firstLine="757"/>
        <w:spacing w:after="0" w:line="239" w:lineRule="auto"/>
        <w:tabs>
          <w:tab w:leader="none" w:pos="119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Employee’s signature below constitutes Employee’s certification under penalty of perjury that Employee has returned all documents and other items provided to Employee by the Company (with the exception of a copy of the Employee Handbook and personnel documents specifically relating to Employee), developed or obtained by Employee in connection with Employee’s employment with the Company, or otherwise belonging to the Company.</w:t>
      </w:r>
    </w:p>
    <w:p>
      <w:pPr>
        <w:spacing w:after="0" w:line="207" w:lineRule="exact"/>
        <w:rPr>
          <w:rFonts w:ascii="Times New Roman" w:cs="Times New Roman" w:eastAsia="Times New Roman" w:hAnsi="Times New Roman"/>
          <w:sz w:val="22"/>
          <w:szCs w:val="22"/>
          <w:color w:val="auto"/>
        </w:rPr>
      </w:pPr>
    </w:p>
    <w:p>
      <w:pPr>
        <w:jc w:val="both"/>
        <w:ind w:firstLine="757"/>
        <w:spacing w:after="0" w:line="239" w:lineRule="auto"/>
        <w:tabs>
          <w:tab w:leader="none" w:pos="122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The Agreement’s Provisions</w:t>
      </w:r>
      <w:r>
        <w:rPr>
          <w:rFonts w:ascii="Times New Roman" w:cs="Times New Roman" w:eastAsia="Times New Roman" w:hAnsi="Times New Roman"/>
          <w:sz w:val="22"/>
          <w:szCs w:val="22"/>
          <w:color w:val="auto"/>
        </w:rPr>
        <w:t>. The undersigned Parties further acknowledge that the terms of the Agreement, including, but not limited to, Sections 4 (Payment of Salary and Receipt of All Benefits), 6 (Trade Secrets and Confidential Information), 8 (Protected Activity Not Prohibited), 12 (Tax Consequences), and 13 (Section 409A) of the Agreement shall apply to this Supplemental Release and are expressly incorporated herein.</w:t>
      </w:r>
    </w:p>
    <w:p>
      <w:pPr>
        <w:spacing w:after="0" w:line="207"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of Waiver of Claims under ADEA</w:t>
      </w:r>
      <w:r>
        <w:rPr>
          <w:rFonts w:ascii="Times New Roman" w:cs="Times New Roman" w:eastAsia="Times New Roman" w:hAnsi="Times New Roman"/>
          <w:sz w:val="21"/>
          <w:szCs w:val="21"/>
          <w:color w:val="auto"/>
        </w:rPr>
        <w:t xml:space="preserve">. Employee acknowledges that Employee is waiving and releasing any rights Employee may have under the Age Discrimination in Employment Act of 1967 ("ADEA"), and that this waiver and release is knowing and voluntary. Employee agrees that this waiver and release does not apply to any rights or claims that may arise under the ADEA after the date Employee signs this Supplemental Release. Employee acknowledges that the consideration given for this waiver and release is in addition to anything of value to which Employee was already entitled. Employee further acknowledges that Employee has been advised by this writing that: (a) Employee should consult with an attorney </w:t>
      </w:r>
      <w:r>
        <w:rPr>
          <w:rFonts w:ascii="Times New Roman" w:cs="Times New Roman" w:eastAsia="Times New Roman" w:hAnsi="Times New Roman"/>
          <w:sz w:val="21"/>
          <w:szCs w:val="21"/>
          <w:u w:val="single" w:color="auto"/>
          <w:color w:val="auto"/>
        </w:rPr>
        <w:t>prior</w:t>
      </w:r>
      <w:r>
        <w:rPr>
          <w:rFonts w:ascii="Times New Roman" w:cs="Times New Roman" w:eastAsia="Times New Roman" w:hAnsi="Times New Roman"/>
          <w:sz w:val="21"/>
          <w:szCs w:val="21"/>
          <w:color w:val="auto"/>
        </w:rPr>
        <w:t xml:space="preserve"> to executing this Supplemental Release; (b) Employee has twenty-one (21) days within which to consider this Supplemental Release; (c) Employee has seven (7) days following Employee’s execution of this Supplemental Release to revoke this Supplemental Release; (d) this Supplemental Release shall not be effective until after the revocation period has expired; and</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1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Supplemental Release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Supplemental Release and returns it to the Company in less than the 21-day period identified above, Employee hereby acknowledges that Employee has freely and voluntarily chosen to waive the time period allotted for considering this Supplemental Release. Employee acknowledges and understands that revocation must be accomplished by a written notification to the person executing this Supplemental Release on the Company’s behalf that is received prior to the Effective Date. The Parties agree that changes, whether material or immaterial, do not restart the running of the 21-day period.</w:t>
      </w:r>
    </w:p>
    <w:p>
      <w:pPr>
        <w:spacing w:after="0" w:line="20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01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California Civil Code Section 1542</w:t>
      </w:r>
      <w:r>
        <w:rPr>
          <w:rFonts w:ascii="Times New Roman" w:cs="Times New Roman" w:eastAsia="Times New Roman" w:hAnsi="Times New Roman"/>
          <w:sz w:val="22"/>
          <w:szCs w:val="22"/>
          <w:color w:val="auto"/>
        </w:rPr>
        <w:t>. Employee acknowledges that Employee has been advised to consult with legal counsel and is familiar with the provisions of California Civil Code Section 1542, a statute that otherwise prohibits the release of unknown claims, which provides as follows:</w:t>
      </w:r>
    </w:p>
    <w:p>
      <w:pPr>
        <w:spacing w:after="0" w:line="200"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Employee, being aware of said code section, agrees to expressly waive any rights Employee may have thereunder, as well as under any other statute or common law principles of similar effect.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4" w:name="page75"/>
    <w:bookmarkEnd w:id="74"/>
    <w:p>
      <w:pPr>
        <w:jc w:val="both"/>
        <w:ind w:right="20" w:firstLine="757"/>
        <w:spacing w:after="0" w:line="239"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Pending or Future Lawsuits</w:t>
      </w:r>
      <w:r>
        <w:rPr>
          <w:rFonts w:ascii="Times New Roman" w:cs="Times New Roman" w:eastAsia="Times New Roman" w:hAnsi="Times New Roman"/>
          <w:sz w:val="22"/>
          <w:szCs w:val="22"/>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207"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w:t>
      </w:r>
      <w:r>
        <w:rPr>
          <w:rFonts w:ascii="Times New Roman" w:cs="Times New Roman" w:eastAsia="Times New Roman" w:hAnsi="Times New Roman"/>
          <w:sz w:val="22"/>
          <w:szCs w:val="22"/>
          <w:color w:val="auto"/>
        </w:rPr>
        <w:t>. Employee agrees to refrain from any disparagement, defamation, libel, or slander of any of the Releasees, and agrees to refrain from any tortious interference with the contracts and relationships of any of the Releasees. The Company agrees to refrain from making any disparaging statements about Employee. Employee understands that the Company’s obligations under this paragraph extend only to the Company’s current executive officers and only for so long as each officer is an employee of the Company. Employee shall direct any inquiries by potential future employers to the Company’s human resources department.</w:t>
      </w:r>
    </w:p>
    <w:p>
      <w:pPr>
        <w:spacing w:after="0" w:line="208" w:lineRule="exact"/>
        <w:rPr>
          <w:rFonts w:ascii="Times New Roman" w:cs="Times New Roman" w:eastAsia="Times New Roman" w:hAnsi="Times New Roman"/>
          <w:sz w:val="22"/>
          <w:szCs w:val="22"/>
          <w:color w:val="auto"/>
        </w:rPr>
      </w:pPr>
    </w:p>
    <w:p>
      <w:pPr>
        <w:jc w:val="both"/>
        <w:ind w:firstLine="757"/>
        <w:spacing w:after="0" w:line="242" w:lineRule="auto"/>
        <w:tabs>
          <w:tab w:leader="none" w:pos="101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EXCEPT AS PROHIBITED BY LAW, THE PARTIES AGREE THAT ANY AND ALL DISPUTES ARISING OUT OF THE TERMS OF THE AGREEMENT OR THIS SUPPLEMENTAL RELEASE, THEIR INTERPRETATION, EMPLOYEE’S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EMPLOYEE AGREES THAT, TO THE FULLEST EXTENT PERMITTED BY LAW, EMPLOYEE MAY BRING ANY SUCH ARBITRATION PROCEEDING ONLY IN EMPLOYEE’S INDIVIDUAL CAPACITY. ANY ARBITRATION WILL OCCUR IN SANTA CLARA COUNTY, CALIFORNIA,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5" w:name="page76"/>
    <w:bookmarkEnd w:id="75"/>
    <w:p>
      <w:pPr>
        <w:jc w:val="both"/>
        <w:spacing w:after="0" w:line="233" w:lineRule="auto"/>
        <w:rPr>
          <w:sz w:val="20"/>
          <w:szCs w:val="20"/>
          <w:color w:val="auto"/>
        </w:rPr>
      </w:pPr>
      <w:r>
        <w:rPr>
          <w:rFonts w:ascii="Times New Roman" w:cs="Times New Roman" w:eastAsia="Times New Roman" w:hAnsi="Times New Roman"/>
          <w:sz w:val="22"/>
          <w:szCs w:val="22"/>
          <w:color w:val="auto"/>
        </w:rPr>
        <w:t>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THE AGREEMENT, THIS SUPPLEMENTAL RELEASE, AND THE AGREEMENTS INCORPORATED HEREIN BY REFERENCE. SHOULD ANY PART OF THE ARBITRATION AGREEMENT CONTAINED IN THIS SECTION CONFLICT WITH ANY OTHER ARBITRATION AGREEMENT BETWEEN THE PARTIES, INCLUDING, BUT NOT LIMITED TO THE ARBITRATION SECTION OF THE CONFIDENTIALITY AGREEMENT, THE PARTIES AGREE THAT THIS ARBITRATION AGREEMENT IN THIS SECTION SHALL GOVERN.</w:t>
      </w:r>
    </w:p>
    <w:p>
      <w:pPr>
        <w:spacing w:after="0" w:line="21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Supplemental Release represents the entire agreement and understanding between the Company and Employee concerning the subject matter of this Supplemental Release and Employee’s employment with and separation from the Company and the events leading thereto and associated therewith, and supersedes and replaces any and all prior agreements and understandings concerning the subject matter of this Supplemental Release and Employee’s relationship with the Company, including the Severance Agreement, with the exception of the Agreement, the Confidentiality Agreement, [the Severance Award Agreement,] and the Award Documents, except as otherwise modified or superseded herein. For purposes of clarity, Employee will not be eligible for any severance payments or benefits under the Severance Agreement.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Employee has twenty-one (21) days to consider this Supplemental Release and seven (7) days to revoke this Supplemental Release after Employee executes this Supplemental Release. This Supplemental Release will become effective on the eighth (8th) day after Employee signed this Supplemental Release, so long as it has been signed by Employee within ten (10) days immediately following the Separation Date and has not been revoked by either Party before that date (the “Effective Date”).</w:t>
      </w:r>
    </w:p>
    <w:p>
      <w:pPr>
        <w:spacing w:after="0" w:line="20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Governing Law and Forum and Signing of Supplemental Release</w:t>
      </w:r>
      <w:r>
        <w:rPr>
          <w:rFonts w:ascii="Times New Roman" w:cs="Times New Roman" w:eastAsia="Times New Roman" w:hAnsi="Times New Roman"/>
          <w:sz w:val="22"/>
          <w:szCs w:val="22"/>
          <w:color w:val="auto"/>
        </w:rPr>
        <w:t>. This Supplemental Release shall be governed by the laws of the State of California, without regard for choice-of-law provisions, except that any dispute regarding the enforceability of the arbitration section of this Supplemental Release shall be governed by the FAA. Employee consents to personal and exclusive jurisdiction and venue in the State of California. This Supplemental Release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Supplemental Release may be executed and delivered by facsimile, photo, email PDF, or other electronic transmission or signature.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IS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ind w:left="880" w:hanging="863"/>
        <w:spacing w:after="0" w:line="463" w:lineRule="auto"/>
        <w:rPr>
          <w:sz w:val="20"/>
          <w:szCs w:val="20"/>
          <w:color w:val="auto"/>
        </w:rPr>
      </w:pPr>
      <w:r>
        <w:rPr>
          <w:rFonts w:ascii="Times New Roman" w:cs="Times New Roman" w:eastAsia="Times New Roman" w:hAnsi="Times New Roman"/>
          <w:sz w:val="22"/>
          <w:szCs w:val="22"/>
          <w:color w:val="auto"/>
        </w:rPr>
        <w:t>IN WITNESS WHEREOF, the Parties have executed this Supplemental Release on the respective dates set forth below. BRIAN WHITE, an individual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-13970</wp:posOffset>
            </wp:positionV>
            <wp:extent cx="10972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22"/>
          <w:szCs w:val="22"/>
          <w:color w:val="auto"/>
        </w:rPr>
        <w:t>Brian White</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AMBARELLA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 2024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-13970</wp:posOffset>
            </wp:positionV>
            <wp:extent cx="6286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Fermi Wang</w:t>
      </w:r>
    </w:p>
    <w:p>
      <w:pPr>
        <w:spacing w:after="0" w:line="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55" w:right="1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EQUITY AWARDS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360" w:type="dxa"/>
            <w:vAlign w:val="bottom"/>
            <w:tcBorders>
              <w:top w:val="single" w:sz="8" w:color="auto"/>
              <w:left w:val="single" w:sz="8" w:color="auto"/>
              <w:right w:val="single" w:sz="8" w:color="auto"/>
            </w:tcBorders>
          </w:tcPr>
          <w:p>
            <w:pPr>
              <w:spacing w:after="0"/>
              <w:rPr>
                <w:sz w:val="20"/>
                <w:szCs w:val="20"/>
                <w:color w:val="auto"/>
              </w:rPr>
            </w:pPr>
          </w:p>
        </w:tc>
        <w:tc>
          <w:tcPr>
            <w:tcW w:w="1980" w:type="dxa"/>
            <w:vAlign w:val="bottom"/>
            <w:tcBorders>
              <w:top w:val="single" w:sz="8" w:color="auto"/>
              <w:right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Number of Shares</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 of Shares That Will</w:t>
            </w:r>
          </w:p>
        </w:tc>
      </w:tr>
      <w:tr>
        <w:trPr>
          <w:trHeight w:val="205"/>
        </w:trPr>
        <w:tc>
          <w:tcPr>
            <w:tcW w:w="1360" w:type="dxa"/>
            <w:vAlign w:val="bottom"/>
            <w:tcBorders>
              <w:left w:val="single" w:sz="8" w:color="auto"/>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0"/>
                <w:szCs w:val="20"/>
                <w:b w:val="1"/>
                <w:bCs w:val="1"/>
                <w:color w:val="auto"/>
                <w:w w:val="97"/>
              </w:rPr>
              <w:t>Subject to Award at</w:t>
            </w:r>
          </w:p>
        </w:tc>
        <w:tc>
          <w:tcPr>
            <w:tcW w:w="28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0"/>
                <w:szCs w:val="20"/>
                <w:b w:val="1"/>
                <w:bCs w:val="1"/>
                <w:color w:val="auto"/>
                <w:w w:val="98"/>
              </w:rPr>
              <w:t>Have Vested Under the Award</w:t>
            </w:r>
          </w:p>
        </w:tc>
      </w:tr>
      <w:tr>
        <w:trPr>
          <w:trHeight w:val="311"/>
        </w:trPr>
        <w:tc>
          <w:tcPr>
            <w:tcW w:w="13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Type of Award</w:t>
            </w:r>
          </w:p>
        </w:tc>
        <w:tc>
          <w:tcPr>
            <w:tcW w:w="15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Grant Number</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Equity Plan</w:t>
            </w:r>
          </w:p>
        </w:tc>
        <w:tc>
          <w:tcPr>
            <w:tcW w:w="2280" w:type="dxa"/>
            <w:vAlign w:val="bottom"/>
            <w:tcBorders>
              <w:bottom w:val="single" w:sz="8" w:color="auto"/>
              <w:right w:val="single" w:sz="8" w:color="auto"/>
            </w:tcBorders>
          </w:tcPr>
          <w:p>
            <w:pPr>
              <w:jc w:val="center"/>
              <w:spacing w:after="0" w:line="291" w:lineRule="exact"/>
              <w:rPr>
                <w:sz w:val="20"/>
                <w:szCs w:val="20"/>
                <w:color w:val="auto"/>
              </w:rPr>
            </w:pPr>
            <w:r>
              <w:rPr>
                <w:rFonts w:ascii="Times New Roman" w:cs="Times New Roman" w:eastAsia="Times New Roman" w:hAnsi="Times New Roman"/>
                <w:sz w:val="20"/>
                <w:szCs w:val="20"/>
                <w:b w:val="1"/>
                <w:bCs w:val="1"/>
                <w:color w:val="auto"/>
                <w:w w:val="93"/>
              </w:rPr>
              <w:t>Grant</w:t>
            </w:r>
            <w:r>
              <w:rPr>
                <w:rFonts w:ascii="Times New Roman" w:cs="Times New Roman" w:eastAsia="Times New Roman" w:hAnsi="Times New Roman"/>
                <w:sz w:val="26"/>
                <w:szCs w:val="26"/>
                <w:color w:val="auto"/>
                <w:w w:val="93"/>
                <w:vertAlign w:val="superscript"/>
              </w:rPr>
              <w:t>(1)</w:t>
            </w:r>
          </w:p>
        </w:tc>
        <w:tc>
          <w:tcPr>
            <w:tcW w:w="2800" w:type="dxa"/>
            <w:vAlign w:val="bottom"/>
            <w:tcBorders>
              <w:bottom w:val="single" w:sz="8" w:color="auto"/>
              <w:right w:val="single" w:sz="8" w:color="auto"/>
            </w:tcBorders>
          </w:tcPr>
          <w:p>
            <w:pPr>
              <w:jc w:val="center"/>
              <w:spacing w:after="0" w:line="291" w:lineRule="exact"/>
              <w:rPr>
                <w:sz w:val="20"/>
                <w:szCs w:val="20"/>
                <w:color w:val="auto"/>
              </w:rPr>
            </w:pPr>
            <w:r>
              <w:rPr>
                <w:rFonts w:ascii="Times New Roman" w:cs="Times New Roman" w:eastAsia="Times New Roman" w:hAnsi="Times New Roman"/>
                <w:sz w:val="20"/>
                <w:szCs w:val="20"/>
                <w:b w:val="1"/>
                <w:bCs w:val="1"/>
                <w:color w:val="auto"/>
                <w:w w:val="95"/>
              </w:rPr>
              <w:t>Through 1/31/2024</w:t>
            </w:r>
            <w:r>
              <w:rPr>
                <w:rFonts w:ascii="Times New Roman" w:cs="Times New Roman" w:eastAsia="Times New Roman" w:hAnsi="Times New Roman"/>
                <w:sz w:val="26"/>
                <w:szCs w:val="26"/>
                <w:color w:val="auto"/>
                <w:w w:val="95"/>
                <w:vertAlign w:val="superscript"/>
              </w:rPr>
              <w:t>(2)</w:t>
            </w:r>
          </w:p>
        </w:tc>
      </w:tr>
      <w:tr>
        <w:trPr>
          <w:trHeight w:val="210"/>
        </w:trPr>
        <w:tc>
          <w:tcPr>
            <w:tcW w:w="13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rPr>
              <w:t>Restricted Stock</w:t>
            </w:r>
          </w:p>
        </w:tc>
        <w:tc>
          <w:tcPr>
            <w:tcW w:w="15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5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3/28/2022</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Units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U006706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2280" w:type="dxa"/>
            <w:vAlign w:val="bottom"/>
            <w:tcBorders>
              <w:right w:val="single" w:sz="8" w:color="auto"/>
            </w:tcBorders>
          </w:tcPr>
          <w:p>
            <w:pPr>
              <w:jc w:val="right"/>
              <w:ind w:right="1501"/>
              <w:spacing w:after="0"/>
              <w:rPr>
                <w:sz w:val="20"/>
                <w:szCs w:val="20"/>
                <w:color w:val="auto"/>
              </w:rPr>
            </w:pPr>
            <w:r>
              <w:rPr>
                <w:rFonts w:ascii="Times New Roman" w:cs="Times New Roman" w:eastAsia="Times New Roman" w:hAnsi="Times New Roman"/>
                <w:sz w:val="20"/>
                <w:szCs w:val="20"/>
                <w:color w:val="auto"/>
              </w:rPr>
              <w:t>80,000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35,000</w:t>
            </w:r>
          </w:p>
        </w:tc>
      </w:tr>
      <w:tr>
        <w:trPr>
          <w:trHeight w:val="34"/>
        </w:trPr>
        <w:tc>
          <w:tcPr>
            <w:tcW w:w="136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27"/>
        </w:trPr>
        <w:tc>
          <w:tcPr>
            <w:tcW w:w="13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Restricted Stock</w:t>
            </w:r>
          </w:p>
        </w:tc>
        <w:tc>
          <w:tcPr>
            <w:tcW w:w="15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r>
      <w:tr>
        <w:trPr>
          <w:trHeight w:val="25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3/2/2023</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Units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U007922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2280" w:type="dxa"/>
            <w:vAlign w:val="bottom"/>
            <w:tcBorders>
              <w:right w:val="single" w:sz="8" w:color="auto"/>
            </w:tcBorders>
          </w:tcPr>
          <w:p>
            <w:pPr>
              <w:jc w:val="right"/>
              <w:ind w:right="1501"/>
              <w:spacing w:after="0"/>
              <w:rPr>
                <w:sz w:val="20"/>
                <w:szCs w:val="20"/>
                <w:color w:val="auto"/>
              </w:rPr>
            </w:pPr>
            <w:r>
              <w:rPr>
                <w:rFonts w:ascii="Times New Roman" w:cs="Times New Roman" w:eastAsia="Times New Roman" w:hAnsi="Times New Roman"/>
                <w:sz w:val="20"/>
                <w:szCs w:val="20"/>
                <w:color w:val="auto"/>
              </w:rPr>
              <w:t>13,678</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3,420</w:t>
            </w:r>
          </w:p>
        </w:tc>
      </w:tr>
      <w:tr>
        <w:trPr>
          <w:trHeight w:val="34"/>
        </w:trPr>
        <w:tc>
          <w:tcPr>
            <w:tcW w:w="136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27"/>
        </w:trPr>
        <w:tc>
          <w:tcPr>
            <w:tcW w:w="13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Performance-Based</w:t>
            </w:r>
          </w:p>
        </w:tc>
        <w:tc>
          <w:tcPr>
            <w:tcW w:w="15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r>
      <w:tr>
        <w:trPr>
          <w:trHeight w:val="229"/>
        </w:trPr>
        <w:tc>
          <w:tcPr>
            <w:tcW w:w="13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Restricted Stock</w:t>
            </w:r>
          </w:p>
        </w:tc>
        <w:tc>
          <w:tcPr>
            <w:tcW w:w="15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r>
      <w:tr>
        <w:trPr>
          <w:trHeight w:val="25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4/3/2023</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Units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P000084</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2280" w:type="dxa"/>
            <w:vAlign w:val="bottom"/>
            <w:tcBorders>
              <w:right w:val="single" w:sz="8" w:color="auto"/>
            </w:tcBorders>
          </w:tcPr>
          <w:p>
            <w:pPr>
              <w:jc w:val="right"/>
              <w:ind w:right="1501"/>
              <w:spacing w:after="0"/>
              <w:rPr>
                <w:sz w:val="20"/>
                <w:szCs w:val="20"/>
                <w:color w:val="auto"/>
              </w:rPr>
            </w:pPr>
            <w:r>
              <w:rPr>
                <w:rFonts w:ascii="Times New Roman" w:cs="Times New Roman" w:eastAsia="Times New Roman" w:hAnsi="Times New Roman"/>
                <w:sz w:val="20"/>
                <w:szCs w:val="20"/>
                <w:color w:val="auto"/>
              </w:rPr>
              <w:t>13,678</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r>
      <w:tr>
        <w:trPr>
          <w:trHeight w:val="34"/>
        </w:trPr>
        <w:tc>
          <w:tcPr>
            <w:tcW w:w="136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59" w:lineRule="exact"/>
        <w:rPr>
          <w:sz w:val="20"/>
          <w:szCs w:val="20"/>
          <w:color w:val="auto"/>
        </w:rPr>
      </w:pPr>
    </w:p>
    <w:p>
      <w:pPr>
        <w:ind w:left="380" w:right="460" w:hanging="372"/>
        <w:spacing w:after="0" w:line="241" w:lineRule="auto"/>
        <w:tabs>
          <w:tab w:leader="none" w:pos="3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shown for any Award of performance-based restricted stock units is based on target number of Shares subject to the Award at grant.</w:t>
      </w:r>
    </w:p>
    <w:p>
      <w:pPr>
        <w:spacing w:after="0" w:line="1" w:lineRule="exact"/>
        <w:rPr>
          <w:rFonts w:ascii="Times New Roman" w:cs="Times New Roman" w:eastAsia="Times New Roman" w:hAnsi="Times New Roman"/>
          <w:sz w:val="22"/>
          <w:szCs w:val="22"/>
          <w:color w:val="auto"/>
        </w:rPr>
      </w:pPr>
    </w:p>
    <w:p>
      <w:pPr>
        <w:ind w:left="380" w:right="220" w:hanging="372"/>
        <w:spacing w:after="0" w:line="258" w:lineRule="auto"/>
        <w:tabs>
          <w:tab w:leader="none" w:pos="3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Employee’s continued employment with the Company through such date. The number of Shares shown does not include any Shares that may vest pursuant to the acceleration of vesting provisions set forth in the Supplemental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p>
      <w:pPr>
        <w:ind w:left="824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217295" cy="1054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121729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October 17, 2023</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John Young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John,</w:t>
      </w:r>
    </w:p>
    <w:p>
      <w:pPr>
        <w:spacing w:after="0" w:line="245" w:lineRule="exact"/>
        <w:rPr>
          <w:sz w:val="20"/>
          <w:szCs w:val="20"/>
          <w:color w:val="auto"/>
        </w:rPr>
      </w:pPr>
    </w:p>
    <w:p>
      <w:pPr>
        <w:jc w:val="both"/>
        <w:ind w:firstLine="414"/>
        <w:spacing w:after="0" w:line="264" w:lineRule="auto"/>
        <w:rPr>
          <w:sz w:val="20"/>
          <w:szCs w:val="20"/>
          <w:color w:val="auto"/>
        </w:rPr>
      </w:pPr>
      <w:r>
        <w:rPr>
          <w:rFonts w:ascii="Times New Roman" w:cs="Times New Roman" w:eastAsia="Times New Roman" w:hAnsi="Times New Roman"/>
          <w:sz w:val="20"/>
          <w:szCs w:val="20"/>
          <w:color w:val="auto"/>
        </w:rPr>
        <w:t>As discussed, I am pleased to offer you a position with Ambarella Corporation (the "Company") as Chief Financial Officer (“CFO”), reporting to the Company’s Chief Executive Officer (the “CEO”), who currently is myself, effective upon Brian White’s anticipated retirement at the end of the current fiscal year. You will perform the duties and responsibilities customary for such position and such other related duties that are lawfully assigned by the CEO. Your primary work location will continue to be the Company’s offices in Santa Clara, California, subject to any travel required for business from time to time commensurate with your role as CFO.</w:t>
      </w:r>
    </w:p>
    <w:p>
      <w:pPr>
        <w:spacing w:after="0" w:line="16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This is a salaried full-time position. Upon assuming the role of CFO, you will be paid a base salary semi-monthly in the amount of $12,500.00 (an annual equivalent of $300,000) in accordance with the Company's normal payroll procedures. You will continue to be eligible to participate in the benefit plans and programs established by the Company for its employees from time to time, subject to their applicable terms and conditions, including without limitation any eligibility requirements. The Company reserves the right to modify, amend, suspend or terminate the benefit plans and programs it offers to its employees at any time. You should note that your base salary will be subject to review and adjustment from time to time by the Company’s Board of Directors (the “Board”) or its Compensation Committee (the “Committee”), as applicable, in its sole discretion.</w:t>
      </w:r>
    </w:p>
    <w:p>
      <w:pPr>
        <w:spacing w:after="0" w:line="211"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1"/>
          <w:szCs w:val="21"/>
          <w:color w:val="auto"/>
        </w:rPr>
        <w:t>Upon assuming the role of CFO, you will be eligible to participate in the Company’s bonus plan with an annual bonus target of 70% of your base salary based on the plan guidelines. Bonus payments under such plan will be subject to the achievement of the applicable individual and Company objectives as determined by the Board or Committee, in its sole discretion, and may be prorated for the Company’s fiscal year in which you assume the role of CFO. As retention is a key component of our bonus program, in order to earn any annual bonus, you must remain employed through the date such bonus is actually paid to you. Any bonus amount paid pursuant to such annual bonus program shall in no event be paid after the later of (i) 2½ months after the end of the Company’s fiscal year in which such bonus is earned or, (ii)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following the calendar year in which any such bonus is earned. Your annual bonus opportunity and the applicable terms and conditions, as well as the bonus plan, may be adjusted from time to time by the Board or the Committee, as applicable, at its sole discretion. No payments may be made under the bonus plan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9" w:name="page80"/>
    <w:bookmarkEnd w:id="79"/>
    <w:p>
      <w:pPr>
        <w:ind w:right="40"/>
        <w:spacing w:after="0" w:line="270" w:lineRule="auto"/>
        <w:rPr>
          <w:sz w:val="20"/>
          <w:szCs w:val="20"/>
          <w:color w:val="auto"/>
        </w:rPr>
      </w:pPr>
      <w:r>
        <w:rPr>
          <w:rFonts w:ascii="Times New Roman" w:cs="Times New Roman" w:eastAsia="Times New Roman" w:hAnsi="Times New Roman"/>
          <w:sz w:val="21"/>
          <w:szCs w:val="21"/>
          <w:color w:val="auto"/>
        </w:rPr>
        <w:t>required objectives are not achieved. In addition, the Board or Committee may award you discretionary bonuses at such times and with such terms and conditions as it deems appropriate from time to time.</w:t>
      </w:r>
    </w:p>
    <w:p>
      <w:pPr>
        <w:spacing w:after="0" w:line="186" w:lineRule="exact"/>
        <w:rPr>
          <w:sz w:val="20"/>
          <w:szCs w:val="20"/>
          <w:color w:val="auto"/>
        </w:rPr>
      </w:pPr>
    </w:p>
    <w:p>
      <w:pPr>
        <w:ind w:right="20" w:firstLine="749"/>
        <w:spacing w:after="0" w:line="226" w:lineRule="auto"/>
        <w:rPr>
          <w:sz w:val="20"/>
          <w:szCs w:val="20"/>
          <w:color w:val="auto"/>
        </w:rPr>
      </w:pPr>
      <w:r>
        <w:rPr>
          <w:rFonts w:ascii="Times New Roman" w:cs="Times New Roman" w:eastAsia="Times New Roman" w:hAnsi="Times New Roman"/>
          <w:sz w:val="21"/>
          <w:szCs w:val="21"/>
          <w:color w:val="auto"/>
        </w:rPr>
        <w:t>In connection with your assuming the role of CFO, you will be granted an award of Restricted Stock Units covering 30,000 Ordinary Shares of the Company (the “RSU”), which will be scheduled to vest quarterly in equal installments on each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June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September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and December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i w:val="1"/>
          <w:iCs w:val="1"/>
          <w:color w:val="auto"/>
        </w:rPr>
        <w:t>Quarterly Vest Date</w:t>
      </w:r>
      <w:r>
        <w:rPr>
          <w:rFonts w:ascii="Times New Roman" w:cs="Times New Roman" w:eastAsia="Times New Roman" w:hAnsi="Times New Roman"/>
          <w:sz w:val="21"/>
          <w:szCs w:val="21"/>
          <w:color w:val="auto"/>
        </w:rPr>
        <w:t>”) over 4 years. The grant date of the RSU will be no later than the next Quarterly Vest Date that follows the meeting of the Board in which your RSU is approved for grant. The RSU shall be subject to the terms and conditions of the Company’s 2021 Equity Incentive Plan (the “Plan”) and the related Restricted Stock Unit Award Agreement, including vesting requirements. No right to any stock is earned or accrued until such time that vesting occurs, nor does the grant confer any right to continue vesting or employment.</w:t>
      </w:r>
    </w:p>
    <w:p>
      <w:pPr>
        <w:spacing w:after="0" w:line="222" w:lineRule="exact"/>
        <w:rPr>
          <w:sz w:val="20"/>
          <w:szCs w:val="20"/>
          <w:color w:val="auto"/>
        </w:rPr>
      </w:pPr>
    </w:p>
    <w:p>
      <w:pPr>
        <w:ind w:right="160" w:firstLine="749"/>
        <w:spacing w:after="0" w:line="251" w:lineRule="auto"/>
        <w:rPr>
          <w:sz w:val="20"/>
          <w:szCs w:val="20"/>
          <w:color w:val="auto"/>
        </w:rPr>
      </w:pPr>
      <w:r>
        <w:rPr>
          <w:rFonts w:ascii="Times New Roman" w:cs="Times New Roman" w:eastAsia="Times New Roman" w:hAnsi="Times New Roman"/>
          <w:sz w:val="21"/>
          <w:szCs w:val="21"/>
          <w:color w:val="auto"/>
        </w:rPr>
        <w:t>Further, you will also be eligible to participate in the Company’s annual executive equity program beginning with fiscal year 2025 (beginning February 1, 2024). For fiscal year 2025, you will be eligible for an award of RSUs and/or performance-based RSUs with an aggregate target value of $1,850,000, subject to the terms and conditions of the Plan and the related Restricted Stock Unit Agreement(s).</w:t>
      </w:r>
    </w:p>
    <w:p>
      <w:pPr>
        <w:spacing w:after="0" w:line="205" w:lineRule="exact"/>
        <w:rPr>
          <w:sz w:val="20"/>
          <w:szCs w:val="20"/>
          <w:color w:val="auto"/>
        </w:rPr>
      </w:pPr>
    </w:p>
    <w:p>
      <w:pPr>
        <w:ind w:right="140" w:firstLine="749"/>
        <w:spacing w:after="0" w:line="274" w:lineRule="auto"/>
        <w:rPr>
          <w:sz w:val="20"/>
          <w:szCs w:val="20"/>
          <w:color w:val="auto"/>
        </w:rPr>
      </w:pPr>
      <w:r>
        <w:rPr>
          <w:rFonts w:ascii="Times New Roman" w:cs="Times New Roman" w:eastAsia="Times New Roman" w:hAnsi="Times New Roman"/>
          <w:sz w:val="20"/>
          <w:szCs w:val="20"/>
          <w:color w:val="auto"/>
        </w:rPr>
        <w:t>All grants of equity awards will be subject to the approval of the Board or Committee, as applicable. The Board or Committee, as applicable, will determine in its sole discretion whether you will be granted any additional equity awards and the terms of any such awards in accordance with the terms of any applicable plan or arrangement that may be in effect from time to time.</w:t>
      </w:r>
    </w:p>
    <w:p>
      <w:pPr>
        <w:spacing w:after="0" w:line="184"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1"/>
          <w:szCs w:val="21"/>
          <w:color w:val="auto"/>
        </w:rPr>
        <w:t>In addition, the Company will enter into an amended Change of Control and Severance Agreement (the “Severance Agreement”) with you that will provide you with certain benefits upon a termination of your employment under conditions described in the Severance Agreement. Any severance payments and benefits will be subject to the terms and conditions of such Severance Agreement, including provisions intended for such payments and benefits to be exempt from, or otherwise to comply with, the requirements of Section 409A of the Internal Revenue Code, and any ambiguities herein will be interpreted to so comply. You and the Company agree to work together in good faith to consider amendments to this letter agreement and to take such reasonable actions necessary, appropriate or desirable to avoid imposition of any additional tax or income recognition prior to actual payment to you under Section 409A. Upon the effectiveness of the Severance Agreement, the Severance Agreement will supersede in its entirety the Change of Control and Severance Agreement you previously entered into with the Company.</w:t>
      </w:r>
    </w:p>
    <w:p>
      <w:pPr>
        <w:spacing w:after="0" w:line="211"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1"/>
          <w:szCs w:val="21"/>
          <w:color w:val="auto"/>
        </w:rPr>
        <w:t>The Company is excited about your continuing employment in this new role. Nevertheless, you should be aware that your employment with the Company is for no specified period and constitutes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Any termination of your employment for any reason will constitute, without any further required action by you, your resignation from all officer and/or director positions held at the Company or any of its subsidiaries and affiliates, and at the Board’s request, you will execute any documents reasonably necessary to reflect such resignations.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ind w:left="760"/>
        <w:spacing w:after="0"/>
        <w:rPr>
          <w:sz w:val="20"/>
          <w:szCs w:val="20"/>
          <w:color w:val="auto"/>
        </w:rPr>
      </w:pPr>
      <w:r>
        <w:rPr>
          <w:rFonts w:ascii="Times New Roman" w:cs="Times New Roman" w:eastAsia="Times New Roman" w:hAnsi="Times New Roman"/>
          <w:sz w:val="20"/>
          <w:szCs w:val="20"/>
          <w:color w:val="auto"/>
        </w:rPr>
        <w:t>This letter agreement, along with any agreements relating to proprietary rights between you and the Company, the Plan,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award agreements under the Plan, set forth the terms of your employment with the Company and supersede any prior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representations or agreements including, but not limited to, any representations made during your recruitment, interviews or</w:t>
      </w:r>
    </w:p>
    <w:p>
      <w:pPr>
        <w:spacing w:after="0" w:line="2"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pre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employment negotiations, whether written or oral. This letter agreement, including, but not limited to, its at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will employment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provision, may not be modified or amended except by a written agreement signed by the President of the Company and you.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payments and benefits under this letter agreement will be subject to any applicable withholdings and payroll deductions.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We look forward to a continued beneficial and productive relationship.</w:t>
      </w: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Sincerely,</w:t>
      </w: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-12065</wp:posOffset>
            </wp:positionV>
            <wp:extent cx="131381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Feng-Ming Wang</w:t>
      </w:r>
    </w:p>
    <w:p>
      <w:pPr>
        <w:spacing w:after="0" w:line="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to and accepted: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John Young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John Young</w:t>
      </w:r>
    </w:p>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-27305</wp:posOffset>
            </wp:positionV>
            <wp:extent cx="8648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64870" cy="8890"/>
                    </a:xfrm>
                    <a:prstGeom prst="rect">
                      <a:avLst/>
                    </a:prstGeom>
                    <a:noFill/>
                  </pic:spPr>
                </pic:pic>
              </a:graphicData>
            </a:graphic>
          </wp:anchor>
        </w:drawing>
      </w:r>
    </w:p>
    <w:p>
      <w:pPr>
        <w:sectPr>
          <w:pgSz w:w="11900" w:h="16838" w:orient="portrait"/>
          <w:cols w:equalWidth="0" w:num="1">
            <w:col w:w="11020"/>
          </w:cols>
          <w:pgMar w:left="320" w:top="579" w:right="5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2023</w:t>
      </w:r>
    </w:p>
    <w:p>
      <w:pPr>
        <w:spacing w:after="0" w:line="23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26035</wp:posOffset>
            </wp:positionV>
            <wp:extent cx="30600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Feng-Ming Wang</w:t>
      </w:r>
    </w:p>
    <w:p>
      <w:pPr>
        <w:spacing w:after="0" w:line="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C. White, certify that:</w:t>
      </w:r>
    </w:p>
    <w:p>
      <w:pPr>
        <w:spacing w:after="0" w:line="225"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2023</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22860</wp:posOffset>
            </wp:positionV>
            <wp:extent cx="32746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Brian C. White</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October 31,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2023</w:t>
      </w:r>
    </w:p>
    <w:p>
      <w:pPr>
        <w:spacing w:after="0" w:line="293" w:lineRule="exact"/>
        <w:rPr>
          <w:sz w:val="20"/>
          <w:szCs w:val="20"/>
          <w:color w:val="auto"/>
        </w:rPr>
      </w:pPr>
    </w:p>
    <w:tbl>
      <w:tblPr>
        <w:tblLayout w:type="fixed"/>
        <w:tblInd w:w="644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Feng-Ming Wang</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Brian C. White, certify, pursuant to 18 U.S.C. Section 1350, as adopted pursuant to Section 906 of the Sarbanes-Oxley Act of 2002, that the Quarterly Report of Ambarella, Inc. on Form 10-Q for the fiscal quarter ended October 31,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 White</w:t>
            </w:r>
          </w:p>
        </w:tc>
      </w:tr>
      <w:tr>
        <w:trPr>
          <w:trHeight w:val="234"/>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Brian C. White</w:t>
            </w:r>
          </w:p>
        </w:tc>
      </w:tr>
      <w:tr>
        <w:trPr>
          <w:trHeight w:val="238"/>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60"/>
        </w:trPr>
        <w:tc>
          <w:tcPr>
            <w:tcW w:w="72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3"/>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04"/>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lvl w:ilvl="1">
      <w:lvlJc w:val="left"/>
      <w:lvlText w:val="%2"/>
      <w:numFmt w:val="lowerLetter"/>
      <w:start w:val="1"/>
    </w:lvl>
  </w:abstractNum>
  <w:abstractNum w:abstractNumId="24">
    <w:nsid w:val="3006C83E"/>
    <w:multiLevelType w:val="hybridMultilevel"/>
    <w:lvl w:ilvl="0">
      <w:lvlJc w:val="left"/>
      <w:lvlText w:val="%1"/>
      <w:numFmt w:val="decimal"/>
      <w:start w:val="1"/>
    </w:lvl>
    <w:lvl w:ilvl="1">
      <w:lvlJc w:val="left"/>
      <w:lvlText w:val="%2."/>
      <w:numFmt w:val="lowerLetter"/>
      <w:start w:val="2"/>
    </w:lvl>
  </w:abstractNum>
  <w:abstractNum w:abstractNumId="25">
    <w:nsid w:val="614FD4A1"/>
    <w:multiLevelType w:val="hybridMultilevel"/>
    <w:lvl w:ilvl="0">
      <w:lvlJc w:val="left"/>
      <w:lvlText w:val="%1."/>
      <w:numFmt w:val="decimal"/>
      <w:start w:val="2"/>
    </w:lvl>
    <w:lvl w:ilvl="1">
      <w:lvlJc w:val="left"/>
      <w:lvlText w:val="%2"/>
      <w:numFmt w:val="lowerLetter"/>
      <w:start w:val="1"/>
    </w:lvl>
  </w:abstractNum>
  <w:abstractNum w:abstractNumId="26">
    <w:nsid w:val="419AC24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7">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8">
    <w:nsid w:val="440BADFC"/>
    <w:multiLevelType w:val="hybridMultilevel"/>
    <w:lvl w:ilvl="0">
      <w:lvlJc w:val="left"/>
      <w:lvlText w:val="%1."/>
      <w:numFmt w:val="decimal"/>
      <w:start w:val="6"/>
    </w:lvl>
  </w:abstractNum>
  <w:abstractNum w:abstractNumId="29">
    <w:nsid w:val="5072367"/>
    <w:multiLevelType w:val="hybridMultilevel"/>
    <w:lvl w:ilvl="0">
      <w:lvlJc w:val="left"/>
      <w:lvlText w:val="%1."/>
      <w:numFmt w:val="decimal"/>
      <w:start w:val="9"/>
    </w:lvl>
  </w:abstractNum>
  <w:abstractNum w:abstractNumId="30">
    <w:nsid w:val="3804823E"/>
    <w:multiLevelType w:val="hybridMultilevel"/>
    <w:lvl w:ilvl="0">
      <w:lvlJc w:val="left"/>
      <w:lvlText w:val="(%1)"/>
      <w:numFmt w:val="lowerLetter"/>
      <w:start w:val="5"/>
    </w:lvl>
  </w:abstractNum>
  <w:abstractNum w:abstractNumId="31">
    <w:nsid w:val="77465F01"/>
    <w:multiLevelType w:val="hybridMultilevel"/>
    <w:lvl w:ilvl="0">
      <w:lvlJc w:val="left"/>
      <w:lvlText w:val="%1."/>
      <w:numFmt w:val="decimal"/>
      <w:start w:val="1"/>
    </w:lvl>
    <w:lvl w:ilvl="1">
      <w:lvlJc w:val="left"/>
      <w:lvlText w:val="%2"/>
      <w:numFmt w:val="lowerLetter"/>
      <w:start w:val="1"/>
    </w:lvl>
  </w:abstractNum>
  <w:abstractNum w:abstractNumId="32">
    <w:nsid w:val="7724C67E"/>
    <w:multiLevelType w:val="hybridMultilevel"/>
    <w:lvl w:ilvl="0">
      <w:lvlJc w:val="left"/>
      <w:lvlText w:val="%1."/>
      <w:numFmt w:val="lowerLetter"/>
      <w:start w:val="2"/>
    </w:lvl>
    <w:lvl w:ilvl="1">
      <w:lvlJc w:val="left"/>
      <w:lvlText w:val="%2."/>
      <w:numFmt w:val="lowerRoman"/>
      <w:start w:val="1"/>
    </w:lvl>
  </w:abstractNum>
  <w:abstractNum w:abstractNumId="33">
    <w:nsid w:val="5C482A97"/>
    <w:multiLevelType w:val="hybridMultilevel"/>
    <w:lvl w:ilvl="0">
      <w:lvlJc w:val="left"/>
      <w:lvlText w:val="%1."/>
      <w:numFmt w:val="lowerLetter"/>
      <w:start w:val="4"/>
    </w:lvl>
  </w:abstractNum>
  <w:abstractNum w:abstractNumId="34">
    <w:nsid w:val="2463B9EA"/>
    <w:multiLevelType w:val="hybridMultilevel"/>
    <w:lvl w:ilvl="0">
      <w:lvlJc w:val="left"/>
      <w:lvlText w:val="%1"/>
      <w:numFmt w:val="decimal"/>
      <w:start w:val="1"/>
    </w:lvl>
    <w:lvl w:ilvl="1">
      <w:lvlJc w:val="left"/>
      <w:lvlText w:val="%2."/>
      <w:numFmt w:val="lowerLetter"/>
      <w:start w:val="5"/>
    </w:lvl>
  </w:abstractNum>
  <w:abstractNum w:abstractNumId="35">
    <w:nsid w:val="5E884ADC"/>
    <w:multiLevelType w:val="hybridMultilevel"/>
    <w:lvl w:ilvl="0">
      <w:lvlJc w:val="left"/>
      <w:lvlText w:val="%1."/>
      <w:numFmt w:val="decimal"/>
      <w:start w:val="2"/>
    </w:lvl>
    <w:lvl w:ilvl="1">
      <w:lvlJc w:val="left"/>
      <w:lvlText w:val="%2"/>
      <w:numFmt w:val="lowerLetter"/>
      <w:start w:val="1"/>
    </w:lvl>
  </w:abstractNum>
  <w:abstractNum w:abstractNumId="36">
    <w:nsid w:val="51EAD36B"/>
    <w:multiLevelType w:val="hybridMultilevel"/>
    <w:lvl w:ilvl="0">
      <w:lvlJc w:val="left"/>
      <w:lvlText w:val="%1"/>
      <w:numFmt w:val="lowerLetter"/>
      <w:start w:val="1"/>
    </w:lvl>
    <w:lvl w:ilvl="1">
      <w:lvlJc w:val="left"/>
      <w:lvlText w:val="%2."/>
      <w:numFmt w:val="decimal"/>
      <w:start w:val="3"/>
    </w:lvl>
  </w:abstractNum>
  <w:abstractNum w:abstractNumId="37">
    <w:nsid w:val="2D517796"/>
    <w:multiLevelType w:val="hybridMultilevel"/>
    <w:lvl w:ilvl="0">
      <w:lvlJc w:val="left"/>
      <w:lvlText w:val="(%1)"/>
      <w:numFmt w:val="lowerLetter"/>
      <w:start w:val="5"/>
    </w:lvl>
    <w:lvl w:ilvl="1">
      <w:lvlJc w:val="left"/>
      <w:lvlText w:val="%2."/>
      <w:numFmt w:val="decimal"/>
      <w:start w:val="6"/>
    </w:lvl>
  </w:abstractNum>
  <w:abstractNum w:abstractNumId="38">
    <w:nsid w:val="580BD78F"/>
    <w:multiLevelType w:val="hybridMultilevel"/>
    <w:lvl w:ilvl="0">
      <w:lvlJc w:val="left"/>
      <w:lvlText w:val="%1."/>
      <w:numFmt w:val="decimal"/>
      <w:start w:val="7"/>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jpe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48" Type="http://schemas.openxmlformats.org/officeDocument/2006/relationships/hyperlink" Target="https://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2023-12-08T13:07:17Z</dcterms:created>
  <dcterms:modified xsi:type="dcterms:W3CDTF">2023-12-08T13:07:17Z</dcterms:modified>
</cp:coreProperties>
</file>