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Chan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TASMAN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AMBARELLA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AMBA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5"/>
        <w:gridCol w:w="903"/>
        <w:gridCol w:w="772"/>
        <w:gridCol w:w="600"/>
        <w:gridCol w:w="349"/>
        <w:gridCol w:w="891"/>
        <w:gridCol w:w="457"/>
        <w:gridCol w:w="756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67.87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157,098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pay tax obligations resulting from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Michael Morehead, Attorney-in-Fact For: Chan W.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2825" TargetMode="External"/><Relationship Id="rId5" Type="http://schemas.openxmlformats.org/officeDocument/2006/relationships/hyperlink" Target="http://www.sec.gov/cgi-bin/browse-edgar?action=getcompany&amp;CIK=0001280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3141</Characters>
  <CharactersWithSpaces>3661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