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June 26,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AMBARELLA,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001-35667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98-0459628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(I. R. 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3001 Tasman Drive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(408) 734-8888</w:t>
      </w:r>
    </w:p>
    <w:p>
      <w:pPr>
        <w:spacing w:after="0" w:line="18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$0.00045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AMBA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760"/>
          </w:cols>
          <w:pgMar w:left="440" w:top="293" w:right="499" w:bottom="1440" w:gutter="0" w:footer="0" w:header="0"/>
        </w:sect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described in Item 5.07 below, on June 26, 2026, at the 2026 Annual Meeting of Shareholders (the “Annual Meeting”) of Ambarella, Inc. (the “Company”), the Company’s shareholders approved the amendment and restatement of the Ambarella, Inc. 2021 Equity Incentive Plan (the “Amended and Restated 2021 Plan”). The Amended and Restated 2021 Plan had been previously approved, subject to shareholder approval at the Annual Meeting, by the Board of Directors of the Company.</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summary of the Amended and Restated 2021 Plan is set forth in “Proposal 4 - Approval of the Ambarella, Inc. 2021 Equity Incentive Plan, as Amended and Restated” on pages 66 to 77 of the Company’s definitive proxy statement filed with the Securities and Exchange Commission on May 15, 2026. That summary and the foregoing description of the Amended and Restated 2021 Plan do not purport to be complete and are qualified in their entirety by reference to the full text of the Amended and Restated 2021 Plan, which is filed to this Current Report on Form 8-K as Exhibit 10.1 and incorporated herein by reference.</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On June 26, 2026, the Company held its Annual Meeting. Of the 43,861,484 ordinary shares outstanding as of May 5, 2026, the record date for the meeting, 37,856,312 ordinary shares were represented at the meeting in person or by proxy, constituting approximately 86.31% of the outstanding ordinary shares entitled to vote at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voted upon at the meeting and the voting results with respect to each such matter are set forth below:</w:t>
      </w:r>
    </w:p>
    <w:p>
      <w:pPr>
        <w:spacing w:after="0" w:line="131"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Three Class II Directors</w:t>
      </w:r>
    </w:p>
    <w:p>
      <w:pPr>
        <w:spacing w:after="0" w:line="117" w:lineRule="exact"/>
        <w:rPr>
          <w:sz w:val="20"/>
          <w:szCs w:val="20"/>
          <w:color w:val="auto"/>
        </w:rPr>
      </w:pPr>
    </w:p>
    <w:p>
      <w:pPr>
        <w:ind w:left="1420" w:right="120"/>
        <w:spacing w:after="0" w:line="282" w:lineRule="auto"/>
        <w:rPr>
          <w:sz w:val="20"/>
          <w:szCs w:val="20"/>
          <w:color w:val="auto"/>
        </w:rPr>
      </w:pPr>
      <w:r>
        <w:rPr>
          <w:rFonts w:ascii="Times New Roman" w:cs="Times New Roman" w:eastAsia="Times New Roman" w:hAnsi="Times New Roman"/>
          <w:sz w:val="18"/>
          <w:szCs w:val="18"/>
          <w:color w:val="auto"/>
        </w:rPr>
        <w:t>Each of the following nominees was elected to serve as a Class II director, to hold office until the Company’s 2029 annual meeting of shareholders or until his or her respective successor has been duly elected and qualified.</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6"/>
                <w:szCs w:val="16"/>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For</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Withheld</w:t>
            </w:r>
          </w:p>
        </w:tc>
      </w:tr>
      <w:tr>
        <w:trPr>
          <w:trHeight w:val="203"/>
        </w:trPr>
        <w:tc>
          <w:tcPr>
            <w:tcW w:w="60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Gregory M. Bryant</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32,445,631</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211,504</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 Jeffrey Richardson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29,062,870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3,594,265</w:t>
            </w:r>
          </w:p>
        </w:tc>
        <w:tc>
          <w:tcPr>
            <w:tcW w:w="6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M. Schwarting</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26,261,730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6,395,405</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There were 5,199,177 broker non-votes with respect to this proposal.</w:t>
      </w:r>
    </w:p>
    <w:p>
      <w:pPr>
        <w:spacing w:after="0" w:line="131"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Appointment of Independent Registered Public Accounting Firm</w:t>
      </w:r>
    </w:p>
    <w:p>
      <w:pPr>
        <w:spacing w:after="0" w:line="117" w:lineRule="exact"/>
        <w:rPr>
          <w:sz w:val="20"/>
          <w:szCs w:val="20"/>
          <w:color w:val="auto"/>
        </w:rPr>
      </w:pPr>
    </w:p>
    <w:p>
      <w:pPr>
        <w:ind w:left="1420" w:right="280"/>
        <w:spacing w:after="0" w:line="282" w:lineRule="auto"/>
        <w:rPr>
          <w:sz w:val="20"/>
          <w:szCs w:val="20"/>
          <w:color w:val="auto"/>
        </w:rPr>
      </w:pPr>
      <w:r>
        <w:rPr>
          <w:rFonts w:ascii="Times New Roman" w:cs="Times New Roman" w:eastAsia="Times New Roman" w:hAnsi="Times New Roman"/>
          <w:sz w:val="18"/>
          <w:szCs w:val="18"/>
          <w:color w:val="auto"/>
        </w:rPr>
        <w:t>The appointment of PricewaterhouseCoopers LLP as the Company’s independent registered public accounting firm for the fiscal year ending January 31, 2027 was ratified based on the following results of voting:</w:t>
      </w:r>
    </w:p>
    <w:p>
      <w:pPr>
        <w:spacing w:after="0" w:line="185" w:lineRule="exact"/>
        <w:rPr>
          <w:sz w:val="20"/>
          <w:szCs w:val="20"/>
          <w:color w:val="auto"/>
        </w:rPr>
      </w:pPr>
    </w:p>
    <w:p>
      <w:pPr>
        <w:ind w:left="1480"/>
        <w:spacing w:after="0"/>
        <w:tabs>
          <w:tab w:leader="none" w:pos="5080" w:val="left"/>
          <w:tab w:leader="none" w:pos="8380" w:val="left"/>
        </w:tabs>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37,426,967</w:t>
      </w:r>
      <w:r>
        <w:rPr>
          <w:sz w:val="20"/>
          <w:szCs w:val="20"/>
          <w:color w:val="auto"/>
        </w:rPr>
        <w:tab/>
      </w:r>
      <w:r>
        <w:rPr>
          <w:rFonts w:ascii="Times New Roman" w:cs="Times New Roman" w:eastAsia="Times New Roman" w:hAnsi="Times New Roman"/>
          <w:sz w:val="18"/>
          <w:szCs w:val="18"/>
          <w:b w:val="1"/>
          <w:bCs w:val="1"/>
          <w:color w:val="auto"/>
        </w:rPr>
        <w:t>Against: 407,966</w:t>
      </w:r>
      <w:r>
        <w:rPr>
          <w:sz w:val="20"/>
          <w:szCs w:val="20"/>
          <w:color w:val="auto"/>
        </w:rPr>
        <w:tab/>
      </w:r>
      <w:r>
        <w:rPr>
          <w:rFonts w:ascii="Times New Roman" w:cs="Times New Roman" w:eastAsia="Times New Roman" w:hAnsi="Times New Roman"/>
          <w:sz w:val="18"/>
          <w:szCs w:val="18"/>
          <w:b w:val="1"/>
          <w:bCs w:val="1"/>
          <w:color w:val="auto"/>
        </w:rPr>
        <w:t xml:space="preserve">Abstentions: </w:t>
      </w:r>
      <w:r>
        <w:rPr>
          <w:rFonts w:ascii="Times New Roman" w:cs="Times New Roman" w:eastAsia="Times New Roman" w:hAnsi="Times New Roman"/>
          <w:sz w:val="18"/>
          <w:szCs w:val="18"/>
          <w:color w:val="auto"/>
        </w:rPr>
        <w:t>21,379</w:t>
      </w:r>
    </w:p>
    <w:p>
      <w:pPr>
        <w:spacing w:after="0" w:line="256"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Executive Compensation</w:t>
      </w:r>
    </w:p>
    <w:p>
      <w:pPr>
        <w:spacing w:after="0" w:line="117" w:lineRule="exact"/>
        <w:rPr>
          <w:sz w:val="20"/>
          <w:szCs w:val="20"/>
          <w:color w:val="auto"/>
        </w:rPr>
      </w:pPr>
    </w:p>
    <w:p>
      <w:pPr>
        <w:ind w:left="1420" w:right="340"/>
        <w:spacing w:after="0" w:line="282" w:lineRule="auto"/>
        <w:rPr>
          <w:sz w:val="20"/>
          <w:szCs w:val="20"/>
          <w:color w:val="auto"/>
        </w:rPr>
      </w:pPr>
      <w:r>
        <w:rPr>
          <w:rFonts w:ascii="Times New Roman" w:cs="Times New Roman" w:eastAsia="Times New Roman" w:hAnsi="Times New Roman"/>
          <w:sz w:val="18"/>
          <w:szCs w:val="18"/>
          <w:color w:val="auto"/>
        </w:rPr>
        <w:t>The Company’s shareholders approved, on a non-binding, advisory basis, the compensation of the Company’s named executive officers as disclosed in the Company’s proxy statement, based on the following results of voting:</w:t>
      </w:r>
    </w:p>
    <w:p>
      <w:pPr>
        <w:spacing w:after="0" w:line="185" w:lineRule="exact"/>
        <w:rPr>
          <w:sz w:val="20"/>
          <w:szCs w:val="20"/>
          <w:color w:val="auto"/>
        </w:rPr>
      </w:pPr>
    </w:p>
    <w:p>
      <w:pPr>
        <w:ind w:left="1480"/>
        <w:spacing w:after="0"/>
        <w:tabs>
          <w:tab w:leader="none" w:pos="5000" w:val="left"/>
          <w:tab w:leader="none" w:pos="8380" w:val="left"/>
        </w:tabs>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30,602,569</w:t>
      </w:r>
      <w:r>
        <w:rPr>
          <w:sz w:val="20"/>
          <w:szCs w:val="20"/>
          <w:color w:val="auto"/>
        </w:rPr>
        <w:tab/>
      </w: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1,984,036</w:t>
      </w:r>
      <w:r>
        <w:rPr>
          <w:sz w:val="20"/>
          <w:szCs w:val="20"/>
          <w:color w:val="auto"/>
        </w:rPr>
        <w:tab/>
      </w:r>
      <w:r>
        <w:rPr>
          <w:rFonts w:ascii="Times New Roman" w:cs="Times New Roman" w:eastAsia="Times New Roman" w:hAnsi="Times New Roman"/>
          <w:sz w:val="18"/>
          <w:szCs w:val="18"/>
          <w:b w:val="1"/>
          <w:bCs w:val="1"/>
          <w:color w:val="auto"/>
        </w:rPr>
        <w:t xml:space="preserve">Abstentions: </w:t>
      </w:r>
      <w:r>
        <w:rPr>
          <w:rFonts w:ascii="Times New Roman" w:cs="Times New Roman" w:eastAsia="Times New Roman" w:hAnsi="Times New Roman"/>
          <w:sz w:val="18"/>
          <w:szCs w:val="18"/>
          <w:color w:val="auto"/>
        </w:rPr>
        <w:t>70,530</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There were 5,199,177 broker non-votes with respect to this proposal.</w:t>
      </w:r>
    </w:p>
    <w:p>
      <w:pPr>
        <w:sectPr>
          <w:pgSz w:w="11900" w:h="16838" w:orient="portrait"/>
          <w:cols w:equalWidth="0" w:num="1">
            <w:col w:w="10960"/>
          </w:cols>
          <w:pgMar w:left="440" w:top="293" w:right="499" w:bottom="1440" w:gutter="0" w:footer="0" w:header="0"/>
          <w:type w:val="continuous"/>
        </w:sectPr>
      </w:pPr>
    </w:p>
    <w:bookmarkStart w:id="2" w:name="page3"/>
    <w:bookmarkEnd w:id="2"/>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Approval of the Amended and Restated 2021 Plan</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Company’s shareholders approved the Amended and Restated 2021 Plan based on the following results of voting: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22,122,462</w:t>
            </w:r>
          </w:p>
        </w:tc>
        <w:tc>
          <w:tcPr>
            <w:tcW w:w="32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10,481,483</w:t>
            </w:r>
          </w:p>
        </w:tc>
        <w:tc>
          <w:tcPr>
            <w:tcW w:w="340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Abstentions: </w:t>
            </w:r>
            <w:r>
              <w:rPr>
                <w:rFonts w:ascii="Times New Roman" w:cs="Times New Roman" w:eastAsia="Times New Roman" w:hAnsi="Times New Roman"/>
                <w:sz w:val="18"/>
                <w:szCs w:val="18"/>
                <w:color w:val="auto"/>
              </w:rPr>
              <w:t>53,190</w:t>
            </w:r>
          </w:p>
        </w:tc>
      </w:tr>
      <w:tr>
        <w:trPr>
          <w:trHeight w:val="43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There were 5,199,177 broker non-votes with respect to this proposal.</w:t>
            </w:r>
          </w:p>
        </w:tc>
        <w:tc>
          <w:tcPr>
            <w:tcW w:w="3400" w:type="dxa"/>
            <w:vAlign w:val="bottom"/>
          </w:tcPr>
          <w:p>
            <w:pPr>
              <w:spacing w:after="0"/>
              <w:rPr>
                <w:sz w:val="24"/>
                <w:szCs w:val="24"/>
                <w:color w:val="auto"/>
              </w:rPr>
            </w:pPr>
          </w:p>
        </w:tc>
      </w:tr>
      <w:tr>
        <w:trPr>
          <w:trHeight w:val="581"/>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20" w:type="dxa"/>
            <w:vAlign w:val="bottom"/>
          </w:tcPr>
          <w:p>
            <w:pPr>
              <w:spacing w:after="0"/>
              <w:rPr>
                <w:sz w:val="24"/>
                <w:szCs w:val="24"/>
                <w:color w:val="auto"/>
              </w:rPr>
            </w:pPr>
          </w:p>
        </w:tc>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1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2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6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73"/>
        </w:trPr>
        <w:tc>
          <w:tcPr>
            <w:tcW w:w="9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336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0" w:type="dxa"/>
            <w:vAlign w:val="bottom"/>
          </w:tcPr>
          <w:p>
            <w:pPr>
              <w:spacing w:after="0"/>
              <w:rPr>
                <w:sz w:val="15"/>
                <w:szCs w:val="15"/>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Ambarella, Inc. Amended and Restated 2021 Equity Incentive Plan</w:t>
            </w:r>
          </w:p>
        </w:tc>
        <w:tc>
          <w:tcPr>
            <w:tcW w:w="3400" w:type="dxa"/>
            <w:vAlign w:val="bottom"/>
          </w:tcPr>
          <w:p>
            <w:pPr>
              <w:spacing w:after="0"/>
              <w:rPr>
                <w:sz w:val="22"/>
                <w:szCs w:val="22"/>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40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July 1, 2026</w:t>
      </w:r>
      <w:r>
        <w:rPr>
          <w:sz w:val="20"/>
          <w:szCs w:val="20"/>
          <w:color w:val="auto"/>
        </w:rPr>
        <w:tab/>
      </w:r>
      <w:r>
        <w:rPr>
          <w:rFonts w:ascii="Times New Roman" w:cs="Times New Roman" w:eastAsia="Times New Roman" w:hAnsi="Times New Roman"/>
          <w:sz w:val="18"/>
          <w:szCs w:val="18"/>
          <w:b w:val="1"/>
          <w:bCs w:val="1"/>
          <w:color w:val="auto"/>
        </w:rPr>
        <w:t>Ambarella, Inc.</w:t>
      </w:r>
    </w:p>
    <w:p>
      <w:pPr>
        <w:spacing w:after="0" w:line="22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Michael Morehead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Michael Morehead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ectPr>
          <w:pgSz w:w="11900" w:h="16838" w:orient="portrait"/>
          <w:cols w:equalWidth="0" w:num="1">
            <w:col w:w="10720"/>
          </w:cols>
          <w:pgMar w:left="440" w:top="293" w:right="7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2021 EQUITY INCENTIVE PLAN</w:t>
      </w:r>
    </w:p>
    <w:p>
      <w:pPr>
        <w:spacing w:after="0" w:line="225" w:lineRule="exact"/>
        <w:rPr>
          <w:sz w:val="20"/>
          <w:szCs w:val="20"/>
          <w:color w:val="auto"/>
        </w:rPr>
      </w:pPr>
    </w:p>
    <w:p>
      <w:pPr>
        <w:ind w:left="620" w:hanging="184"/>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Purposes of the Plan</w:t>
      </w:r>
      <w:r>
        <w:rPr>
          <w:rFonts w:ascii="Times New Roman" w:cs="Times New Roman" w:eastAsia="Times New Roman" w:hAnsi="Times New Roman"/>
          <w:sz w:val="18"/>
          <w:szCs w:val="18"/>
          <w:color w:val="auto"/>
        </w:rPr>
        <w:t>. The purposes of this Plan are:</w:t>
      </w:r>
    </w:p>
    <w:p>
      <w:pPr>
        <w:spacing w:after="0" w:line="134"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25"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Stock Appreciation Rights, Restricted Stock, Restricted Stock Units and Performance Awards.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right="100" w:firstLine="991"/>
        <w:spacing w:after="0" w:line="26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Ordinary Shares, including but not limited to, under U.S. federal and state corporate laws, U.S. federal and state securities laws, the Code, any stock or share exchange or quotation system on which the Ordinary Shares are listed or quoted and the applicable laws of any non-U.S. country or jurisdiction where Awards are, or will be, granted under the Plan.</w:t>
      </w:r>
    </w:p>
    <w:p>
      <w:pPr>
        <w:spacing w:after="0" w:line="176" w:lineRule="exact"/>
        <w:rPr>
          <w:sz w:val="20"/>
          <w:szCs w:val="20"/>
          <w:color w:val="auto"/>
        </w:rPr>
      </w:pPr>
    </w:p>
    <w:p>
      <w:pPr>
        <w:ind w:right="760" w:firstLine="991"/>
        <w:spacing w:after="0" w:line="28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or Performance Awards.</w:t>
      </w:r>
    </w:p>
    <w:p>
      <w:pPr>
        <w:spacing w:after="0" w:line="155" w:lineRule="exact"/>
        <w:rPr>
          <w:sz w:val="20"/>
          <w:szCs w:val="20"/>
          <w:color w:val="auto"/>
        </w:rPr>
      </w:pPr>
    </w:p>
    <w:p>
      <w:pPr>
        <w:ind w:right="540" w:firstLine="991"/>
        <w:spacing w:after="0" w:line="28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sz w:val="20"/>
          <w:szCs w:val="20"/>
          <w:color w:val="auto"/>
        </w:rPr>
      </w:pPr>
    </w:p>
    <w:p>
      <w:pPr>
        <w:ind w:right="40" w:firstLine="1428"/>
        <w:spacing w:after="0" w:line="254" w:lineRule="auto"/>
        <w:tabs>
          <w:tab w:leader="none" w:pos="16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more than one person acting as a group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acquires ownership of the shares of the Company that, together with the shares held by such Person, constitutes more than fifty percent (50%) of the total voting power of the shares of the Company; provided, however, that for purposes of this subsection (a), the acquisition of additional shares by any one Person, who is considered to own more than fifty percent (50%) of the total voting power of the shares of the Company will not be considered a Change in Control; provided, further, that any change in the ownership of the shares of the Company as a result of a private financing of the Company that is approved by the Board also will not be considered a Change in Control. Further, if the shareholders of the Company immediately before such change in ownership continue to retain immediately after the change in ownership, in substantially the same proportions as their ownership of shares of the Company’s voting shares immediately prior to the change in ownership, direct or indirect beneficial ownership of fifty percent (50%) or more of the total voting power of the shares of the Company or</w:t>
      </w:r>
    </w:p>
    <w:p>
      <w:pPr>
        <w:sectPr>
          <w:pgSz w:w="11900" w:h="16838" w:orient="portrait"/>
          <w:cols w:equalWidth="0" w:num="1">
            <w:col w:w="11020"/>
          </w:cols>
          <w:pgMar w:left="440" w:top="117" w:right="439" w:bottom="1440" w:gutter="0" w:footer="0" w:header="0"/>
        </w:sectPr>
      </w:pPr>
    </w:p>
    <w:bookmarkStart w:id="5" w:name="page6"/>
    <w:bookmarkEnd w:id="5"/>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6" w:lineRule="exact"/>
        <w:rPr>
          <w:sz w:val="20"/>
          <w:szCs w:val="20"/>
          <w:color w:val="auto"/>
        </w:rPr>
      </w:pPr>
    </w:p>
    <w:p>
      <w:pPr>
        <w:ind w:firstLine="1428"/>
        <w:spacing w:after="0" w:line="259" w:lineRule="auto"/>
        <w:tabs>
          <w:tab w:leader="none" w:pos="16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79" w:lineRule="exact"/>
        <w:rPr>
          <w:rFonts w:ascii="Times New Roman" w:cs="Times New Roman" w:eastAsia="Times New Roman" w:hAnsi="Times New Roman"/>
          <w:sz w:val="18"/>
          <w:szCs w:val="18"/>
          <w:color w:val="auto"/>
        </w:rPr>
      </w:pPr>
    </w:p>
    <w:p>
      <w:pPr>
        <w:ind w:right="20" w:firstLine="1428"/>
        <w:spacing w:after="0" w:line="253" w:lineRule="auto"/>
        <w:tabs>
          <w:tab w:leader="none" w:pos="16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 portion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shareholders immediately after the transfer, or (ii) a transfer of assets by the Company to: (A) a shareholder of the Company (immediately before the asset transfer) in exchange for or with respect to the Company’s shares, (B) an entity, fifty percent (50%) or more of the total value or voting power of which is owned, directly or indirectly, by the Company, (C) a Person, that owns, directly or indirectly, fifty percent (50%) or more of the total value or voting power of all the outstanding shares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94" w:lineRule="exact"/>
        <w:rPr>
          <w:sz w:val="20"/>
          <w:szCs w:val="20"/>
          <w:color w:val="auto"/>
        </w:rPr>
      </w:pPr>
    </w:p>
    <w:p>
      <w:pPr>
        <w:ind w:right="240" w:firstLine="1432"/>
        <w:spacing w:after="0" w:line="282" w:lineRule="auto"/>
        <w:rPr>
          <w:sz w:val="20"/>
          <w:szCs w:val="20"/>
          <w:color w:val="auto"/>
        </w:rPr>
      </w:pPr>
      <w:r>
        <w:rPr>
          <w:rFonts w:ascii="Times New Roman" w:cs="Times New Roman" w:eastAsia="Times New Roman" w:hAnsi="Times New Roman"/>
          <w:sz w:val="18"/>
          <w:szCs w:val="18"/>
          <w:color w:val="auto"/>
        </w:rPr>
        <w:t>For purposes of this Section 2.6, persons will be considered to be acting as a group if they are owners of a corporation that enters into a merger, consolidation, purchase or acquisition of shares, or similar business transaction with the Company.</w:t>
      </w:r>
    </w:p>
    <w:p>
      <w:pPr>
        <w:spacing w:after="0" w:line="162" w:lineRule="exact"/>
        <w:rPr>
          <w:sz w:val="20"/>
          <w:szCs w:val="20"/>
          <w:color w:val="auto"/>
        </w:rPr>
      </w:pPr>
    </w:p>
    <w:p>
      <w:pPr>
        <w:ind w:right="80" w:firstLine="1432"/>
        <w:spacing w:after="0" w:line="282"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w:t>
      </w:r>
    </w:p>
    <w:p>
      <w:pPr>
        <w:spacing w:after="0" w:line="162" w:lineRule="exact"/>
        <w:rPr>
          <w:sz w:val="20"/>
          <w:szCs w:val="20"/>
          <w:color w:val="auto"/>
        </w:rPr>
      </w:pPr>
    </w:p>
    <w:p>
      <w:pPr>
        <w:ind w:right="120" w:firstLine="1432"/>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2" w:lineRule="exact"/>
        <w:rPr>
          <w:sz w:val="20"/>
          <w:szCs w:val="20"/>
          <w:color w:val="auto"/>
        </w:rPr>
      </w:pPr>
    </w:p>
    <w:p>
      <w:pPr>
        <w:ind w:right="140" w:firstLine="991"/>
        <w:spacing w:after="0" w:line="291" w:lineRule="auto"/>
        <w:rPr>
          <w:sz w:val="20"/>
          <w:szCs w:val="20"/>
          <w:color w:val="auto"/>
        </w:rPr>
      </w:pPr>
      <w:r>
        <w:rPr>
          <w:rFonts w:ascii="Times New Roman" w:cs="Times New Roman" w:eastAsia="Times New Roman" w:hAnsi="Times New Roman"/>
          <w:sz w:val="17"/>
          <w:szCs w:val="17"/>
          <w:color w:val="auto"/>
        </w:rPr>
        <w:t>2.7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6" w:name="page7"/>
    <w:bookmarkEnd w:id="6"/>
    <w:p>
      <w:pPr>
        <w:ind w:left="4" w:right="4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4 hereof.</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Ambarella, Inc., a Cayman Islands corporation, or any successor thereto.</w:t>
      </w:r>
    </w:p>
    <w:p>
      <w:pPr>
        <w:spacing w:after="0" w:line="225" w:lineRule="exact"/>
        <w:rPr>
          <w:sz w:val="20"/>
          <w:szCs w:val="20"/>
          <w:color w:val="auto"/>
        </w:rPr>
      </w:pPr>
    </w:p>
    <w:p>
      <w:pPr>
        <w:ind w:left="4" w:right="60" w:firstLine="991"/>
        <w:spacing w:after="0" w:line="278" w:lineRule="auto"/>
        <w:rPr>
          <w:sz w:val="20"/>
          <w:szCs w:val="20"/>
          <w:color w:val="auto"/>
        </w:rPr>
      </w:pPr>
      <w:r>
        <w:rPr>
          <w:rFonts w:ascii="Times New Roman" w:cs="Times New Roman" w:eastAsia="Times New Roman" w:hAnsi="Times New Roman"/>
          <w:sz w:val="17"/>
          <w:szCs w:val="17"/>
          <w:color w:val="auto"/>
        </w:rPr>
        <w:t>2.10 “</w:t>
      </w:r>
      <w:r>
        <w:rPr>
          <w:rFonts w:ascii="Times New Roman" w:cs="Times New Roman" w:eastAsia="Times New Roman" w:hAnsi="Times New Roman"/>
          <w:sz w:val="17"/>
          <w:szCs w:val="17"/>
          <w:b w:val="1"/>
          <w:bCs w:val="1"/>
          <w:color w:val="auto"/>
        </w:rPr>
        <w:t>Consultant</w:t>
      </w:r>
      <w:r>
        <w:rPr>
          <w:rFonts w:ascii="Times New Roman" w:cs="Times New Roman" w:eastAsia="Times New Roman" w:hAnsi="Times New Roman"/>
          <w:sz w:val="17"/>
          <w:szCs w:val="17"/>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w:t>
      </w:r>
    </w:p>
    <w:p>
      <w:pPr>
        <w:spacing w:after="0" w:line="1" w:lineRule="exact"/>
        <w:rPr>
          <w:sz w:val="20"/>
          <w:szCs w:val="20"/>
          <w:color w:val="auto"/>
        </w:rPr>
      </w:pPr>
    </w:p>
    <w:p>
      <w:pPr>
        <w:ind w:left="4" w:hanging="4"/>
        <w:spacing w:after="0" w:line="255"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1" w:lineRule="exact"/>
        <w:rPr>
          <w:sz w:val="20"/>
          <w:szCs w:val="20"/>
          <w:color w:val="auto"/>
        </w:rPr>
      </w:pPr>
    </w:p>
    <w:p>
      <w:pPr>
        <w:ind w:left="4" w:right="100" w:firstLine="991"/>
        <w:spacing w:after="0" w:line="317" w:lineRule="auto"/>
        <w:rPr>
          <w:sz w:val="20"/>
          <w:szCs w:val="20"/>
          <w:color w:val="auto"/>
        </w:rPr>
      </w:pPr>
      <w:r>
        <w:rPr>
          <w:rFonts w:ascii="Times New Roman" w:cs="Times New Roman" w:eastAsia="Times New Roman" w:hAnsi="Times New Roman"/>
          <w:sz w:val="17"/>
          <w:szCs w:val="17"/>
          <w:color w:val="auto"/>
        </w:rPr>
        <w:t>2.13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3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including the rules and regulations promulgated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4" w:right="80" w:firstLine="991"/>
        <w:spacing w:after="0" w:line="262"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color w:val="auto"/>
        </w:rPr>
        <w:t>Exchange Program</w:t>
      </w:r>
      <w:r>
        <w:rPr>
          <w:rFonts w:ascii="Times New Roman" w:cs="Times New Roman" w:eastAsia="Times New Roman" w:hAnsi="Times New Roman"/>
          <w:sz w:val="18"/>
          <w:szCs w:val="18"/>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w:t>
      </w:r>
    </w:p>
    <w:p>
      <w:pPr>
        <w:spacing w:after="0" w:line="176" w:lineRule="exact"/>
        <w:rPr>
          <w:sz w:val="20"/>
          <w:szCs w:val="20"/>
          <w:color w:val="auto"/>
        </w:rPr>
      </w:pPr>
    </w:p>
    <w:p>
      <w:pPr>
        <w:ind w:left="4" w:right="620" w:firstLine="991"/>
        <w:spacing w:after="0" w:line="286"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and unless the Administrator determines otherwise, the value of Ordinary Shares determined as follows:</w:t>
      </w:r>
    </w:p>
    <w:p>
      <w:pPr>
        <w:spacing w:after="0" w:line="51" w:lineRule="exact"/>
        <w:rPr>
          <w:sz w:val="20"/>
          <w:szCs w:val="20"/>
          <w:color w:val="auto"/>
        </w:rPr>
      </w:pPr>
    </w:p>
    <w:p>
      <w:pPr>
        <w:ind w:left="4" w:right="100" w:firstLine="1428"/>
        <w:spacing w:after="0" w:line="258" w:lineRule="auto"/>
        <w:tabs>
          <w:tab w:leader="none" w:pos="16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Ordinary Shares are listed on any established stock or share exchange or a national market system, including without limitation the New York Stock Exchange or the Nasdaq Global Select Market, the Nasdaq Global Market, or the Nasdaq Capital Market of The Nasdaq Stock Market, its Fair Market Value will be the closing sales price for such shares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or such other source as the Administrator deems reliable;</w:t>
      </w:r>
    </w:p>
    <w:p>
      <w:pPr>
        <w:spacing w:after="0" w:line="183" w:lineRule="exact"/>
        <w:rPr>
          <w:rFonts w:ascii="Times New Roman" w:cs="Times New Roman" w:eastAsia="Times New Roman" w:hAnsi="Times New Roman"/>
          <w:sz w:val="18"/>
          <w:szCs w:val="18"/>
          <w:color w:val="auto"/>
        </w:rPr>
      </w:pPr>
    </w:p>
    <w:p>
      <w:pPr>
        <w:ind w:left="4" w:right="40" w:firstLine="1428"/>
        <w:spacing w:after="0" w:line="261" w:lineRule="auto"/>
        <w:tabs>
          <w:tab w:leader="none" w:pos="169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Ordinary Shares are regularly quoted by a recognized securities dealer but selling prices are not reported, the Fair Market Value of a Share will be the mean between the high bid and low asked prices for the Ordinary Shares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7" w:name="page8"/>
    <w:bookmarkEnd w:id="7"/>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In the absence of an established market for the Ordinary Shares, the Fair Market Value will be determined in good faith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sz w:val="20"/>
          <w:szCs w:val="20"/>
          <w:color w:val="auto"/>
        </w:rPr>
      </w:pPr>
    </w:p>
    <w:p>
      <w:pPr>
        <w:ind w:right="440" w:firstLine="991"/>
        <w:spacing w:after="0" w:line="286"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that by its terms qualifies and is otherwise intended to qualify as an incentive stock option within the meaning of Code Section 422 and the regulations promulgated thereunder.</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color w:val="auto"/>
        </w:rPr>
        <w:t>Inside Director</w:t>
      </w:r>
      <w:r>
        <w:rPr>
          <w:rFonts w:ascii="Times New Roman" w:cs="Times New Roman" w:eastAsia="Times New Roman" w:hAnsi="Times New Roman"/>
          <w:sz w:val="18"/>
          <w:szCs w:val="18"/>
          <w:color w:val="auto"/>
        </w:rPr>
        <w:t>” means a Director who is an Employee.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203"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Stock 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Share Option</w:t>
      </w:r>
      <w:r>
        <w:rPr>
          <w:rFonts w:ascii="Times New Roman" w:cs="Times New Roman" w:eastAsia="Times New Roman" w:hAnsi="Times New Roman"/>
          <w:sz w:val="18"/>
          <w:szCs w:val="18"/>
          <w:color w:val="auto"/>
        </w:rPr>
        <w:t>” means an option to purchase Shares granted pursuant to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shall mean the Ordinary Shares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means a Director who is not an Employee.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 “parent corporation,” whether now or hereafter existing, as defined in Code Section 424(e).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cash- or share-denominated and may be settled for cash, Shares or other securities or a combination of the foregoing granted pursuant to Section 10.</w:t>
      </w:r>
    </w:p>
    <w:p>
      <w:pPr>
        <w:spacing w:after="0" w:line="171" w:lineRule="exact"/>
        <w:rPr>
          <w:sz w:val="20"/>
          <w:szCs w:val="20"/>
          <w:color w:val="auto"/>
        </w:rPr>
      </w:pPr>
    </w:p>
    <w:p>
      <w:pPr>
        <w:jc w:val="both"/>
        <w:ind w:right="160" w:firstLine="991"/>
        <w:spacing w:after="0" w:line="268"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color w:val="auto"/>
        </w:rPr>
        <w:t>Period of Restriction</w:t>
      </w:r>
      <w:r>
        <w:rPr>
          <w:rFonts w:ascii="Times New Roman" w:cs="Times New Roman" w:eastAsia="Times New Roman" w:hAnsi="Times New Roman"/>
          <w:sz w:val="18"/>
          <w:szCs w:val="18"/>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2021 Equity Incentive Plan.</w:t>
      </w:r>
    </w:p>
    <w:p>
      <w:pPr>
        <w:spacing w:after="0" w:line="22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Shares issued pursuant to an Award of Restricted Stock under Section 8 of the Plan, or issued pursuant to the early exercise of an Option.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 w:name="page9"/>
    <w:bookmarkEnd w:id="8"/>
    <w:p>
      <w:pPr>
        <w:ind w:right="26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2.31 “</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5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b w:val="1"/>
          <w:bCs w:val="1"/>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Code Section 409A and the U.S. Treasury Regulations and guidance thereunder, and any applicable state law equivalent, as each may be promulgated, amended or modified from time to time.</w:t>
      </w:r>
    </w:p>
    <w:p>
      <w:pPr>
        <w:spacing w:after="0" w:line="15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b w:val="1"/>
          <w:bCs w:val="1"/>
          <w:color w:val="auto"/>
        </w:rPr>
        <w:t>Section 457A</w:t>
      </w:r>
      <w:r>
        <w:rPr>
          <w:rFonts w:ascii="Times New Roman" w:cs="Times New Roman" w:eastAsia="Times New Roman" w:hAnsi="Times New Roman"/>
          <w:sz w:val="18"/>
          <w:szCs w:val="18"/>
          <w:color w:val="auto"/>
        </w:rPr>
        <w:t>” means Code Section 457A and the U.S. Treasury Regulations and guidance thereunder, and any applicable state law equivalent, as each may be promulgated, amended or modified from time to time.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including the rules and regulations promulgated thereunder.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an Ordinary Share, as adjusted in accordance with Section 15 of the Plan.</w:t>
      </w:r>
    </w:p>
    <w:p>
      <w:pPr>
        <w:spacing w:after="0" w:line="225" w:lineRule="exact"/>
        <w:rPr>
          <w:sz w:val="20"/>
          <w:szCs w:val="20"/>
          <w:color w:val="auto"/>
        </w:rPr>
      </w:pPr>
    </w:p>
    <w:p>
      <w:pPr>
        <w:ind w:right="420" w:firstLine="991"/>
        <w:spacing w:after="0" w:line="286" w:lineRule="auto"/>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Share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means an Award, granted alone or in connection with an Option, that pursuant to Section 7 is designated as a Stock Appreciation Right.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w:t>
      </w:r>
    </w:p>
    <w:p>
      <w:pPr>
        <w:spacing w:after="0" w:line="225"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or share exchange, national market system, or other trading platform, as applicable, upon which the Ordinary Shares are listed (or otherwise trades regularly, as determined by the Administrator, in its sole discretion), is open for trading.</w:t>
      </w:r>
    </w:p>
    <w:p>
      <w:pPr>
        <w:spacing w:after="0" w:line="171"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1" w:lineRule="exact"/>
        <w:rPr>
          <w:sz w:val="20"/>
          <w:szCs w:val="20"/>
          <w:color w:val="auto"/>
        </w:rPr>
      </w:pPr>
    </w:p>
    <w:p>
      <w:pPr>
        <w:ind w:left="620" w:hanging="184"/>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Shares Subject to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Shares Subject to the Plan</w:t>
      </w:r>
      <w:r>
        <w:rPr>
          <w:rFonts w:ascii="Times New Roman" w:cs="Times New Roman" w:eastAsia="Times New Roman" w:hAnsi="Times New Roman"/>
          <w:sz w:val="18"/>
          <w:szCs w:val="18"/>
          <w:color w:val="auto"/>
        </w:rPr>
        <w:t>. Subject to adjustment upon changes in capitalization of the Company as provided in Section 15, the maximum aggregate number of Shares that may be subject to Awards and issued under the Plan will be equal to (a) 5,850,000 Shares plus (b) (i) any Shares subject to awards granted under the Company’s 2012 Equity Incentive Plan (the “</w:t>
      </w:r>
      <w:r>
        <w:rPr>
          <w:rFonts w:ascii="Times New Roman" w:cs="Times New Roman" w:eastAsia="Times New Roman" w:hAnsi="Times New Roman"/>
          <w:sz w:val="18"/>
          <w:szCs w:val="18"/>
          <w:b w:val="1"/>
          <w:bCs w:val="1"/>
          <w:color w:val="auto"/>
        </w:rPr>
        <w:t>Prior Plan</w:t>
      </w:r>
      <w:r>
        <w:rPr>
          <w:rFonts w:ascii="Times New Roman" w:cs="Times New Roman" w:eastAsia="Times New Roman" w:hAnsi="Times New Roman"/>
          <w:sz w:val="18"/>
          <w:szCs w:val="18"/>
          <w:color w:val="auto"/>
        </w:rPr>
        <w:t>”) that, after the date the Prior Plan is terminated, are cancelled, expire or otherwise terminate without having been exercised in full or are forfeited to or repurchased by the Company due to failure to vest, and (ii) any Shares that, as of immediately prior to the termination of the Prior Plan, have been reserved but not issued pursuant to any awards granted under the Prior Plan and are not subject to any awards thereunder, with the maximum number of Shares to be added to the Plan pursuant to clause (b) equal to 6,834,208 Shares. In addition, Shares may become available for issuance under Section 3.2. The Shares may be authorized but unissued, or reacquired Ordinary Shares.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9" w:name="page10"/>
    <w:bookmarkEnd w:id="9"/>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b w:val="1"/>
          <w:bCs w:val="1"/>
          <w:color w:val="auto"/>
        </w:rPr>
        <w:t>Lapsed Awards</w:t>
      </w:r>
      <w:r>
        <w:rPr>
          <w:rFonts w:ascii="Times New Roman" w:cs="Times New Roman" w:eastAsia="Times New Roman" w:hAnsi="Times New Roman"/>
          <w:sz w:val="18"/>
          <w:szCs w:val="18"/>
          <w:color w:val="auto"/>
        </w:rPr>
        <w:t>. If an Award expires or becomes unexercisable without having been exercised in full, or, with respect to Restricted Stock, Restricted Stock Units,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that are settled in Shares, the gross number of Shares covered by the portion of the Award so exercised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withholding obligations related to an Award will not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 3.2.</w:t>
      </w:r>
    </w:p>
    <w:p>
      <w:pPr>
        <w:spacing w:after="0" w:line="185"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155" w:lineRule="exact"/>
        <w:rPr>
          <w:sz w:val="20"/>
          <w:szCs w:val="20"/>
          <w:color w:val="auto"/>
        </w:rPr>
      </w:pPr>
    </w:p>
    <w:p>
      <w:pPr>
        <w:ind w:left="620" w:hanging="184"/>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 administer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w:t>
      </w:r>
    </w:p>
    <w:p>
      <w:pPr>
        <w:spacing w:after="0" w:line="203" w:lineRule="exact"/>
        <w:rPr>
          <w:sz w:val="20"/>
          <w:szCs w:val="20"/>
          <w:color w:val="auto"/>
        </w:rPr>
      </w:pPr>
    </w:p>
    <w:p>
      <w:pPr>
        <w:ind w:right="940" w:firstLine="1432"/>
        <w:spacing w:after="0" w:line="28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55" w:lineRule="exact"/>
        <w:rPr>
          <w:sz w:val="20"/>
          <w:szCs w:val="20"/>
          <w:color w:val="auto"/>
        </w:rPr>
      </w:pPr>
    </w:p>
    <w:p>
      <w:pPr>
        <w:ind w:right="340" w:firstLine="1432"/>
        <w:spacing w:after="0" w:line="28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comply with Applicable Laws.</w:t>
      </w:r>
    </w:p>
    <w:p>
      <w:pPr>
        <w:spacing w:after="0" w:line="155" w:lineRule="exact"/>
        <w:rPr>
          <w:sz w:val="20"/>
          <w:szCs w:val="20"/>
          <w:color w:val="auto"/>
        </w:rPr>
      </w:pPr>
    </w:p>
    <w:p>
      <w:pPr>
        <w:ind w:right="4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51" w:lineRule="exact"/>
        <w:rPr>
          <w:sz w:val="20"/>
          <w:szCs w:val="20"/>
          <w:color w:val="auto"/>
        </w:rPr>
      </w:pPr>
    </w:p>
    <w:p>
      <w:pPr>
        <w:ind w:left="1680" w:hanging="252"/>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to what extent Awards are granted hereunder;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10" w:name="page11"/>
    <w:bookmarkEnd w:id="10"/>
    <w:p>
      <w:pPr>
        <w:ind w:left="1680" w:hanging="252"/>
        <w:spacing w:after="0"/>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determine the number of Shares or dollar amounts to be covered by each Award granted hereunder;</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rFonts w:ascii="Times New Roman" w:cs="Times New Roman" w:eastAsia="Times New Roman" w:hAnsi="Times New Roman"/>
          <w:sz w:val="18"/>
          <w:szCs w:val="18"/>
          <w:color w:val="auto"/>
        </w:rPr>
      </w:pPr>
    </w:p>
    <w:p>
      <w:pPr>
        <w:ind w:right="60" w:firstLine="1428"/>
        <w:spacing w:after="0" w:line="274" w:lineRule="auto"/>
        <w:tabs>
          <w:tab w:leader="none" w:pos="165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72" w:lineRule="exact"/>
        <w:rPr>
          <w:rFonts w:ascii="Times New Roman" w:cs="Times New Roman" w:eastAsia="Times New Roman" w:hAnsi="Times New Roman"/>
          <w:sz w:val="17"/>
          <w:szCs w:val="17"/>
          <w:color w:val="auto"/>
        </w:rPr>
      </w:pPr>
    </w:p>
    <w:p>
      <w:pPr>
        <w:ind w:left="1680" w:hanging="252"/>
        <w:spacing w:after="0"/>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25" w:lineRule="exact"/>
        <w:rPr>
          <w:rFonts w:ascii="Times New Roman" w:cs="Times New Roman" w:eastAsia="Times New Roman" w:hAnsi="Times New Roman"/>
          <w:sz w:val="18"/>
          <w:szCs w:val="18"/>
          <w:color w:val="auto"/>
        </w:rPr>
      </w:pPr>
    </w:p>
    <w:p>
      <w:pPr>
        <w:ind w:right="20" w:firstLine="1428"/>
        <w:spacing w:after="0" w:line="266" w:lineRule="auto"/>
        <w:tabs>
          <w:tab w:leader="none" w:pos="1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facilitating compliance with applicable non-U.S. laws, easing the administration of the Plan or for qualifying for favorable tax treatment under applicable non-U.S. laws;</w:t>
      </w:r>
    </w:p>
    <w:p>
      <w:pPr>
        <w:spacing w:after="0" w:line="175" w:lineRule="exact"/>
        <w:rPr>
          <w:rFonts w:ascii="Times New Roman" w:cs="Times New Roman" w:eastAsia="Times New Roman" w:hAnsi="Times New Roman"/>
          <w:sz w:val="18"/>
          <w:szCs w:val="18"/>
          <w:color w:val="auto"/>
        </w:rPr>
      </w:pPr>
    </w:p>
    <w:p>
      <w:pPr>
        <w:jc w:val="both"/>
        <w:ind w:right="400" w:firstLine="1428"/>
        <w:spacing w:after="0" w:line="266" w:lineRule="auto"/>
        <w:tabs>
          <w:tab w:leader="none" w:pos="16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Sections 4.3 and 20.3), including but not limited to the discretionary authority to extend the post-termination exercisability period of Awards and to extend the maximum term of an Option or Stock Appreciation Right (subject to Sections 6.4 and 7.5);</w:t>
      </w:r>
    </w:p>
    <w:p>
      <w:pPr>
        <w:spacing w:after="0" w:line="17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tax withholding obligations in a manner prescribed in Section 16;</w:t>
      </w:r>
    </w:p>
    <w:p>
      <w:pPr>
        <w:spacing w:after="0" w:line="225" w:lineRule="exact"/>
        <w:rPr>
          <w:rFonts w:ascii="Times New Roman" w:cs="Times New Roman" w:eastAsia="Times New Roman" w:hAnsi="Times New Roman"/>
          <w:sz w:val="18"/>
          <w:szCs w:val="18"/>
          <w:color w:val="auto"/>
        </w:rPr>
      </w:pPr>
    </w:p>
    <w:p>
      <w:pPr>
        <w:ind w:right="120" w:firstLine="1428"/>
        <w:spacing w:after="0" w:line="282" w:lineRule="auto"/>
        <w:tabs>
          <w:tab w:leader="none" w:pos="1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61" w:lineRule="exact"/>
        <w:rPr>
          <w:rFonts w:ascii="Times New Roman" w:cs="Times New Roman" w:eastAsia="Times New Roman" w:hAnsi="Times New Roman"/>
          <w:sz w:val="18"/>
          <w:szCs w:val="18"/>
          <w:color w:val="auto"/>
        </w:rPr>
      </w:pPr>
    </w:p>
    <w:p>
      <w:pPr>
        <w:ind w:right="300" w:firstLine="1428"/>
        <w:spacing w:after="0" w:line="282" w:lineRule="auto"/>
        <w:tabs>
          <w:tab w:leader="none" w:pos="16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otherwise would be due to such Participant under an Award; and</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Exchange Program or Repricing</w:t>
      </w:r>
      <w:r>
        <w:rPr>
          <w:rFonts w:ascii="Times New Roman" w:cs="Times New Roman" w:eastAsia="Times New Roman" w:hAnsi="Times New Roman"/>
          <w:sz w:val="18"/>
          <w:szCs w:val="18"/>
          <w:color w:val="auto"/>
        </w:rPr>
        <w:t>. Notwithstanding the powers of the Administrator set forth herein, the Administrator will not be permitted to implement an Exchange Program.</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With respect to any Options and Stock Appreciation Rights, until the Shares are issued (as evidenced by the appropriate entry in the Register of Members of the Company or on the books of the Company or of a duly authorized transfer agent or registrar of the Company, as applicable) thereunder, no right to receive dividends or any other rights as a shareholder will exist with respect to the Shares subject to such Award, including without limitation notwithstanding any exercise of such Award. Further, no adjustment will be made for a dividend or other right for which the record date is prior to the date the Shares are issued under an Option or Stock Appreciation Right, except as provided in Section 15 of the Plan. During any applicable Period of Restriction, Service Providers holding Shares of Restricted Stock will be entitled to receive all dividends and other distributions paid with respect to such Shares, unless the Administrator provides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 w:name="page12"/>
    <w:bookmarkEnd w:id="1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otherwise; provided, however, that any such dividends or distributions payable with respect to such Shares will be subject to the same restrictions on transferability and/or forfeitability as the Shares of Restricted Stock with respect to which they were paid. With respect to Awards of Restricted Stock Units and Performance Awards, until the Shares are issued (as evidenced by the appropriate entry in the Register of Members of the Company or on the books of the Company or a duly authorized transfer agent of the Company, as applicable), no right to receive dividends or any other rights as a shareholder will exist with respect to the Shares subject to such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such Award with respect to which they were paid. For the avoidance of doubt, the number of Shares available for issuance under the Plan will not be reduced to reflect any dividends or other distributions that are reinvested into additional Shares or credited as additional Shares subject to or paid with respect to an Award.</w:t>
      </w:r>
    </w:p>
    <w:p>
      <w:pPr>
        <w:spacing w:after="0" w:line="184"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55" w:lineRule="exact"/>
        <w:rPr>
          <w:sz w:val="20"/>
          <w:szCs w:val="20"/>
          <w:color w:val="auto"/>
        </w:rPr>
      </w:pPr>
    </w:p>
    <w:p>
      <w:pPr>
        <w:ind w:right="40" w:firstLine="436"/>
        <w:spacing w:after="0" w:line="286"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and Performance Awards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Service Providers. Incentive Stock Options may be granted only to Employees.</w:t>
      </w:r>
    </w:p>
    <w:p>
      <w:pPr>
        <w:spacing w:after="0" w:line="154"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Grant of Options</w:t>
      </w:r>
      <w:r>
        <w:rPr>
          <w:rFonts w:ascii="Times New Roman" w:cs="Times New Roman" w:eastAsia="Times New Roman" w:hAnsi="Times New Roman"/>
          <w:sz w:val="18"/>
          <w:szCs w:val="18"/>
          <w:color w:val="auto"/>
        </w:rPr>
        <w:t>. Subject to the terms and provisions of the Plan, the Administrator, at any time and from time to time, may grant Options to Service Providers in such amounts as the Administrator, in its sole discretion, will determine.</w:t>
      </w:r>
    </w:p>
    <w:p>
      <w:pPr>
        <w:spacing w:after="0" w:line="155" w:lineRule="exact"/>
        <w:rPr>
          <w:sz w:val="20"/>
          <w:szCs w:val="20"/>
          <w:color w:val="auto"/>
        </w:rPr>
      </w:pPr>
    </w:p>
    <w:p>
      <w:pPr>
        <w:jc w:val="both"/>
        <w:ind w:right="40" w:firstLine="991"/>
        <w:spacing w:after="0" w:line="26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71"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83" w:lineRule="exact"/>
        <w:rPr>
          <w:sz w:val="20"/>
          <w:szCs w:val="20"/>
          <w:color w:val="auto"/>
        </w:rPr>
      </w:pPr>
    </w:p>
    <w:p>
      <w:pPr>
        <w:ind w:right="60" w:firstLine="991"/>
        <w:spacing w:after="0" w:line="259"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Term of Option</w:t>
      </w:r>
      <w:r>
        <w:rPr>
          <w:rFonts w:ascii="Times New Roman" w:cs="Times New Roman" w:eastAsia="Times New Roman" w:hAnsi="Times New Roman"/>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shares representing more than ten percent (10%) of the total combined voting power of all classes of shares of the Company or any Parent or Subsidiary, the term of the Incentive Stock Option will be five (5) years from the date of grant or such shorter term as may be provided in the Award Agreement.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2" w:name="page13"/>
    <w:bookmarkEnd w:id="1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6.5 </w:t>
      </w:r>
      <w:r>
        <w:rPr>
          <w:rFonts w:ascii="Times New Roman" w:cs="Times New Roman" w:eastAsia="Times New Roman" w:hAnsi="Times New Roman"/>
          <w:sz w:val="18"/>
          <w:szCs w:val="18"/>
          <w:b w:val="1"/>
          <w:bCs w:val="1"/>
          <w:color w:val="auto"/>
        </w:rPr>
        <w:t>Option Exercise Price and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32"/>
        <w:spacing w:after="0" w:line="256" w:lineRule="auto"/>
        <w:rPr>
          <w:sz w:val="20"/>
          <w:szCs w:val="20"/>
          <w:color w:val="auto"/>
        </w:rPr>
      </w:pPr>
      <w:r>
        <w:rPr>
          <w:rFonts w:ascii="Times New Roman" w:cs="Times New Roman" w:eastAsia="Times New Roman" w:hAnsi="Times New Roman"/>
          <w:sz w:val="18"/>
          <w:szCs w:val="18"/>
          <w:color w:val="auto"/>
        </w:rPr>
        <w:t xml:space="preserve">6.5.1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shares representing more than ten percent (10%) of the voting power of all classes of shares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83" w:lineRule="exact"/>
        <w:rPr>
          <w:sz w:val="20"/>
          <w:szCs w:val="20"/>
          <w:color w:val="auto"/>
        </w:rPr>
      </w:pPr>
    </w:p>
    <w:p>
      <w:pPr>
        <w:ind w:right="100" w:firstLine="1432"/>
        <w:spacing w:after="0" w:line="286" w:lineRule="auto"/>
        <w:rPr>
          <w:sz w:val="20"/>
          <w:szCs w:val="20"/>
          <w:color w:val="auto"/>
        </w:rPr>
      </w:pPr>
      <w:r>
        <w:rPr>
          <w:rFonts w:ascii="Times New Roman" w:cs="Times New Roman" w:eastAsia="Times New Roman" w:hAnsi="Times New Roman"/>
          <w:sz w:val="18"/>
          <w:szCs w:val="18"/>
          <w:color w:val="auto"/>
        </w:rPr>
        <w:t xml:space="preserve">6.5.2 </w:t>
      </w:r>
      <w:r>
        <w:rPr>
          <w:rFonts w:ascii="Times New Roman" w:cs="Times New Roman" w:eastAsia="Times New Roman" w:hAnsi="Times New Roman"/>
          <w:sz w:val="18"/>
          <w:szCs w:val="18"/>
          <w:b w:val="1"/>
          <w:bCs w:val="1"/>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55" w:lineRule="exact"/>
        <w:rPr>
          <w:sz w:val="20"/>
          <w:szCs w:val="20"/>
          <w:color w:val="auto"/>
        </w:rPr>
      </w:pPr>
    </w:p>
    <w:p>
      <w:pPr>
        <w:ind w:right="20" w:firstLine="1432"/>
        <w:spacing w:after="0" w:line="271" w:lineRule="auto"/>
        <w:rPr>
          <w:sz w:val="20"/>
          <w:szCs w:val="20"/>
          <w:color w:val="auto"/>
        </w:rPr>
      </w:pPr>
      <w:r>
        <w:rPr>
          <w:rFonts w:ascii="Times New Roman" w:cs="Times New Roman" w:eastAsia="Times New Roman" w:hAnsi="Times New Roman"/>
          <w:sz w:val="17"/>
          <w:szCs w:val="17"/>
          <w:color w:val="auto"/>
        </w:rPr>
        <w:t xml:space="preserve">6.5.3 </w:t>
      </w:r>
      <w:r>
        <w:rPr>
          <w:rFonts w:ascii="Times New Roman" w:cs="Times New Roman" w:eastAsia="Times New Roman" w:hAnsi="Times New Roman"/>
          <w:sz w:val="17"/>
          <w:szCs w:val="17"/>
          <w:b w:val="1"/>
          <w:bCs w:val="1"/>
          <w:color w:val="auto"/>
        </w:rPr>
        <w:t>Form of Consideration</w:t>
      </w:r>
      <w:r>
        <w:rPr>
          <w:rFonts w:ascii="Times New Roman" w:cs="Times New Roman" w:eastAsia="Times New Roman" w:hAnsi="Times New Roman"/>
          <w:sz w:val="17"/>
          <w:szCs w:val="17"/>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(d) consideration received by the Company under a cashless exercise program (whether through a broker or otherwise) implemented by the Company in connection with the Plan; (e) by net exercise; (f) such other consideration and method of payment for the issuance of Shares to the extent permitted by Applicable Laws, or (g)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color w:val="auto"/>
        </w:rPr>
        <w:t>Exercise of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1432"/>
        <w:spacing w:after="0" w:line="268" w:lineRule="auto"/>
        <w:rPr>
          <w:sz w:val="20"/>
          <w:szCs w:val="20"/>
          <w:color w:val="auto"/>
        </w:rPr>
      </w:pPr>
      <w:r>
        <w:rPr>
          <w:rFonts w:ascii="Times New Roman" w:cs="Times New Roman" w:eastAsia="Times New Roman" w:hAnsi="Times New Roman"/>
          <w:sz w:val="18"/>
          <w:szCs w:val="18"/>
          <w:color w:val="auto"/>
        </w:rPr>
        <w:t xml:space="preserve">6.6.1 </w:t>
      </w:r>
      <w:r>
        <w:rPr>
          <w:rFonts w:ascii="Times New Roman" w:cs="Times New Roman" w:eastAsia="Times New Roman" w:hAnsi="Times New Roman"/>
          <w:sz w:val="18"/>
          <w:szCs w:val="18"/>
          <w:b w:val="1"/>
          <w:bCs w:val="1"/>
          <w:color w:val="auto"/>
        </w:rPr>
        <w:t>Procedure for Exercise; Rights as a Shareholder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5" w:lineRule="exact"/>
        <w:rPr>
          <w:sz w:val="20"/>
          <w:szCs w:val="20"/>
          <w:color w:val="auto"/>
        </w:rPr>
      </w:pPr>
    </w:p>
    <w:p>
      <w:pPr>
        <w:ind w:right="100" w:firstLine="1432"/>
        <w:spacing w:after="0" w:line="256"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The Company will issue (or cause to be issued) such Shares promptly after the Option is exercised.</w:t>
      </w:r>
    </w:p>
    <w:p>
      <w:pPr>
        <w:spacing w:after="0" w:line="187" w:lineRule="exact"/>
        <w:rPr>
          <w:sz w:val="20"/>
          <w:szCs w:val="20"/>
          <w:color w:val="auto"/>
        </w:rPr>
      </w:pPr>
    </w:p>
    <w:p>
      <w:pPr>
        <w:ind w:right="200" w:firstLine="1432"/>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66" w:right="499" w:bottom="1440" w:gutter="0" w:footer="0" w:header="0"/>
        </w:sectPr>
      </w:pPr>
    </w:p>
    <w:bookmarkStart w:id="13" w:name="page14"/>
    <w:bookmarkEnd w:id="13"/>
    <w:p>
      <w:pPr>
        <w:ind w:left="4" w:firstLine="143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6.6.2 </w:t>
      </w:r>
      <w:r>
        <w:rPr>
          <w:rFonts w:ascii="Times New Roman" w:cs="Times New Roman" w:eastAsia="Times New Roman" w:hAnsi="Times New Roman"/>
          <w:sz w:val="18"/>
          <w:szCs w:val="18"/>
          <w:b w:val="1"/>
          <w:bCs w:val="1"/>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to the extent that the Option is vested on the date of termination, within ninety (90) days of termination, or such shorter or longer period of time, as is specified in the Award Agreement or in writing by the Administrator,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by the Administrator, the Option will terminate, and the Shares covered by such Option will revert to the Plan.</w:t>
      </w:r>
    </w:p>
    <w:p>
      <w:pPr>
        <w:spacing w:after="0" w:line="185" w:lineRule="exact"/>
        <w:rPr>
          <w:sz w:val="20"/>
          <w:szCs w:val="20"/>
          <w:color w:val="auto"/>
        </w:rPr>
      </w:pPr>
    </w:p>
    <w:p>
      <w:pPr>
        <w:ind w:left="4" w:firstLine="1432"/>
        <w:spacing w:after="0" w:line="256" w:lineRule="auto"/>
        <w:rPr>
          <w:sz w:val="20"/>
          <w:szCs w:val="20"/>
          <w:color w:val="auto"/>
        </w:rPr>
      </w:pPr>
      <w:r>
        <w:rPr>
          <w:rFonts w:ascii="Times New Roman" w:cs="Times New Roman" w:eastAsia="Times New Roman" w:hAnsi="Times New Roman"/>
          <w:sz w:val="18"/>
          <w:szCs w:val="18"/>
          <w:color w:val="auto"/>
        </w:rPr>
        <w:t xml:space="preserve">6.6.3 </w:t>
      </w:r>
      <w:r>
        <w:rPr>
          <w:rFonts w:ascii="Times New Roman" w:cs="Times New Roman" w:eastAsia="Times New Roman" w:hAnsi="Times New Roman"/>
          <w:sz w:val="18"/>
          <w:szCs w:val="18"/>
          <w:b w:val="1"/>
          <w:bCs w:val="1"/>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twelve (12)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herein, the Option will terminate, and the Shares covered by such Option will revert to the Plan.</w:t>
      </w:r>
    </w:p>
    <w:p>
      <w:pPr>
        <w:spacing w:after="0" w:line="183" w:lineRule="exact"/>
        <w:rPr>
          <w:sz w:val="20"/>
          <w:szCs w:val="20"/>
          <w:color w:val="auto"/>
        </w:rPr>
      </w:pPr>
    </w:p>
    <w:p>
      <w:pPr>
        <w:ind w:left="4" w:right="20" w:firstLine="1432"/>
        <w:spacing w:after="0" w:line="253" w:lineRule="auto"/>
        <w:rPr>
          <w:sz w:val="20"/>
          <w:szCs w:val="20"/>
          <w:color w:val="auto"/>
        </w:rPr>
      </w:pPr>
      <w:r>
        <w:rPr>
          <w:rFonts w:ascii="Times New Roman" w:cs="Times New Roman" w:eastAsia="Times New Roman" w:hAnsi="Times New Roman"/>
          <w:sz w:val="18"/>
          <w:szCs w:val="18"/>
          <w:color w:val="auto"/>
        </w:rPr>
        <w:t xml:space="preserve">6.6.4 </w:t>
      </w:r>
      <w:r>
        <w:rPr>
          <w:rFonts w:ascii="Times New Roman" w:cs="Times New Roman" w:eastAsia="Times New Roman" w:hAnsi="Times New Roman"/>
          <w:sz w:val="18"/>
          <w:szCs w:val="18"/>
          <w:b w:val="1"/>
          <w:bCs w:val="1"/>
          <w:color w:val="auto"/>
        </w:rPr>
        <w:t>Death of Participant</w:t>
      </w:r>
      <w:r>
        <w:rPr>
          <w:rFonts w:ascii="Times New Roman" w:cs="Times New Roman" w:eastAsia="Times New Roman" w:hAnsi="Times New Roman"/>
          <w:sz w:val="18"/>
          <w:szCs w:val="18"/>
          <w:color w:val="auto"/>
        </w:rPr>
        <w:t>. If a Participant dies while a Service Provider, the Option may be exercised within twelve (12)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“Legal Representative”).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90"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6.6.5 </w:t>
      </w:r>
      <w:r>
        <w:rPr>
          <w:rFonts w:ascii="Times New Roman" w:cs="Times New Roman" w:eastAsia="Times New Roman" w:hAnsi="Times New Roman"/>
          <w:sz w:val="18"/>
          <w:szCs w:val="18"/>
          <w:b w:val="1"/>
          <w:bCs w:val="1"/>
          <w:color w:val="auto"/>
        </w:rPr>
        <w:t>Tolling Expiration</w:t>
      </w:r>
      <w:r>
        <w:rPr>
          <w:rFonts w:ascii="Times New Roman" w:cs="Times New Roman" w:eastAsia="Times New Roman" w:hAnsi="Times New Roman"/>
          <w:sz w:val="18"/>
          <w:szCs w:val="18"/>
          <w:color w:val="auto"/>
        </w:rPr>
        <w:t>. A Participant’s Award Agreement may also provide that:</w:t>
      </w:r>
    </w:p>
    <w:p>
      <w:pPr>
        <w:spacing w:after="0" w:line="121" w:lineRule="exact"/>
        <w:rPr>
          <w:sz w:val="20"/>
          <w:szCs w:val="20"/>
          <w:color w:val="auto"/>
        </w:rPr>
      </w:pPr>
    </w:p>
    <w:p>
      <w:pPr>
        <w:ind w:left="4" w:right="40" w:firstLine="1979"/>
        <w:spacing w:after="0" w:line="230" w:lineRule="auto"/>
        <w:tabs>
          <w:tab w:leader="none" w:pos="223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last date on which such exercise would result in liability under Section 16b; or</w:t>
      </w:r>
    </w:p>
    <w:p>
      <w:pPr>
        <w:spacing w:after="0" w:line="198" w:lineRule="exact"/>
        <w:rPr>
          <w:rFonts w:ascii="Times New Roman" w:cs="Times New Roman" w:eastAsia="Times New Roman" w:hAnsi="Times New Roman"/>
          <w:sz w:val="18"/>
          <w:szCs w:val="18"/>
          <w:color w:val="auto"/>
        </w:rPr>
      </w:pPr>
    </w:p>
    <w:p>
      <w:pPr>
        <w:ind w:left="4" w:firstLine="1979"/>
        <w:spacing w:after="0" w:line="272" w:lineRule="auto"/>
        <w:tabs>
          <w:tab w:leader="none" w:pos="2242"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w:t>
      </w:r>
    </w:p>
    <w:p>
      <w:pPr>
        <w:spacing w:after="0" w:line="1" w:lineRule="exact"/>
        <w:rPr>
          <w:rFonts w:ascii="Times New Roman" w:cs="Times New Roman" w:eastAsia="Times New Roman" w:hAnsi="Times New Roman"/>
          <w:sz w:val="17"/>
          <w:szCs w:val="17"/>
          <w:color w:val="auto"/>
        </w:rPr>
      </w:pPr>
    </w:p>
    <w:p>
      <w:pPr>
        <w:ind w:left="4" w:right="240" w:hanging="4"/>
        <w:spacing w:after="0" w:line="260" w:lineRule="auto"/>
        <w:tabs>
          <w:tab w:leader="none" w:pos="3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cessation of the Participant’s status as a Service Provider during which the exercise of the Option would not be in violation of such registration requirements.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6" w:right="459" w:bottom="1440" w:gutter="0" w:footer="0" w:header="0"/>
        </w:sectPr>
      </w:pPr>
    </w:p>
    <w:bookmarkStart w:id="14" w:name="page15"/>
    <w:bookmarkEnd w:id="14"/>
    <w:p>
      <w:pPr>
        <w:ind w:left="620" w:hanging="184"/>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Appreciation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5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Number of Shares</w:t>
      </w:r>
      <w:r>
        <w:rPr>
          <w:rFonts w:ascii="Times New Roman" w:cs="Times New Roman" w:eastAsia="Times New Roman" w:hAnsi="Times New Roman"/>
          <w:sz w:val="18"/>
          <w:szCs w:val="18"/>
          <w:color w:val="auto"/>
        </w:rPr>
        <w:t>. The Administrator will have complete discretion to determine the number of Shares subject to any Award of Stock Appreciation Rights.</w:t>
      </w:r>
    </w:p>
    <w:p>
      <w:pPr>
        <w:spacing w:after="0" w:line="155"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Exercise Price and Other Terms</w:t>
      </w:r>
      <w:r>
        <w:rPr>
          <w:rFonts w:ascii="Times New Roman" w:cs="Times New Roman" w:eastAsia="Times New Roman" w:hAnsi="Times New Roman"/>
          <w:sz w:val="18"/>
          <w:szCs w:val="18"/>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6" w:lineRule="exact"/>
        <w:rPr>
          <w:sz w:val="20"/>
          <w:szCs w:val="20"/>
          <w:color w:val="auto"/>
        </w:rPr>
      </w:pPr>
    </w:p>
    <w:p>
      <w:pPr>
        <w:ind w:right="400" w:firstLine="991"/>
        <w:spacing w:after="0" w:line="268"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1"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spacing w:after="0" w:line="171"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51" w:lineRule="exact"/>
        <w:rPr>
          <w:sz w:val="20"/>
          <w:szCs w:val="20"/>
          <w:color w:val="auto"/>
        </w:rPr>
      </w:pPr>
    </w:p>
    <w:p>
      <w:pPr>
        <w:ind w:left="1680" w:hanging="252"/>
        <w:spacing w:after="0"/>
        <w:tabs>
          <w:tab w:leader="none" w:pos="1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ind w:right="100" w:firstLine="1432"/>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158" w:lineRule="exact"/>
        <w:rPr>
          <w:sz w:val="20"/>
          <w:szCs w:val="20"/>
          <w:color w:val="auto"/>
        </w:rPr>
      </w:pPr>
    </w:p>
    <w:p>
      <w:pPr>
        <w:ind w:left="620" w:hanging="184"/>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55" w:lineRule="exact"/>
        <w:rPr>
          <w:sz w:val="20"/>
          <w:szCs w:val="20"/>
          <w:color w:val="auto"/>
        </w:rPr>
      </w:pPr>
    </w:p>
    <w:p>
      <w:pPr>
        <w:ind w:right="100" w:firstLine="991"/>
        <w:spacing w:after="0" w:line="26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5" w:name="page16"/>
    <w:bookmarkEnd w:id="15"/>
    <w:p>
      <w:pPr>
        <w:ind w:right="10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8.3 </w:t>
      </w: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55"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55"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Removal of Restrictions</w:t>
      </w:r>
      <w:r>
        <w:rPr>
          <w:rFonts w:ascii="Times New Roman" w:cs="Times New Roman" w:eastAsia="Times New Roman" w:hAnsi="Times New Roman"/>
          <w:sz w:val="18"/>
          <w:szCs w:val="18"/>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1"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55"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55" w:lineRule="exact"/>
        <w:rPr>
          <w:sz w:val="20"/>
          <w:szCs w:val="20"/>
          <w:color w:val="auto"/>
        </w:rPr>
      </w:pPr>
    </w:p>
    <w:p>
      <w:pPr>
        <w:ind w:left="620" w:hanging="184"/>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91"/>
        <w:spacing w:after="0" w:line="26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71" w:lineRule="exact"/>
        <w:rPr>
          <w:sz w:val="20"/>
          <w:szCs w:val="20"/>
          <w:color w:val="auto"/>
        </w:rPr>
      </w:pPr>
    </w:p>
    <w:p>
      <w:pPr>
        <w:ind w:right="280" w:firstLine="991"/>
        <w:spacing w:after="0" w:line="26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6"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1"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Form and Timing of Payment</w:t>
      </w:r>
      <w:r>
        <w:rPr>
          <w:rFonts w:ascii="Times New Roman" w:cs="Times New Roman" w:eastAsia="Times New Roman" w:hAnsi="Times New Roman"/>
          <w:sz w:val="18"/>
          <w:szCs w:val="18"/>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225" w:lineRule="exact"/>
        <w:rPr>
          <w:sz w:val="20"/>
          <w:szCs w:val="20"/>
          <w:color w:val="auto"/>
        </w:rPr>
      </w:pPr>
    </w:p>
    <w:p>
      <w:pPr>
        <w:ind w:left="700" w:hanging="264"/>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991"/>
        <w:spacing w:after="0" w:line="291"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Each Performance Award will be evidenced by an Award Agreement that will specify any time period during which any performance objectives or other vesting provisions will be measured (“</w:t>
      </w:r>
      <w:r>
        <w:rPr>
          <w:rFonts w:ascii="Times New Roman" w:cs="Times New Roman" w:eastAsia="Times New Roman" w:hAnsi="Times New Roman"/>
          <w:sz w:val="17"/>
          <w:szCs w:val="17"/>
          <w:b w:val="1"/>
          <w:bCs w:val="1"/>
          <w:color w:val="auto"/>
        </w:rPr>
        <w:t>Performance Period</w:t>
      </w:r>
      <w:r>
        <w:rPr>
          <w:rFonts w:ascii="Times New Roman" w:cs="Times New Roman" w:eastAsia="Times New Roman" w:hAnsi="Times New Roman"/>
          <w:sz w:val="17"/>
          <w:szCs w:val="17"/>
          <w:color w:val="auto"/>
        </w:rPr>
        <w:t>”), and such other terms and conditions as the Administrator determines. Each Performance Award will have an initial value that is determined by the Administrator on or before its date of grant.</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66" w:right="499" w:bottom="1440" w:gutter="0" w:footer="0" w:header="0"/>
        </w:sectPr>
      </w:pPr>
    </w:p>
    <w:bookmarkStart w:id="16" w:name="page17"/>
    <w:bookmarkEnd w:id="16"/>
    <w:p>
      <w:pPr>
        <w:ind w:right="20" w:firstLine="99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10.2 </w:t>
      </w:r>
      <w:r>
        <w:rPr>
          <w:rFonts w:ascii="Times New Roman" w:cs="Times New Roman" w:eastAsia="Times New Roman" w:hAnsi="Times New Roman"/>
          <w:sz w:val="18"/>
          <w:szCs w:val="18"/>
          <w:b w:val="1"/>
          <w:bCs w:val="1"/>
          <w:color w:val="auto"/>
        </w:rPr>
        <w:t>Objectives or Vesting Provisions and Other Terms.</w:t>
      </w:r>
      <w:r>
        <w:rPr>
          <w:rFonts w:ascii="Times New Roman" w:cs="Times New Roman" w:eastAsia="Times New Roman" w:hAnsi="Times New Roman"/>
          <w:sz w:val="18"/>
          <w:szCs w:val="18"/>
          <w:color w:val="auto"/>
        </w:rPr>
        <w:t xml:space="preserve">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9" w:lineRule="exact"/>
        <w:rPr>
          <w:sz w:val="20"/>
          <w:szCs w:val="20"/>
          <w:color w:val="auto"/>
        </w:rPr>
      </w:pPr>
    </w:p>
    <w:p>
      <w:pPr>
        <w:ind w:right="100" w:firstLine="991"/>
        <w:spacing w:after="0" w:line="26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Earning Performance Awards</w:t>
      </w:r>
      <w:r>
        <w:rPr>
          <w:rFonts w:ascii="Times New Roman" w:cs="Times New Roman" w:eastAsia="Times New Roman" w:hAnsi="Times New Roman"/>
          <w:sz w:val="18"/>
          <w:szCs w:val="18"/>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71"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Form and Timing of Payment</w:t>
      </w:r>
      <w:r>
        <w:rPr>
          <w:rFonts w:ascii="Times New Roman" w:cs="Times New Roman" w:eastAsia="Times New Roman" w:hAnsi="Times New Roman"/>
          <w:sz w:val="18"/>
          <w:szCs w:val="18"/>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171"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Cancellation of Performance Awards</w:t>
      </w:r>
      <w:r>
        <w:rPr>
          <w:rFonts w:ascii="Times New Roman" w:cs="Times New Roman" w:eastAsia="Times New Roman" w:hAnsi="Times New Roman"/>
          <w:sz w:val="18"/>
          <w:szCs w:val="18"/>
          <w:color w:val="auto"/>
        </w:rPr>
        <w:t>. On the date set forth in the Award Agreement, all unearned or unvested Performance Awards will be forfeited to the Company, and again will be available for grant under the Plan.</w:t>
      </w:r>
    </w:p>
    <w:p>
      <w:pPr>
        <w:spacing w:after="0" w:line="155" w:lineRule="exact"/>
        <w:rPr>
          <w:sz w:val="20"/>
          <w:szCs w:val="20"/>
          <w:color w:val="auto"/>
        </w:rPr>
      </w:pPr>
    </w:p>
    <w:p>
      <w:pPr>
        <w:ind w:firstLine="436"/>
        <w:spacing w:after="0" w:line="259" w:lineRule="auto"/>
        <w:tabs>
          <w:tab w:leader="none" w:pos="7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Outside Director Award Limitations</w:t>
      </w:r>
      <w:r>
        <w:rPr>
          <w:rFonts w:ascii="Times New Roman" w:cs="Times New Roman" w:eastAsia="Times New Roman" w:hAnsi="Times New Roman"/>
          <w:sz w:val="18"/>
          <w:szCs w:val="18"/>
          <w:color w:val="auto"/>
        </w:rPr>
        <w:t>. No Outside Director may be granted, in any Fiscal Year, Awards (the value of which will be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grant date fair value determined in accordance with U.S. generally accepted accounting principles) and be provided any cash retainers for service as an Outside Director in amounts that, in the aggregate, exceed $500,000, provided that such amount is increased to $1,000,000 in the Fiscal Year of his or her initial service as an Outside Director. Any Awards or other compensation provided to an individual for his or her services as an Employee, or for his or her services as a Consultant other than as an Outside Director, will be excluded for purposes of this Section 11.</w:t>
      </w:r>
    </w:p>
    <w:p>
      <w:pPr>
        <w:spacing w:after="0" w:line="179" w:lineRule="exact"/>
        <w:rPr>
          <w:rFonts w:ascii="Times New Roman" w:cs="Times New Roman" w:eastAsia="Times New Roman" w:hAnsi="Times New Roman"/>
          <w:sz w:val="18"/>
          <w:szCs w:val="18"/>
          <w:color w:val="auto"/>
        </w:rPr>
      </w:pPr>
    </w:p>
    <w:p>
      <w:pPr>
        <w:ind w:right="20" w:firstLine="436"/>
        <w:spacing w:after="0" w:line="253" w:lineRule="auto"/>
        <w:tabs>
          <w:tab w:leader="none" w:pos="7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Section 409A and Exemption from Section 457A</w:t>
      </w:r>
      <w:r>
        <w:rPr>
          <w:rFonts w:ascii="Times New Roman" w:cs="Times New Roman" w:eastAsia="Times New Roman" w:hAnsi="Times New Roman"/>
          <w:sz w:val="18"/>
          <w:szCs w:val="18"/>
          <w:color w:val="auto"/>
        </w:rPr>
        <w:t>. Awards will be designed and operated in such a manner that they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exempt from the application of, or comply with, the requirements of Section 409A such that the grant, payment, settlement or deferral will not be subject to the additional tax or interest applicable under Section 409A, and, if applicable, to be exempt from the application of Section 457A, in each case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 or Code Section 457A and the U.S. Treasury Regulations promulgated thereunder.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17" w:name="page18"/>
    <w:bookmarkEnd w:id="17"/>
    <w:p>
      <w:pPr>
        <w:ind w:right="40" w:firstLine="436"/>
        <w:spacing w:after="0" w:line="243" w:lineRule="auto"/>
        <w:tabs>
          <w:tab w:leader="none" w:pos="71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Leaves of Absence/Transfer Between Locations; Part-Time Service</w:t>
      </w:r>
      <w:r>
        <w:rPr>
          <w:rFonts w:ascii="Times New Roman" w:cs="Times New Roman" w:eastAsia="Times New Roman" w:hAnsi="Times New Roman"/>
          <w:sz w:val="18"/>
          <w:szCs w:val="18"/>
          <w:color w:val="auto"/>
        </w:rPr>
        <w:t>. Unless the Administrator provides otherwise or as otherwise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Laws, vesting of Awards granted hereunder will be suspended during any unpaid leave of absence. A Participant will not cease to be an Employee in the case of (a) any leave of absence approved by the Company (or the Parent or Subsidiary of the Company employing or engaging the Participant)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of such leave, any Incentive Stock Option held by the Participant will cease to be treated as an Incentive Stock Option and will be treated for tax purposes as a Nonstatutory Stock Option. If the Administrator so provides, if as a condition to being permitted to work on a less than full-time basis, to the extent permitted by Applicable Laws, the Participant agrees that any service-based vesting of Awards granted hereunder shall be extended on a proportionate basis in connection with such transition to a less than a full-time basis, vesting shall be adjusted in accordance with such agreement. In such event, if the Administrator so provides, such vesting shall be proportionately readjusted prospectively in the event that the Participant subsequently becomes regularly scheduled to work additional hours of service.</w:t>
      </w:r>
    </w:p>
    <w:p>
      <w:pPr>
        <w:spacing w:after="0" w:line="200" w:lineRule="exact"/>
        <w:rPr>
          <w:rFonts w:ascii="Times New Roman" w:cs="Times New Roman" w:eastAsia="Times New Roman" w:hAnsi="Times New Roman"/>
          <w:sz w:val="18"/>
          <w:szCs w:val="18"/>
          <w:color w:val="auto"/>
        </w:rPr>
      </w:pPr>
    </w:p>
    <w:p>
      <w:pPr>
        <w:ind w:right="40" w:firstLine="436"/>
        <w:spacing w:after="0" w:line="259" w:lineRule="auto"/>
        <w:tabs>
          <w:tab w:leader="none" w:pos="71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Limited Transferability of Awards</w:t>
      </w:r>
      <w:r>
        <w:rPr>
          <w:rFonts w:ascii="Times New Roman" w:cs="Times New Roman" w:eastAsia="Times New Roman" w:hAnsi="Times New Roman"/>
          <w:sz w:val="18"/>
          <w:szCs w:val="18"/>
          <w:color w:val="auto"/>
        </w:rPr>
        <w:t>. Unless determined otherwise by the Administrator, Awards may not be sold, pledged, assigned,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91"/>
        <w:spacing w:after="0" w:line="275" w:lineRule="auto"/>
        <w:rPr>
          <w:sz w:val="20"/>
          <w:szCs w:val="20"/>
          <w:color w:val="auto"/>
        </w:rPr>
      </w:pPr>
      <w:r>
        <w:rPr>
          <w:rFonts w:ascii="Times New Roman" w:cs="Times New Roman" w:eastAsia="Times New Roman" w:hAnsi="Times New Roman"/>
          <w:sz w:val="17"/>
          <w:szCs w:val="17"/>
          <w:color w:val="auto"/>
        </w:rPr>
        <w:t xml:space="preserve">15.1 </w:t>
      </w:r>
      <w:r>
        <w:rPr>
          <w:rFonts w:ascii="Times New Roman" w:cs="Times New Roman" w:eastAsia="Times New Roman" w:hAnsi="Times New Roman"/>
          <w:sz w:val="17"/>
          <w:szCs w:val="17"/>
          <w:b w:val="1"/>
          <w:bCs w:val="1"/>
          <w:color w:val="auto"/>
        </w:rPr>
        <w:t>Adjustments</w:t>
      </w:r>
      <w:r>
        <w:rPr>
          <w:rFonts w:ascii="Times New Roman" w:cs="Times New Roman" w:eastAsia="Times New Roman" w:hAnsi="Times New Roman"/>
          <w:sz w:val="17"/>
          <w:szCs w:val="17"/>
          <w:color w:val="auto"/>
        </w:rPr>
        <w:t>. In the event that any dividend or other distribution (whether in the form of cash, Shares, other securities, or other property), recapitalization, share or stock split, reverse share or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numerical Share limits in Section 3.</w:t>
      </w:r>
    </w:p>
    <w:p>
      <w:pPr>
        <w:spacing w:after="0" w:line="168" w:lineRule="exact"/>
        <w:rPr>
          <w:sz w:val="20"/>
          <w:szCs w:val="20"/>
          <w:color w:val="auto"/>
        </w:rPr>
      </w:pPr>
    </w:p>
    <w:p>
      <w:pPr>
        <w:jc w:val="both"/>
        <w:ind w:right="300" w:firstLine="991"/>
        <w:spacing w:after="0" w:line="268"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1"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b w:val="1"/>
          <w:bCs w:val="1"/>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18" w:name="page19"/>
    <w:bookmarkEnd w:id="1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the Award (or portion thereof) as described below, or substitute for the Award (or portion thereof) as described above,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and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8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shares, cash, or other securities or property) received in the merger or Change in Control by holders of Ordinary Shares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ordinary shares or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Award, for each Share subject to such Award, to be solely ordinary shares or common stock of the successor corporation or its Parent equal in fair market value to the per share consideration received by holders of Ordinary Shares in the merger or Change in Control.</w:t>
      </w:r>
    </w:p>
    <w:p>
      <w:pPr>
        <w:spacing w:after="0" w:line="188"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Notwithstanding anything in this Section 15.3 to the contrary, an Award that vests, is earned or paid 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9" w:name="page20"/>
    <w:bookmarkEnd w:id="19"/>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79"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b w:val="1"/>
          <w:bCs w:val="1"/>
          <w:color w:val="auto"/>
        </w:rPr>
        <w:t>Outside Director Awards</w:t>
      </w:r>
      <w:r>
        <w:rPr>
          <w:rFonts w:ascii="Times New Roman" w:cs="Times New Roman" w:eastAsia="Times New Roman" w:hAnsi="Times New Roman"/>
          <w:sz w:val="18"/>
          <w:szCs w:val="18"/>
          <w:color w:val="auto"/>
        </w:rPr>
        <w:t>. With respect to Awards granted to an Outside Director while such individual was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188" w:lineRule="exact"/>
        <w:rPr>
          <w:sz w:val="20"/>
          <w:szCs w:val="20"/>
          <w:color w:val="auto"/>
        </w:rPr>
      </w:pPr>
    </w:p>
    <w:p>
      <w:pPr>
        <w:ind w:left="700" w:hanging="264"/>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b w:val="1"/>
          <w:bCs w:val="1"/>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non-U.S., and other taxes (including the Participant’s FICA obligation) required to be withheld or paid with respect to such Award (or exercise thereof).</w:t>
      </w:r>
    </w:p>
    <w:p>
      <w:pPr>
        <w:spacing w:after="0" w:line="179"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b w:val="1"/>
          <w:bCs w:val="1"/>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20" w:name="page21"/>
    <w:bookmarkEnd w:id="20"/>
    <w:p>
      <w:pPr>
        <w:jc w:val="both"/>
        <w:ind w:left="4" w:firstLine="436"/>
        <w:spacing w:after="0" w:line="262" w:lineRule="auto"/>
        <w:tabs>
          <w:tab w:leader="none" w:pos="7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76" w:lineRule="exact"/>
        <w:rPr>
          <w:rFonts w:ascii="Times New Roman" w:cs="Times New Roman" w:eastAsia="Times New Roman" w:hAnsi="Times New Roman"/>
          <w:sz w:val="18"/>
          <w:szCs w:val="18"/>
          <w:color w:val="auto"/>
        </w:rPr>
      </w:pPr>
    </w:p>
    <w:p>
      <w:pPr>
        <w:ind w:left="4" w:right="60" w:firstLine="436"/>
        <w:spacing w:after="0" w:line="268" w:lineRule="auto"/>
        <w:tabs>
          <w:tab w:leader="none" w:pos="7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Award, or such other later date as is determined by the Administrator. Notice of the determination will be provided to each Participant within a reasonable time after the date of such grant.</w:t>
      </w:r>
    </w:p>
    <w:p>
      <w:pPr>
        <w:spacing w:after="0" w:line="170" w:lineRule="exact"/>
        <w:rPr>
          <w:rFonts w:ascii="Times New Roman" w:cs="Times New Roman" w:eastAsia="Times New Roman" w:hAnsi="Times New Roman"/>
          <w:sz w:val="18"/>
          <w:szCs w:val="18"/>
          <w:color w:val="auto"/>
        </w:rPr>
      </w:pPr>
    </w:p>
    <w:p>
      <w:pPr>
        <w:jc w:val="both"/>
        <w:ind w:left="4" w:right="120" w:firstLine="436"/>
        <w:spacing w:after="0" w:line="268" w:lineRule="auto"/>
        <w:tabs>
          <w:tab w:leader="none" w:pos="7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of Plan</w:t>
      </w:r>
      <w:r>
        <w:rPr>
          <w:rFonts w:ascii="Times New Roman" w:cs="Times New Roman" w:eastAsia="Times New Roman" w:hAnsi="Times New Roman"/>
          <w:sz w:val="18"/>
          <w:szCs w:val="18"/>
          <w:color w:val="auto"/>
        </w:rPr>
        <w:t>. Subject to Section 23 of the Plan, the Plan will become effective upon the date on which the Company’s shareholders approve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The Plan will continue in effect for a term of ten (10) years from the date adopted by the Board, unless terminated earlier under Section 20 of the Plan.</w:t>
      </w:r>
    </w:p>
    <w:p>
      <w:pPr>
        <w:spacing w:after="0" w:line="170"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b w:val="1"/>
          <w:bCs w:val="1"/>
          <w:color w:val="auto"/>
        </w:rPr>
        <w:t>Amendment and Termination</w:t>
      </w:r>
      <w:r>
        <w:rPr>
          <w:rFonts w:ascii="Times New Roman" w:cs="Times New Roman" w:eastAsia="Times New Roman" w:hAnsi="Times New Roman"/>
          <w:sz w:val="18"/>
          <w:szCs w:val="18"/>
          <w:color w:val="auto"/>
        </w:rPr>
        <w:t>. The Administrator may at any time amend, alter, suspend or terminate the Plan.</w:t>
      </w:r>
    </w:p>
    <w:p>
      <w:pPr>
        <w:spacing w:after="0" w:line="225" w:lineRule="exact"/>
        <w:rPr>
          <w:sz w:val="20"/>
          <w:szCs w:val="20"/>
          <w:color w:val="auto"/>
        </w:rPr>
      </w:pPr>
    </w:p>
    <w:p>
      <w:pPr>
        <w:ind w:left="4" w:firstLine="991"/>
        <w:spacing w:after="0" w:line="286"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b w:val="1"/>
          <w:bCs w:val="1"/>
          <w:color w:val="auto"/>
        </w:rPr>
        <w:t>Shareholder Approval</w:t>
      </w:r>
      <w:r>
        <w:rPr>
          <w:rFonts w:ascii="Times New Roman" w:cs="Times New Roman" w:eastAsia="Times New Roman" w:hAnsi="Times New Roman"/>
          <w:sz w:val="18"/>
          <w:szCs w:val="18"/>
          <w:color w:val="auto"/>
        </w:rPr>
        <w:t>. The Company will obtain shareholder approval of any Plan amendment to the extent necessary and desirable to comply with Applicable Laws.</w:t>
      </w:r>
    </w:p>
    <w:p>
      <w:pPr>
        <w:spacing w:after="0" w:line="155" w:lineRule="exact"/>
        <w:rPr>
          <w:sz w:val="20"/>
          <w:szCs w:val="20"/>
          <w:color w:val="auto"/>
        </w:rPr>
      </w:pPr>
    </w:p>
    <w:p>
      <w:pPr>
        <w:jc w:val="both"/>
        <w:ind w:left="4" w:right="160" w:firstLine="991"/>
        <w:spacing w:after="0" w:line="259"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b w:val="1"/>
          <w:bCs w:val="1"/>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unless (i) mutually agreed otherwise between the Participant and the Administrator, which agreement must be in writing and signed by the Participant and the Company, (ii) as the Administrator deems necessary or appropriate to clarify the manner of exemption from</w:t>
      </w:r>
    </w:p>
    <w:p>
      <w:pPr>
        <w:ind w:left="4"/>
        <w:spacing w:after="0"/>
        <w:rPr>
          <w:sz w:val="20"/>
          <w:szCs w:val="20"/>
          <w:color w:val="auto"/>
        </w:rPr>
      </w:pPr>
      <w:r>
        <w:rPr>
          <w:rFonts w:ascii="Times New Roman" w:cs="Times New Roman" w:eastAsia="Times New Roman" w:hAnsi="Times New Roman"/>
          <w:sz w:val="18"/>
          <w:szCs w:val="18"/>
          <w:color w:val="auto"/>
        </w:rPr>
        <w:t>Section 409A or compliance with any requirements necessary to avoid the imposition of additional tax or interest under Code Section 409A(a)(1)(B), or</w:t>
      </w:r>
    </w:p>
    <w:p>
      <w:pPr>
        <w:spacing w:after="0" w:line="9" w:lineRule="exact"/>
        <w:rPr>
          <w:sz w:val="20"/>
          <w:szCs w:val="20"/>
          <w:color w:val="auto"/>
        </w:rPr>
      </w:pPr>
    </w:p>
    <w:p>
      <w:pPr>
        <w:ind w:left="4" w:right="540" w:hanging="4"/>
        <w:spacing w:after="0" w:line="260" w:lineRule="auto"/>
        <w:tabs>
          <w:tab w:leader="none" w:pos="3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other Applicable Laws. Termination of the Plan will not affect the Administrator’s ability to exercise the powers granted to it hereunder with respect to Awards granted under the Plan prior to the date of such termination.</w:t>
      </w:r>
    </w:p>
    <w:p>
      <w:pPr>
        <w:spacing w:after="0" w:line="17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Upon Issuance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Legal Compliance</w:t>
      </w:r>
      <w:r>
        <w:rPr>
          <w:rFonts w:ascii="Times New Roman" w:cs="Times New Roman" w:eastAsia="Times New Roman" w:hAnsi="Times New Roman"/>
          <w:sz w:val="18"/>
          <w:szCs w:val="18"/>
          <w:color w:val="auto"/>
        </w:rPr>
        <w:t>. The Company will make good faith efforts to comply with all Applicable Laws related to the issuance of Shares. Shares will not be issued pursuant to an Award, including without limitation upon exercise or vesting thereof, as applicable, unless the issuance and delivery of such Shares and exercise or vesting of the Award, as applicable, will comply with Applicable Laws. If required by the Administrator, issuance will be further subject to the approval of counsel for the Company with respect to such compliance. If the Company determines it to be impossible or impractical to obtain authority from any regulatory body having jurisdiction or to complete or comply with the requirements of any Applicable Laws, registration or other qualification of the Shares under any state, federal or foreign law or under the rules and regulations of the U.S. Securities and Exchange Commission, the stock or share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regarding the failure to issue or sell such Shares as to which such authority, registration, qualification or rule compliance was not obtained and the Administrator reserves the authority, without the consent of a Participant, to terminate or cancel Awards with or without consideration in such a situation.</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66" w:right="479" w:bottom="1440" w:gutter="0" w:footer="0" w:header="0"/>
        </w:sectPr>
      </w:pPr>
    </w:p>
    <w:bookmarkStart w:id="21" w:name="page22"/>
    <w:bookmarkEnd w:id="21"/>
    <w:p>
      <w:pPr>
        <w:ind w:right="46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21.2 </w:t>
      </w:r>
      <w:r>
        <w:rPr>
          <w:rFonts w:ascii="Times New Roman" w:cs="Times New Roman" w:eastAsia="Times New Roman" w:hAnsi="Times New Roman"/>
          <w:sz w:val="18"/>
          <w:szCs w:val="18"/>
          <w:b w:val="1"/>
          <w:bCs w:val="1"/>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1" w:lineRule="exact"/>
        <w:rPr>
          <w:sz w:val="20"/>
          <w:szCs w:val="20"/>
          <w:color w:val="auto"/>
        </w:rPr>
      </w:pPr>
    </w:p>
    <w:p>
      <w:pPr>
        <w:jc w:val="both"/>
        <w:ind w:right="40" w:firstLine="991"/>
        <w:spacing w:after="0" w:line="259"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color w:val="auto"/>
        </w:rPr>
        <w:t>Failure to Accept Award</w:t>
      </w:r>
      <w:r>
        <w:rPr>
          <w:rFonts w:ascii="Times New Roman" w:cs="Times New Roman" w:eastAsia="Times New Roman" w:hAnsi="Times New Roman"/>
          <w:sz w:val="18"/>
          <w:szCs w:val="18"/>
          <w:color w:val="auto"/>
        </w:rPr>
        <w:t>. If a Participant has not accepted an Award to the extent such acceptance has been requested or required by the Company or has not taken all administrative and other steps (e.g., setting up an account with a broker designated by the Company) necessary for the Company to issue Shares upon the vesting, exercise, or settlement of the Award prior to the first date the Shares subject to such Award are scheduled to vest, then the portion of the Award scheduled to vest on such date will be cancelled on such date and such Shares subject to the Award immediately will revert to the Plan for no additional consideration unless otherwise provided by the Administrator.</w:t>
      </w:r>
    </w:p>
    <w:p>
      <w:pPr>
        <w:spacing w:after="0" w:line="179" w:lineRule="exact"/>
        <w:rPr>
          <w:sz w:val="20"/>
          <w:szCs w:val="20"/>
          <w:color w:val="auto"/>
        </w:rPr>
      </w:pPr>
    </w:p>
    <w:p>
      <w:pPr>
        <w:ind w:firstLine="436"/>
        <w:spacing w:after="0" w:line="257" w:lineRule="auto"/>
        <w:tabs>
          <w:tab w:leader="none" w:pos="7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or to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comply with the requirements of any registration or other qualification of the Shares under any U.S. state or federal law or non-U.S. law or under the rules and regulations of the Securities and Exchange Commission, the stock or share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2" w:lineRule="exact"/>
        <w:rPr>
          <w:rFonts w:ascii="Times New Roman" w:cs="Times New Roman" w:eastAsia="Times New Roman" w:hAnsi="Times New Roman"/>
          <w:sz w:val="18"/>
          <w:szCs w:val="18"/>
          <w:color w:val="auto"/>
        </w:rPr>
      </w:pPr>
    </w:p>
    <w:p>
      <w:pPr>
        <w:ind w:right="60" w:firstLine="436"/>
        <w:spacing w:after="0" w:line="286" w:lineRule="auto"/>
        <w:tabs>
          <w:tab w:leader="none" w:pos="7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Shareholder Approval</w:t>
      </w:r>
      <w:r>
        <w:rPr>
          <w:rFonts w:ascii="Times New Roman" w:cs="Times New Roman" w:eastAsia="Times New Roman" w:hAnsi="Times New Roman"/>
          <w:sz w:val="18"/>
          <w:szCs w:val="18"/>
          <w:color w:val="auto"/>
        </w:rPr>
        <w:t>. The Plan will be subject to approval by the shareholders of the Company within twelve (12) months after the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adopted by the Board. Such shareholder approval will be obtained in the manner and to the degree required under Applicable Laws.</w:t>
      </w:r>
    </w:p>
    <w:p>
      <w:pPr>
        <w:spacing w:after="0" w:line="15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 Events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24.1 In the event that the Company is required to restate its audited financial statements due to material noncompliance with any financial reporting requirement under the securities laws, each current or former executive officer Participant shall be required to immediately repay the Company any compensation they received pursuant to Awards hereunder during the three-year period preceding the date upon which the Company is required to prepare the restatement that is in excess of what would have been paid to the executive officer Participant under the restated financial statement, in accordance with Section 10D of the Exchange Act and any rules promulgated thereunder. Any amount required to be repaid hereunder shall be determined by the Administrator in its sole discretion, unless otherwise required by Applicable Laws, and shall be binding on all current and former executive officer Participants.</w:t>
      </w:r>
    </w:p>
    <w:p>
      <w:pPr>
        <w:spacing w:after="0" w:line="189"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24.2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66" w:right="439" w:bottom="1440" w:gutter="0" w:footer="0" w:header="0"/>
        </w:sectPr>
      </w:pPr>
    </w:p>
    <w:bookmarkStart w:id="22" w:name="page23"/>
    <w:bookmarkEnd w:id="22"/>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24.3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Roman"/>
      <w:start w:val="1"/>
    </w:lvl>
  </w:abstractNum>
  <w:abstractNum w:abstractNumId="2">
    <w:nsid w:val="41A7C4C9"/>
    <w:multiLevelType w:val="hybridMultilevel"/>
    <w:lvl w:ilvl="0">
      <w:lvlJc w:val="left"/>
      <w:lvlText w:val="(%1)"/>
      <w:numFmt w:val="lowerRoman"/>
      <w:start w:val="2"/>
    </w:lvl>
  </w:abstractNum>
  <w:abstractNum w:abstractNumId="3">
    <w:nsid w:val="6B68079A"/>
    <w:multiLevelType w:val="hybridMultilevel"/>
    <w:lvl w:ilvl="0">
      <w:lvlJc w:val="left"/>
      <w:lvlText w:val="(%1)"/>
      <w:numFmt w:val="lowerRoman"/>
      <w:start w:val="3"/>
    </w:lvl>
  </w:abstractNum>
  <w:abstractNum w:abstractNumId="4">
    <w:nsid w:val="4E6AFB66"/>
    <w:multiLevelType w:val="hybridMultilevel"/>
    <w:lvl w:ilvl="0">
      <w:lvlJc w:val="left"/>
      <w:lvlText w:val="(%1)"/>
      <w:numFmt w:val="lowerRoman"/>
      <w:start w:val="4"/>
    </w:lvl>
  </w:abstractNum>
  <w:abstractNum w:abstractNumId="5">
    <w:nsid w:val="25E45D32"/>
    <w:multiLevelType w:val="hybridMultilevel"/>
    <w:lvl w:ilvl="0">
      <w:lvlJc w:val="left"/>
      <w:lvlText w:val="%1."/>
      <w:numFmt w:val="decimal"/>
      <w:start w:val="1"/>
    </w:lvl>
    <w:lvl w:ilvl="1">
      <w:lvlJc w:val="left"/>
      <w:lvlText w:val="•"/>
      <w:numFmt w:val="bullet"/>
      <w:start w:val="1"/>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1)"/>
      <w:numFmt w:val="lowerLetter"/>
      <w:start w:val="2"/>
    </w:lvl>
  </w:abstractNum>
  <w:abstractNum w:abstractNumId="8">
    <w:nsid w:val="3F2DBA31"/>
    <w:multiLevelType w:val="hybridMultilevel"/>
    <w:lvl w:ilvl="0">
      <w:lvlJc w:val="left"/>
      <w:lvlText w:val="(%1)"/>
      <w:numFmt w:val="lowerLetter"/>
      <w:start w:val="2"/>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decimal"/>
      <w:start w:val="3"/>
    </w:lvl>
  </w:abstractNum>
  <w:abstractNum w:abstractNumId="11">
    <w:nsid w:val="62BBD95A"/>
    <w:multiLevelType w:val="hybridMultilevel"/>
    <w:lvl w:ilvl="0">
      <w:lvlJc w:val="left"/>
      <w:lvlText w:val="%1."/>
      <w:numFmt w:val="decimal"/>
      <w:start w:val="4"/>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4"/>
    </w:lvl>
  </w:abstractNum>
  <w:abstractNum w:abstractNumId="14">
    <w:nsid w:val="333AB105"/>
    <w:multiLevelType w:val="hybridMultilevel"/>
    <w:lvl w:ilvl="0">
      <w:lvlJc w:val="left"/>
      <w:lvlText w:val="%1."/>
      <w:numFmt w:val="decimal"/>
      <w:start w:val="5"/>
    </w:lvl>
  </w:abstractNum>
  <w:abstractNum w:abstractNumId="15">
    <w:nsid w:val="721DA317"/>
    <w:multiLevelType w:val="hybridMultilevel"/>
    <w:lvl w:ilvl="0">
      <w:lvlJc w:val="left"/>
      <w:lvlText w:val="%1"/>
      <w:numFmt w:val="decimal"/>
      <w:start w:val="1"/>
    </w:lvl>
    <w:lvl w:ilvl="1">
      <w:lvlJc w:val="left"/>
      <w:lvlText w:val="(%2)"/>
      <w:numFmt w:val="lowerLetter"/>
      <w:start w:val="1"/>
    </w:lvl>
  </w:abstractNum>
  <w:abstractNum w:abstractNumId="16">
    <w:nsid w:val="2443A858"/>
    <w:multiLevelType w:val="hybridMultilevel"/>
    <w:lvl w:ilvl="0">
      <w:lvlJc w:val="left"/>
      <w:lvlText w:val="(%1)"/>
      <w:numFmt w:val="decimal"/>
      <w:start w:val="30"/>
    </w:lvl>
    <w:lvl w:ilvl="1">
      <w:lvlJc w:val="left"/>
      <w:lvlText w:val="%2"/>
      <w:numFmt w:val="lowerLetter"/>
      <w:start w:val="1"/>
    </w:lvl>
  </w:abstractNum>
  <w:abstractNum w:abstractNumId="17">
    <w:nsid w:val="2D1D5AE9"/>
    <w:multiLevelType w:val="hybridMultilevel"/>
    <w:lvl w:ilvl="0">
      <w:lvlJc w:val="left"/>
      <w:lvlText w:val="%1."/>
      <w:numFmt w:val="decimal"/>
      <w:start w:val="7"/>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decimal"/>
      <w:start w:val="8"/>
    </w:lvl>
  </w:abstractNum>
  <w:abstractNum w:abstractNumId="20">
    <w:nsid w:val="8EDBDAB"/>
    <w:multiLevelType w:val="hybridMultilevel"/>
    <w:lvl w:ilvl="0">
      <w:lvlJc w:val="left"/>
      <w:lvlText w:val="%1."/>
      <w:numFmt w:val="decimal"/>
      <w:start w:val="9"/>
    </w:lvl>
  </w:abstractNum>
  <w:abstractNum w:abstractNumId="21">
    <w:nsid w:val="79838CB2"/>
    <w:multiLevelType w:val="hybridMultilevel"/>
    <w:lvl w:ilvl="0">
      <w:lvlJc w:val="left"/>
      <w:lvlText w:val="%1."/>
      <w:numFmt w:val="decimal"/>
      <w:start w:val="10"/>
    </w:lvl>
  </w:abstractNum>
  <w:abstractNum w:abstractNumId="22">
    <w:nsid w:val="4353D0CD"/>
    <w:multiLevelType w:val="hybridMultilevel"/>
    <w:lvl w:ilvl="0">
      <w:lvlJc w:val="left"/>
      <w:lvlText w:val="%1."/>
      <w:numFmt w:val="decimal"/>
      <w:start w:val="11"/>
    </w:lvl>
  </w:abstractNum>
  <w:abstractNum w:abstractNumId="23">
    <w:nsid w:val="B03E0C6"/>
    <w:multiLevelType w:val="hybridMultilevel"/>
    <w:lvl w:ilvl="0">
      <w:lvlJc w:val="left"/>
      <w:lvlText w:val="%1."/>
      <w:numFmt w:val="decimal"/>
      <w:start w:val="13"/>
    </w:lvl>
  </w:abstractNum>
  <w:abstractNum w:abstractNumId="24">
    <w:nsid w:val="189A769B"/>
    <w:multiLevelType w:val="hybridMultilevel"/>
    <w:lvl w:ilvl="0">
      <w:lvlJc w:val="left"/>
      <w:lvlText w:val="%1."/>
      <w:numFmt w:val="decimal"/>
      <w:start w:val="16"/>
    </w:lvl>
  </w:abstractNum>
  <w:abstractNum w:abstractNumId="25">
    <w:nsid w:val="54E49EB4"/>
    <w:multiLevelType w:val="hybridMultilevel"/>
    <w:lvl w:ilvl="0">
      <w:lvlJc w:val="left"/>
      <w:lvlText w:val="%1."/>
      <w:numFmt w:val="decimal"/>
      <w:start w:val="17"/>
    </w:lvl>
  </w:abstractNum>
  <w:abstractNum w:abstractNumId="26">
    <w:nsid w:val="71F32454"/>
    <w:multiLevelType w:val="hybridMultilevel"/>
    <w:lvl w:ilvl="0">
      <w:lvlJc w:val="left"/>
      <w:lvlText w:val="(%1)"/>
      <w:numFmt w:val="lowerRoman"/>
      <w:start w:val="3"/>
    </w:lvl>
    <w:lvl w:ilvl="1">
      <w:lvlJc w:val="left"/>
      <w:lvlText w:val="%2."/>
      <w:numFmt w:val="decimal"/>
      <w:start w:val="21"/>
    </w:lvl>
  </w:abstractNum>
  <w:abstractNum w:abstractNumId="27">
    <w:nsid w:val="2CA88611"/>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2026-07-01T16:20:12Z</dcterms:created>
  <dcterms:modified xsi:type="dcterms:W3CDTF">2026-07-01T16:20:12Z</dcterms:modified>
</cp:coreProperties>
</file>