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right="180" w:hanging="572"/>
        <w:spacing w:after="0" w:line="243"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-293370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7"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3919220</wp:posOffset>
            </wp:positionH>
            <wp:positionV relativeFrom="paragraph">
              <wp:posOffset>-7620</wp:posOffset>
            </wp:positionV>
            <wp:extent cx="808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AMBARELLA,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840" w:type="dxa"/>
            <w:vAlign w:val="bottom"/>
          </w:tcPr>
          <w:p>
            <w:pPr>
              <w:jc w:val="center"/>
              <w:ind w:left="1757"/>
              <w:spacing w:after="0"/>
              <w:rPr>
                <w:sz w:val="20"/>
                <w:szCs w:val="20"/>
                <w:color w:val="auto"/>
              </w:rPr>
            </w:pPr>
            <w:r>
              <w:rPr>
                <w:rFonts w:ascii="Arial" w:cs="Arial" w:eastAsia="Arial" w:hAnsi="Arial"/>
                <w:sz w:val="18"/>
                <w:szCs w:val="18"/>
                <w:b w:val="1"/>
                <w:bCs w:val="1"/>
                <w:color w:val="auto"/>
                <w:w w:val="90"/>
              </w:rPr>
              <w:t>Cayman Islands</w:t>
            </w:r>
          </w:p>
        </w:tc>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Arial" w:cs="Arial" w:eastAsia="Arial" w:hAnsi="Arial"/>
                <w:sz w:val="18"/>
                <w:szCs w:val="18"/>
                <w:b w:val="1"/>
                <w:bCs w:val="1"/>
                <w:color w:val="auto"/>
              </w:rPr>
              <w:t>98-0459628</w:t>
            </w:r>
          </w:p>
        </w:tc>
      </w:tr>
      <w:tr>
        <w:trPr>
          <w:trHeight w:val="148"/>
        </w:trPr>
        <w:tc>
          <w:tcPr>
            <w:tcW w:w="3840" w:type="dxa"/>
            <w:vAlign w:val="bottom"/>
          </w:tcPr>
          <w:p>
            <w:pPr>
              <w:jc w:val="center"/>
              <w:ind w:left="17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left="1757"/>
              <w:spacing w:after="0"/>
              <w:rPr>
                <w:sz w:val="20"/>
                <w:szCs w:val="20"/>
                <w:color w:val="auto"/>
              </w:rPr>
            </w:pPr>
            <w:r>
              <w:rPr>
                <w:rFonts w:ascii="Arial" w:cs="Arial" w:eastAsia="Arial" w:hAnsi="Arial"/>
                <w:sz w:val="14"/>
                <w:szCs w:val="14"/>
                <w:b w:val="1"/>
                <w:bCs w:val="1"/>
                <w:color w:val="auto"/>
                <w:w w:val="94"/>
              </w:rPr>
              <w:t>incorporation or organization)</w:t>
            </w:r>
          </w:p>
        </w:tc>
        <w:tc>
          <w:tcPr>
            <w:tcW w:w="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840" w:type="dxa"/>
            <w:vAlign w:val="bottom"/>
          </w:tcPr>
          <w:p>
            <w:pPr>
              <w:jc w:val="center"/>
              <w:ind w:left="1777"/>
              <w:spacing w:after="0"/>
              <w:rPr>
                <w:sz w:val="20"/>
                <w:szCs w:val="20"/>
                <w:color w:val="auto"/>
              </w:rPr>
            </w:pPr>
            <w:r>
              <w:rPr>
                <w:rFonts w:ascii="Arial" w:cs="Arial" w:eastAsia="Arial" w:hAnsi="Arial"/>
                <w:sz w:val="18"/>
                <w:szCs w:val="18"/>
                <w:b w:val="1"/>
                <w:bCs w:val="1"/>
                <w:color w:val="auto"/>
                <w:w w:val="89"/>
              </w:rPr>
              <w:t>3101 Jay Street</w:t>
            </w: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2"/>
        </w:trPr>
        <w:tc>
          <w:tcPr>
            <w:tcW w:w="3840" w:type="dxa"/>
            <w:vAlign w:val="bottom"/>
          </w:tcPr>
          <w:p>
            <w:pPr>
              <w:jc w:val="center"/>
              <w:ind w:left="1757"/>
              <w:spacing w:after="0"/>
              <w:rPr>
                <w:sz w:val="20"/>
                <w:szCs w:val="20"/>
                <w:color w:val="auto"/>
              </w:rPr>
            </w:pPr>
            <w:r>
              <w:rPr>
                <w:rFonts w:ascii="Arial" w:cs="Arial" w:eastAsia="Arial" w:hAnsi="Arial"/>
                <w:sz w:val="18"/>
                <w:szCs w:val="18"/>
                <w:b w:val="1"/>
                <w:bCs w:val="1"/>
                <w:color w:val="auto"/>
                <w:w w:val="93"/>
              </w:rPr>
              <w:t>Santa Clara, California</w:t>
            </w:r>
          </w:p>
        </w:tc>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Arial" w:cs="Arial" w:eastAsia="Arial" w:hAnsi="Arial"/>
                <w:sz w:val="18"/>
                <w:szCs w:val="18"/>
                <w:b w:val="1"/>
                <w:bCs w:val="1"/>
                <w:color w:val="auto"/>
              </w:rPr>
              <w:t>95054</w:t>
            </w:r>
          </w:p>
        </w:tc>
      </w:tr>
      <w:tr>
        <w:trPr>
          <w:trHeight w:val="186"/>
        </w:trPr>
        <w:tc>
          <w:tcPr>
            <w:tcW w:w="7540" w:type="dxa"/>
            <w:vAlign w:val="bottom"/>
            <w:gridSpan w:val="4"/>
          </w:tcPr>
          <w:p>
            <w:pPr>
              <w:jc w:val="center"/>
              <w:ind w:right="1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00" w:type="dxa"/>
            <w:vAlign w:val="bottom"/>
          </w:tcPr>
          <w:p>
            <w:pPr>
              <w:jc w:val="center"/>
              <w:ind w:right="1638"/>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3840" w:type="dxa"/>
            <w:vAlign w:val="bottom"/>
          </w:tcPr>
          <w:p>
            <w:pPr>
              <w:spacing w:after="0"/>
              <w:rPr>
                <w:sz w:val="24"/>
                <w:szCs w:val="24"/>
                <w:color w:val="auto"/>
              </w:rPr>
            </w:pPr>
          </w:p>
        </w:tc>
        <w:tc>
          <w:tcPr>
            <w:tcW w:w="29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86"/>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00" w:type="dxa"/>
            <w:vAlign w:val="bottom"/>
          </w:tcPr>
          <w:p>
            <w:pPr>
              <w:spacing w:after="0"/>
              <w:rPr>
                <w:sz w:val="16"/>
                <w:szCs w:val="16"/>
                <w:color w:val="auto"/>
              </w:rPr>
            </w:pPr>
          </w:p>
        </w:tc>
      </w:tr>
      <w:tr>
        <w:trPr>
          <w:trHeight w:val="120"/>
        </w:trPr>
        <w:tc>
          <w:tcPr>
            <w:tcW w:w="38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91"/>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8"/>
                <w:szCs w:val="18"/>
                <w:color w:val="auto"/>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4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7" w:lineRule="exact"/>
        <w:rPr>
          <w:sz w:val="24"/>
          <w:szCs w:val="24"/>
          <w:color w:val="auto"/>
        </w:rPr>
      </w:pPr>
    </w:p>
    <w:p>
      <w:pPr>
        <w:ind w:right="16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80"/>
        <w:spacing w:after="0" w:line="26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ordinary shares of the Registrant outstanding as of June 1, 2020 was 34,346,866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0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120" w:type="dxa"/>
            <w:vAlign w:val="bottom"/>
          </w:tcPr>
          <w:p>
            <w:pPr>
              <w:spacing w:after="0"/>
              <w:rPr>
                <w:sz w:val="14"/>
                <w:szCs w:val="14"/>
                <w:color w:val="auto"/>
              </w:rPr>
            </w:pPr>
          </w:p>
        </w:tc>
      </w:tr>
      <w:tr>
        <w:trPr>
          <w:trHeight w:val="453"/>
        </w:trPr>
        <w:tc>
          <w:tcPr>
            <w:tcW w:w="108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1000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at April 30, 2020 and January 31, 2020</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Operations for the three months ended April 30, 2020 and 2019</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Unaudited Condensed Consolidated Statements of Comprehensive Loss for the three months ended April 30, 2020 and 2019</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Unaudited Condensed Consolidated Statements of Shareholders’ Equity for the three months ended April 30, 2020 and 2019</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Cash Flows for the three months ended April 30, 2020 and 2019</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10000" w:type="dxa"/>
            <w:vAlign w:val="bottom"/>
          </w:tcPr>
          <w:p>
            <w:pPr>
              <w:ind w:left="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10000" w:type="dxa"/>
            <w:vAlign w:val="bottom"/>
          </w:tcPr>
          <w:p>
            <w:pPr>
              <w:ind w:left="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10000" w:type="dxa"/>
            <w:vAlign w:val="bottom"/>
          </w:tcPr>
          <w:p>
            <w:pPr>
              <w:ind w:left="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459"/>
        </w:trPr>
        <w:tc>
          <w:tcPr>
            <w:tcW w:w="10820" w:type="dxa"/>
            <w:vAlign w:val="bottom"/>
            <w:gridSpan w:val="2"/>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PART II. OTHER INFORMATION</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1000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10000" w:type="dxa"/>
            <w:vAlign w:val="bottom"/>
          </w:tcPr>
          <w:p>
            <w:pPr>
              <w:ind w:left="6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10000" w:type="dxa"/>
            <w:vAlign w:val="bottom"/>
          </w:tcPr>
          <w:p>
            <w:pPr>
              <w:ind w:left="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Unregistered Sales of Equity Securities and Use of Proceeds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37"/>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10000" w:type="dxa"/>
            <w:vAlign w:val="bottom"/>
          </w:tcPr>
          <w:p>
            <w:pPr>
              <w:ind w:left="6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38"/>
        </w:trPr>
        <w:tc>
          <w:tcPr>
            <w:tcW w:w="820" w:type="dxa"/>
            <w:vAlign w:val="bottom"/>
          </w:tcPr>
          <w:p>
            <w:pPr>
              <w:spacing w:after="0"/>
              <w:rPr>
                <w:rFonts w:ascii="Arial" w:cs="Arial" w:eastAsia="Arial" w:hAnsi="Arial"/>
                <w:sz w:val="18"/>
                <w:szCs w:val="18"/>
                <w:u w:val="single" w:color="auto"/>
                <w:color w:val="0000EE"/>
                <w:w w:val="92"/>
              </w:rPr>
            </w:pPr>
            <w:hyperlink w:anchor="page59">
              <w:r>
                <w:rPr>
                  <w:rFonts w:ascii="Arial" w:cs="Arial" w:eastAsia="Arial" w:hAnsi="Arial"/>
                  <w:sz w:val="18"/>
                  <w:szCs w:val="18"/>
                  <w:u w:val="single" w:color="auto"/>
                  <w:color w:val="0000EE"/>
                  <w:w w:val="92"/>
                </w:rPr>
                <w:t>Signatures</w:t>
              </w:r>
            </w:hyperlink>
          </w:p>
        </w:tc>
        <w:tc>
          <w:tcPr>
            <w:tcW w:w="100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r>
      <w:tr>
        <w:trPr>
          <w:trHeight w:val="215"/>
        </w:trPr>
        <w:tc>
          <w:tcPr>
            <w:tcW w:w="66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236,585</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231,403</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Marketable debt securities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174,742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173,345</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18,487</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22,971</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451,190</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5,614</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non-current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17,826</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9,935</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12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531,733</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527,276</w:t>
            </w:r>
          </w:p>
        </w:tc>
        <w:tc>
          <w:tcPr>
            <w:tcW w:w="120" w:type="dxa"/>
            <w:vAlign w:val="bottom"/>
            <w:tcBorders>
              <w:bottom w:val="single" w:sz="8" w:color="CFF0FC"/>
            </w:tcBorders>
          </w:tcPr>
          <w:p>
            <w:pPr>
              <w:spacing w:after="0"/>
              <w:rPr>
                <w:sz w:val="22"/>
                <w:szCs w:val="22"/>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14,910</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27,262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34,970</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12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51,503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53,453</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7,975</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17,776</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79,204</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Preference shares, $0.00045 par value per share, 20,000,000 shares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Arial" w:cs="Arial" w:eastAsia="Arial" w:hAnsi="Arial"/>
                <w:sz w:val="18"/>
                <w:szCs w:val="18"/>
                <w:color w:val="auto"/>
              </w:rPr>
              <w:t>authorized and no shares issued and outstanding at April 30, 2020 and</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January 31, 2020, respectively</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$0.00045 par value per share, 200,000,000 shares</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at April 30, 2020 and January 31, 2020, respectively;</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34,342,097 shares issued and outstanding at April 30, 2020; 33,805,609</w:t>
            </w: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January 31, 2020</w:t>
            </w: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284,557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261,220</w:t>
            </w:r>
          </w:p>
        </w:tc>
        <w:tc>
          <w:tcPr>
            <w:tcW w:w="12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0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FF0FC"/>
          </w:tcPr>
          <w:p>
            <w:pPr>
              <w:spacing w:after="0"/>
              <w:rPr>
                <w:sz w:val="19"/>
                <w:szCs w:val="19"/>
                <w:color w:val="auto"/>
              </w:rPr>
            </w:pPr>
          </w:p>
        </w:tc>
      </w:tr>
      <w:tr>
        <w:trPr>
          <w:trHeight w:val="230"/>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10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170,606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186,069</w:t>
            </w:r>
          </w:p>
        </w:tc>
        <w:tc>
          <w:tcPr>
            <w:tcW w:w="12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0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455,583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448,072</w:t>
            </w:r>
          </w:p>
        </w:tc>
        <w:tc>
          <w:tcPr>
            <w:tcW w:w="120" w:type="dxa"/>
            <w:vAlign w:val="bottom"/>
            <w:shd w:val="clear" w:color="auto" w:fill="CFF0FC"/>
          </w:tcPr>
          <w:p>
            <w:pPr>
              <w:spacing w:after="0"/>
              <w:rPr>
                <w:sz w:val="19"/>
                <w:szCs w:val="19"/>
                <w:color w:val="auto"/>
              </w:rPr>
            </w:pPr>
          </w:p>
        </w:tc>
      </w:tr>
      <w:tr>
        <w:trPr>
          <w:trHeight w:val="223"/>
        </w:trPr>
        <w:tc>
          <w:tcPr>
            <w:tcW w:w="664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08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531,733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527,276</w:t>
            </w:r>
          </w:p>
        </w:tc>
        <w:tc>
          <w:tcPr>
            <w:tcW w:w="1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55"/>
        </w:trPr>
        <w:tc>
          <w:tcPr>
            <w:tcW w:w="77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22,625</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19,335</w:t>
            </w: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(15,615)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(18,241)</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(16,045)</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7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(15,463)</w:t>
            </w: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ordinary shareholders:</w:t>
            </w: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780" w:type="dxa"/>
            <w:vAlign w:val="bottom"/>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(0.45)</w:t>
            </w:r>
          </w:p>
        </w:tc>
        <w:tc>
          <w:tcPr>
            <w:tcW w:w="4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0"/>
        </w:trPr>
        <w:tc>
          <w:tcPr>
            <w:tcW w:w="7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Weighted-average shares used to compute net loss per share attributable to ordinary</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34,080,330</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32,492,044</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34,080,330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32,492,044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55"/>
        </w:trPr>
        <w:tc>
          <w:tcPr>
            <w:tcW w:w="76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(15,463)</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(17,311)</w:t>
            </w:r>
          </w:p>
        </w:tc>
        <w:tc>
          <w:tcPr>
            <w:tcW w:w="300" w:type="dxa"/>
            <w:vAlign w:val="bottom"/>
            <w:shd w:val="clear" w:color="auto" w:fill="CFF0FC"/>
          </w:tcPr>
          <w:p>
            <w:pPr>
              <w:spacing w:after="0"/>
              <w:rPr>
                <w:sz w:val="19"/>
                <w:szCs w:val="19"/>
                <w:color w:val="auto"/>
              </w:rPr>
            </w:pP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investments</w:t>
            </w: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(363)</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6"/>
        </w:trPr>
        <w:tc>
          <w:tcPr>
            <w:tcW w:w="76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20"/>
                <w:szCs w:val="20"/>
                <w:color w:val="auto"/>
              </w:rPr>
            </w:pPr>
          </w:p>
        </w:tc>
      </w:tr>
      <w:tr>
        <w:trPr>
          <w:trHeight w:val="223"/>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(15,826)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(17,057)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800" w:type="dxa"/>
            <w:vAlign w:val="bottom"/>
            <w:gridSpan w:val="4"/>
          </w:tcPr>
          <w:p>
            <w:pPr>
              <w:jc w:val="center"/>
              <w:ind w:left="98"/>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800" w:type="dxa"/>
            <w:vAlign w:val="bottom"/>
            <w:tcBorders>
              <w:bottom w:val="single" w:sz="8" w:color="auto"/>
            </w:tcBorders>
            <w:gridSpan w:val="4"/>
          </w:tcPr>
          <w:p>
            <w:pPr>
              <w:jc w:val="center"/>
              <w:ind w:left="98"/>
              <w:spacing w:after="0"/>
              <w:rPr>
                <w:sz w:val="20"/>
                <w:szCs w:val="20"/>
                <w:color w:val="auto"/>
              </w:rPr>
            </w:pPr>
            <w:r>
              <w:rPr>
                <w:rFonts w:ascii="Arial" w:cs="Arial" w:eastAsia="Arial" w:hAnsi="Arial"/>
                <w:sz w:val="14"/>
                <w:szCs w:val="14"/>
                <w:b w:val="1"/>
                <w:bCs w:val="1"/>
                <w:color w:val="auto"/>
                <w:w w:val="93"/>
              </w:rPr>
              <w:t>Ordinary Shares</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Retained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Balance--January 31,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33,805,609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261,220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186,069</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448,072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7"/>
                <w:szCs w:val="17"/>
                <w:color w:val="auto"/>
                <w:w w:val="99"/>
              </w:rPr>
              <w:t>Issuance of shares through employee equity incentive plan</w:t>
            </w:r>
          </w:p>
        </w:tc>
        <w:tc>
          <w:tcPr>
            <w:tcW w:w="900" w:type="dxa"/>
            <w:vAlign w:val="bottom"/>
          </w:tcPr>
          <w:p>
            <w:pPr>
              <w:jc w:val="right"/>
              <w:spacing w:after="0"/>
              <w:rPr>
                <w:sz w:val="20"/>
                <w:szCs w:val="20"/>
                <w:color w:val="auto"/>
              </w:rPr>
            </w:pPr>
            <w:r>
              <w:rPr>
                <w:rFonts w:ascii="Arial" w:cs="Arial" w:eastAsia="Arial" w:hAnsi="Arial"/>
                <w:sz w:val="17"/>
                <w:szCs w:val="17"/>
                <w:color w:val="auto"/>
              </w:rPr>
              <w:t>478,643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9"/>
              </w:rPr>
              <w:t>Issuance of shares through employee stock purchase plan</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83,564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(25,719)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98"/>
        </w:trPr>
        <w:tc>
          <w:tcPr>
            <w:tcW w:w="466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6"/>
              </w:rPr>
              <w:t>Stock-based compensation expense related to stock awards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granted to employees and consultants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7"/>
                <w:szCs w:val="17"/>
                <w:color w:val="auto"/>
              </w:rPr>
              <w:t>Net unrealized losses on investments - net of taxes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(363)</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(15,463)</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(15,463)</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7"/>
                <w:szCs w:val="17"/>
                <w:b w:val="1"/>
                <w:bCs w:val="1"/>
                <w:color w:val="auto"/>
              </w:rPr>
              <w:t>Balance--April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34,342,097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284,557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170,606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455,583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800" w:type="dxa"/>
            <w:vAlign w:val="bottom"/>
            <w:gridSpan w:val="4"/>
          </w:tcPr>
          <w:p>
            <w:pPr>
              <w:jc w:val="center"/>
              <w:ind w:left="98"/>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800" w:type="dxa"/>
            <w:vAlign w:val="bottom"/>
            <w:tcBorders>
              <w:bottom w:val="single" w:sz="8" w:color="auto"/>
            </w:tcBorders>
            <w:gridSpan w:val="4"/>
          </w:tcPr>
          <w:p>
            <w:pPr>
              <w:jc w:val="center"/>
              <w:ind w:left="98"/>
              <w:spacing w:after="0"/>
              <w:rPr>
                <w:sz w:val="20"/>
                <w:szCs w:val="20"/>
                <w:color w:val="auto"/>
              </w:rPr>
            </w:pPr>
            <w:r>
              <w:rPr>
                <w:rFonts w:ascii="Arial" w:cs="Arial" w:eastAsia="Arial" w:hAnsi="Arial"/>
                <w:sz w:val="14"/>
                <w:szCs w:val="14"/>
                <w:b w:val="1"/>
                <w:bCs w:val="1"/>
                <w:color w:val="auto"/>
                <w:w w:val="93"/>
              </w:rPr>
              <w:t>Ordinary Shares</w:t>
            </w: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Retained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vMerge w:val="restart"/>
          </w:tcPr>
          <w:p>
            <w:pPr>
              <w:spacing w:after="0"/>
              <w:rPr>
                <w:sz w:val="20"/>
                <w:szCs w:val="20"/>
                <w:color w:val="auto"/>
              </w:rPr>
            </w:pPr>
            <w:r>
              <w:rPr>
                <w:rFonts w:ascii="Arial" w:cs="Arial" w:eastAsia="Arial" w:hAnsi="Arial"/>
                <w:sz w:val="17"/>
                <w:szCs w:val="17"/>
                <w:b w:val="1"/>
                <w:bCs w:val="1"/>
                <w:color w:val="auto"/>
              </w:rPr>
              <w:t>Balance--January 31, 2019</w:t>
            </w: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660" w:type="dxa"/>
            <w:vAlign w:val="bottom"/>
            <w:vMerge w:val="continue"/>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32,303,540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188,516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230,861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9"/>
              </w:rPr>
              <w:t>Issuance of shares through employee equity incentive plan</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335,301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7"/>
                <w:szCs w:val="17"/>
                <w:color w:val="auto"/>
                <w:w w:val="99"/>
              </w:rPr>
              <w:t>Issuance of shares through employee stock purchase plan</w:t>
            </w:r>
          </w:p>
        </w:tc>
        <w:tc>
          <w:tcPr>
            <w:tcW w:w="900" w:type="dxa"/>
            <w:vAlign w:val="bottom"/>
          </w:tcPr>
          <w:p>
            <w:pPr>
              <w:jc w:val="right"/>
              <w:spacing w:after="0"/>
              <w:rPr>
                <w:sz w:val="20"/>
                <w:szCs w:val="20"/>
                <w:color w:val="auto"/>
              </w:rPr>
            </w:pPr>
            <w:r>
              <w:rPr>
                <w:rFonts w:ascii="Arial" w:cs="Arial" w:eastAsia="Arial" w:hAnsi="Arial"/>
                <w:sz w:val="17"/>
                <w:szCs w:val="17"/>
                <w:color w:val="auto"/>
              </w:rPr>
              <w:t>99,759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shd w:val="clear" w:color="auto" w:fill="CFF0FC"/>
          </w:tcPr>
          <w:p>
            <w:pPr>
              <w:ind w:left="260"/>
              <w:spacing w:after="0"/>
              <w:rPr>
                <w:sz w:val="20"/>
                <w:szCs w:val="20"/>
                <w:color w:val="auto"/>
              </w:rPr>
            </w:pPr>
            <w:r>
              <w:rPr>
                <w:rFonts w:ascii="Arial" w:cs="Arial" w:eastAsia="Arial" w:hAnsi="Arial"/>
                <w:sz w:val="17"/>
                <w:szCs w:val="17"/>
                <w:color w:val="auto"/>
                <w:w w:val="96"/>
              </w:rPr>
              <w:t>Stock-based compensation expense related to stock awards</w:t>
            </w: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granted to employees and consultants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Arial" w:cs="Arial" w:eastAsia="Arial" w:hAnsi="Arial"/>
                <w:sz w:val="17"/>
                <w:szCs w:val="17"/>
                <w:color w:val="auto"/>
              </w:rPr>
              <w:t>Net unrealized gains on investments - net of taxes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loss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(17,311)</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(17,311)</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7"/>
                <w:szCs w:val="17"/>
                <w:b w:val="1"/>
                <w:bCs w:val="1"/>
                <w:color w:val="auto"/>
              </w:rPr>
              <w:t>Balance--April 30,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32,738,600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208,522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213,550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422,438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4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7"/>
                <w:szCs w:val="17"/>
                <w:color w:val="auto"/>
              </w:rPr>
              <w:t>Net loss</w:t>
            </w:r>
          </w:p>
        </w:tc>
        <w:tc>
          <w:tcPr>
            <w:tcW w:w="2040" w:type="dxa"/>
            <w:vAlign w:val="bottom"/>
            <w:gridSpan w:val="2"/>
          </w:tcPr>
          <w:p>
            <w:pPr>
              <w:jc w:val="right"/>
              <w:ind w:right="767"/>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(15,463)</w:t>
            </w:r>
          </w:p>
        </w:tc>
        <w:tc>
          <w:tcPr>
            <w:tcW w:w="940" w:type="dxa"/>
            <w:vAlign w:val="bottom"/>
            <w:gridSpan w:val="2"/>
          </w:tcPr>
          <w:p>
            <w:pPr>
              <w:jc w:val="right"/>
              <w:ind w:right="81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(17,311)</w:t>
            </w: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2,872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2,708</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Amortization/accretion of marketable debt securities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(378)</w:t>
            </w:r>
          </w:p>
        </w:tc>
      </w:tr>
      <w:tr>
        <w:trPr>
          <w:trHeight w:val="216"/>
        </w:trPr>
        <w:tc>
          <w:tcPr>
            <w:tcW w:w="666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16,036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16,460</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income taxes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Arial" w:cs="Arial" w:eastAsia="Arial" w:hAnsi="Arial"/>
                <w:sz w:val="17"/>
                <w:szCs w:val="17"/>
                <w:color w:val="auto"/>
              </w:rPr>
              <w:t>Other non-cash items, net</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(2,197)</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(245)</w:t>
            </w:r>
          </w:p>
        </w:tc>
      </w:tr>
      <w:tr>
        <w:trPr>
          <w:trHeight w:val="216"/>
        </w:trPr>
        <w:tc>
          <w:tcPr>
            <w:tcW w:w="66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Inventories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1,007</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assets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5,679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3,254</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liabilities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(1,343)</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(454)</w:t>
            </w:r>
          </w:p>
        </w:tc>
      </w:tr>
      <w:tr>
        <w:trPr>
          <w:trHeight w:val="216"/>
        </w:trPr>
        <w:tc>
          <w:tcPr>
            <w:tcW w:w="666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(311)</w:t>
            </w:r>
          </w:p>
        </w:tc>
      </w:tr>
      <w:tr>
        <w:trPr>
          <w:trHeight w:val="216"/>
        </w:trPr>
        <w:tc>
          <w:tcPr>
            <w:tcW w:w="66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FF0FC"/>
          </w:tcPr>
          <w:p>
            <w:pPr>
              <w:spacing w:after="0"/>
              <w:rPr>
                <w:sz w:val="18"/>
                <w:szCs w:val="18"/>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7"/>
                <w:szCs w:val="17"/>
                <w:color w:val="auto"/>
              </w:rPr>
              <w:t>Lease Liabilities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(689)</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(727)</w:t>
            </w:r>
          </w:p>
        </w:tc>
      </w:tr>
      <w:tr>
        <w:trPr>
          <w:trHeight w:val="216"/>
        </w:trPr>
        <w:tc>
          <w:tcPr>
            <w:tcW w:w="66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11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453</w:t>
            </w:r>
          </w:p>
        </w:tc>
        <w:tc>
          <w:tcPr>
            <w:tcW w:w="120" w:type="dxa"/>
            <w:vAlign w:val="bottom"/>
            <w:shd w:val="clear" w:color="auto" w:fill="CFF0FC"/>
          </w:tcPr>
          <w:p>
            <w:pPr>
              <w:spacing w:after="0"/>
              <w:rPr>
                <w:sz w:val="18"/>
                <w:szCs w:val="18"/>
                <w:color w:val="auto"/>
              </w:rPr>
            </w:pPr>
          </w:p>
        </w:tc>
      </w:tr>
      <w:tr>
        <w:trPr>
          <w:trHeight w:val="209"/>
        </w:trPr>
        <w:tc>
          <w:tcPr>
            <w:tcW w:w="666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11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7,639</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5,332</w:t>
            </w:r>
          </w:p>
        </w:tc>
        <w:tc>
          <w:tcPr>
            <w:tcW w:w="120" w:type="dxa"/>
            <w:vAlign w:val="bottom"/>
            <w:tcBorders>
              <w:bottom w:val="single" w:sz="8" w:color="CFF0FC"/>
            </w:tcBorders>
          </w:tcPr>
          <w:p>
            <w:pPr>
              <w:spacing w:after="0"/>
              <w:rPr>
                <w:sz w:val="18"/>
                <w:szCs w:val="18"/>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7"/>
                <w:szCs w:val="17"/>
                <w:color w:val="auto"/>
              </w:rPr>
              <w:t>Purchase of investments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(49,077)</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(35,583)</w:t>
            </w: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13,601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10,023</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33,740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29,195</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(428)</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(513)</w:t>
            </w:r>
          </w:p>
        </w:tc>
      </w:tr>
      <w:tr>
        <w:trPr>
          <w:trHeight w:val="210"/>
        </w:trPr>
        <w:tc>
          <w:tcPr>
            <w:tcW w:w="666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(used in) investing activities</w:t>
            </w:r>
          </w:p>
        </w:tc>
        <w:tc>
          <w:tcPr>
            <w:tcW w:w="112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(2,164)</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3,122</w:t>
            </w:r>
          </w:p>
        </w:tc>
        <w:tc>
          <w:tcPr>
            <w:tcW w:w="120" w:type="dxa"/>
            <w:vAlign w:val="bottom"/>
            <w:tcBorders>
              <w:bottom w:val="single" w:sz="8" w:color="CFF0FC"/>
            </w:tcBorders>
          </w:tcPr>
          <w:p>
            <w:pPr>
              <w:spacing w:after="0"/>
              <w:rPr>
                <w:sz w:val="18"/>
                <w:szCs w:val="18"/>
                <w:color w:val="auto"/>
              </w:rPr>
            </w:pPr>
          </w:p>
        </w:tc>
      </w:tr>
      <w:tr>
        <w:trPr>
          <w:trHeight w:val="209"/>
        </w:trPr>
        <w:tc>
          <w:tcPr>
            <w:tcW w:w="6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1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2,938</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7"/>
                <w:szCs w:val="17"/>
                <w:color w:val="auto"/>
              </w:rPr>
              <w:t>Payment for intangible asset</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(1,205)</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(995)</w:t>
            </w:r>
          </w:p>
        </w:tc>
      </w:tr>
      <w:tr>
        <w:trPr>
          <w:trHeight w:val="210"/>
        </w:trPr>
        <w:tc>
          <w:tcPr>
            <w:tcW w:w="66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(293)</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1,943</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Arial" w:cs="Arial" w:eastAsia="Arial" w:hAnsi="Arial"/>
                <w:sz w:val="17"/>
                <w:szCs w:val="17"/>
                <w:color w:val="auto"/>
              </w:rPr>
              <w:t>Net increase in cash, cash equivalents and restricted cash</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5,182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10,397</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231,412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194,058</w:t>
            </w:r>
          </w:p>
        </w:tc>
        <w:tc>
          <w:tcPr>
            <w:tcW w:w="120" w:type="dxa"/>
            <w:vAlign w:val="bottom"/>
            <w:shd w:val="clear" w:color="auto" w:fill="CFF0FC"/>
          </w:tcPr>
          <w:p>
            <w:pPr>
              <w:spacing w:after="0"/>
              <w:rPr>
                <w:sz w:val="18"/>
                <w:szCs w:val="18"/>
                <w:color w:val="auto"/>
              </w:rPr>
            </w:pPr>
          </w:p>
        </w:tc>
      </w:tr>
      <w:tr>
        <w:trPr>
          <w:trHeight w:val="250"/>
        </w:trPr>
        <w:tc>
          <w:tcPr>
            <w:tcW w:w="6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112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236,594</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204,455</w:t>
            </w:r>
          </w:p>
        </w:tc>
        <w:tc>
          <w:tcPr>
            <w:tcW w:w="120" w:type="dxa"/>
            <w:vAlign w:val="bottom"/>
            <w:tcBorders>
              <w:bottom w:val="single" w:sz="8" w:color="CFF0FC"/>
            </w:tcBorders>
          </w:tcPr>
          <w:p>
            <w:pPr>
              <w:spacing w:after="0"/>
              <w:rPr>
                <w:sz w:val="21"/>
                <w:szCs w:val="21"/>
                <w:color w:val="auto"/>
              </w:rPr>
            </w:pPr>
          </w:p>
        </w:tc>
      </w:tr>
      <w:tr>
        <w:trPr>
          <w:trHeight w:val="196"/>
        </w:trPr>
        <w:tc>
          <w:tcPr>
            <w:tcW w:w="666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66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2040" w:type="dxa"/>
            <w:vAlign w:val="bottom"/>
            <w:gridSpan w:val="2"/>
          </w:tcPr>
          <w:p>
            <w:pPr>
              <w:jc w:val="right"/>
              <w:ind w:right="76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370</w:t>
            </w:r>
          </w:p>
        </w:tc>
        <w:tc>
          <w:tcPr>
            <w:tcW w:w="280" w:type="dxa"/>
            <w:vAlign w:val="bottom"/>
          </w:tcPr>
          <w:p>
            <w:pPr>
              <w:spacing w:after="0"/>
              <w:rPr>
                <w:sz w:val="22"/>
                <w:szCs w:val="22"/>
                <w:color w:val="auto"/>
              </w:rPr>
            </w:pPr>
          </w:p>
        </w:tc>
        <w:tc>
          <w:tcPr>
            <w:tcW w:w="940" w:type="dxa"/>
            <w:vAlign w:val="bottom"/>
            <w:gridSpan w:val="2"/>
          </w:tcPr>
          <w:p>
            <w:pPr>
              <w:jc w:val="right"/>
              <w:ind w:right="81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797</w:t>
            </w:r>
          </w:p>
        </w:tc>
        <w:tc>
          <w:tcPr>
            <w:tcW w:w="120" w:type="dxa"/>
            <w:vAlign w:val="bottom"/>
          </w:tcPr>
          <w:p>
            <w:pPr>
              <w:spacing w:after="0"/>
              <w:rPr>
                <w:sz w:val="22"/>
                <w:szCs w:val="22"/>
                <w:color w:val="auto"/>
              </w:rPr>
            </w:pPr>
          </w:p>
        </w:tc>
      </w:tr>
      <w:tr>
        <w:trPr>
          <w:trHeight w:val="197"/>
        </w:trPr>
        <w:tc>
          <w:tcPr>
            <w:tcW w:w="666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1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7"/>
                <w:szCs w:val="17"/>
                <w:color w:val="auto"/>
              </w:rPr>
              <w:t>Unpaid liabilities related to intangible and fixed assets additions</w:t>
            </w:r>
          </w:p>
        </w:tc>
        <w:tc>
          <w:tcPr>
            <w:tcW w:w="2040" w:type="dxa"/>
            <w:vAlign w:val="bottom"/>
            <w:gridSpan w:val="2"/>
          </w:tcPr>
          <w:p>
            <w:pPr>
              <w:jc w:val="right"/>
              <w:ind w:right="76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67</w:t>
            </w:r>
          </w:p>
        </w:tc>
        <w:tc>
          <w:tcPr>
            <w:tcW w:w="280" w:type="dxa"/>
            <w:vAlign w:val="bottom"/>
          </w:tcPr>
          <w:p>
            <w:pPr>
              <w:spacing w:after="0"/>
              <w:rPr>
                <w:sz w:val="18"/>
                <w:szCs w:val="18"/>
                <w:color w:val="auto"/>
              </w:rPr>
            </w:pPr>
          </w:p>
        </w:tc>
        <w:tc>
          <w:tcPr>
            <w:tcW w:w="940" w:type="dxa"/>
            <w:vAlign w:val="bottom"/>
            <w:gridSpan w:val="2"/>
          </w:tcPr>
          <w:p>
            <w:pPr>
              <w:jc w:val="right"/>
              <w:ind w:right="81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20" w:right="6260" w:hanging="512"/>
        <w:spacing w:after="0" w:line="378" w:lineRule="auto"/>
        <w:tabs>
          <w:tab w:leader="none" w:pos="19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ind w:right="20" w:firstLine="510"/>
        <w:spacing w:after="0" w:line="270" w:lineRule="auto"/>
        <w:rPr>
          <w:sz w:val="20"/>
          <w:szCs w:val="20"/>
          <w:color w:val="auto"/>
        </w:rPr>
      </w:pPr>
      <w:r>
        <w:rPr>
          <w:rFonts w:ascii="Arial" w:cs="Arial" w:eastAsia="Arial" w:hAnsi="Arial"/>
          <w:sz w:val="17"/>
          <w:szCs w:val="17"/>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integrated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sells its solutions to leading original design manufacturers, or ODMs, and original equipment manufacturers, or OEMs, globally.</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2020 fiscal year filed with the SEC on March 27, 2020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340" w:firstLine="510"/>
        <w:spacing w:after="0" w:line="308"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an ongoing basis, management evaluates its estimates and assumptions, including those related to (i) the collectability of accounts receivable;</w:t>
      </w:r>
    </w:p>
    <w:p>
      <w:pPr>
        <w:spacing w:after="0" w:line="46" w:lineRule="exact"/>
        <w:rPr>
          <w:sz w:val="20"/>
          <w:szCs w:val="20"/>
          <w:color w:val="auto"/>
        </w:rPr>
      </w:pPr>
    </w:p>
    <w:p>
      <w:pPr>
        <w:ind w:firstLine="8"/>
        <w:spacing w:after="0" w:line="281"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write down of excess and obsolete inventories; (iii) intangible assets and goodwill; (iv) the estimated useful lives of long-lived assets; (v) impairment of long-lived assets and financial instruments; (vi) warranty obligations; (vii) the valuation of stock-based compensation awards and financial instruments;</w:t>
      </w:r>
    </w:p>
    <w:p>
      <w:pPr>
        <w:spacing w:after="0" w:line="1" w:lineRule="exact"/>
        <w:rPr>
          <w:rFonts w:ascii="Arial" w:cs="Arial" w:eastAsia="Arial" w:hAnsi="Arial"/>
          <w:sz w:val="16"/>
          <w:szCs w:val="16"/>
          <w:color w:val="auto"/>
        </w:rPr>
      </w:pPr>
    </w:p>
    <w:p>
      <w:pPr>
        <w:ind w:right="80" w:firstLine="8"/>
        <w:spacing w:after="0" w:line="270"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probability of performance objectives achievement; (ix) the realization of tax assets and estimates of tax liabilities, including reserves for uncertain tax positions; and (x) the recognition and disclosure of contingent liabilities.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right="160" w:firstLine="510"/>
        <w:spacing w:after="0" w:line="311" w:lineRule="auto"/>
        <w:rPr>
          <w:sz w:val="20"/>
          <w:szCs w:val="20"/>
          <w:color w:val="auto"/>
        </w:rPr>
      </w:pPr>
      <w:r>
        <w:rPr>
          <w:rFonts w:ascii="Arial" w:cs="Arial" w:eastAsia="Arial" w:hAnsi="Arial"/>
          <w:sz w:val="16"/>
          <w:szCs w:val="16"/>
          <w:color w:val="auto"/>
        </w:rPr>
        <w:t>The Company also assessed the impacts of COVID-19 on the above accounting matters as of April 30, 2020 and through the date of this report. While there was not a material impact as of and for the quarter ended April 30, 2020, future actual magnitude and duration of COVID-19, as well as other associated factors, could result in material negative impacts to its condensed consolidated financial statements in future reporting periods.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7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Company performs ongoing credit evaluations of its customers and adjusts credit limits based upon payment history and customers’ credit worthiness. The Company regularly monitors collections and payments from its customers.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February 1, 2020, the Company adopted Accounting Standards Update (ASU) No. 2016-13, Financial Instruments-Credit Losses (Topic 326): Measurement of Credit Losses on Financial Instruments, using the modified retrospective transition method. Under this new guidance, the Company recognizes credit losses based on a forward-looking current expected credit losses (CECL) model instead of the previous incurred loss model for financial instruments, including accounts receivable. The Company’s accounts receivable are recorded at invoiced amount less an allowance for any potentially uncollectible amounts. Accordingly, the Company makes estimates of expected credit losses for the allowance for doubtful accounts based upon its assessment of various factors, including historical collection experience, the age of the accounts receivable balances, credit quality of its customers, current economic conditions, reasonable and supportable forecasts of future economic conditions, and other factors that may affect its ability to collect from customers.</w:t>
      </w:r>
    </w:p>
    <w:p>
      <w:pPr>
        <w:spacing w:after="0" w:line="19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 Instead of the previous "other than temporary" impairment model, the Company now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w:t>
      </w:r>
    </w:p>
    <w:p>
      <w:pPr>
        <w:spacing w:after="0" w:line="17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cumulative effect adjustment upon the adoption on February 1, 2020 was immaterial. The credit-related losses and associated allowance amount from the Company’s financial instruments were not material as of April 30,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Amounts included in restricted cash represent those required to be set aside to secure certain transactions in a foreign entity. As of April 30, 2020 and January 31, 2020, the restricted cash was immaterial. The following table presents cash, cash equivalents and restricted cash reported on the condensed consolidated balance sheets, and the sums are presented on the condensed consolidated statements of cash flows: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5"/>
              </w:rPr>
              <w:t>April 30, 2020</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January 31, 2020</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w w:val="97"/>
              </w:rPr>
              <w:t>April 30, 2019</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January 31, 2019</w:t>
            </w:r>
          </w:p>
        </w:tc>
        <w:tc>
          <w:tcPr>
            <w:tcW w:w="80" w:type="dxa"/>
            <w:vAlign w:val="bottom"/>
          </w:tcPr>
          <w:p>
            <w:pPr>
              <w:spacing w:after="0"/>
              <w:rPr>
                <w:sz w:val="13"/>
                <w:szCs w:val="13"/>
                <w:color w:val="auto"/>
              </w:rPr>
            </w:pPr>
          </w:p>
        </w:tc>
      </w:tr>
      <w:tr>
        <w:trPr>
          <w:trHeight w:val="156"/>
        </w:trPr>
        <w:tc>
          <w:tcPr>
            <w:tcW w:w="3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4"/>
          </w:tcPr>
          <w:p>
            <w:pPr>
              <w:jc w:val="right"/>
              <w:ind w:right="715"/>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236,585</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231,403</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204,444</w:t>
            </w:r>
          </w:p>
        </w:tc>
        <w:tc>
          <w:tcPr>
            <w:tcW w:w="4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80" w:type="dxa"/>
            <w:vAlign w:val="bottom"/>
            <w:shd w:val="clear" w:color="auto" w:fill="CFF0FC"/>
          </w:tcPr>
          <w:p>
            <w:pPr>
              <w:spacing w:after="0"/>
              <w:rPr>
                <w:sz w:val="21"/>
                <w:szCs w:val="21"/>
                <w:color w:val="auto"/>
              </w:rPr>
            </w:pPr>
          </w:p>
        </w:tc>
      </w:tr>
      <w:tr>
        <w:trPr>
          <w:trHeight w:val="24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21"/>
                <w:szCs w:val="21"/>
                <w:color w:val="auto"/>
              </w:rPr>
            </w:pPr>
          </w:p>
        </w:tc>
      </w:tr>
      <w:tr>
        <w:trPr>
          <w:trHeight w:val="209"/>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 presented in the consolidated</w:t>
            </w: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statements of cash flows</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236,594</w:t>
            </w:r>
          </w:p>
        </w:tc>
        <w:tc>
          <w:tcPr>
            <w:tcW w:w="4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231,412</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204,455</w:t>
            </w:r>
          </w:p>
        </w:tc>
        <w:tc>
          <w:tcPr>
            <w:tcW w:w="4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194,058</w:t>
            </w:r>
          </w:p>
        </w:tc>
        <w:tc>
          <w:tcPr>
            <w:tcW w:w="80" w:type="dxa"/>
            <w:vAlign w:val="bottom"/>
            <w:shd w:val="clear" w:color="auto" w:fill="CFF0FC"/>
          </w:tcPr>
          <w:p>
            <w:pPr>
              <w:spacing w:after="0"/>
              <w:rPr>
                <w:sz w:val="20"/>
                <w:szCs w:val="20"/>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months ended April 30, 2020 and 2019, respectively.</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Noncancelable Internal-Use Software License</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Effective February 1, 2019, the Company adopted Accounting Standards Codification (“ASC”) Topic 842, Leases. As a result,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The Company's finance leases are immaterial as of April 30, 2020 and January 31, 2020, respectively.</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adopted ASC 606, Revenue from Contracts with Customers. As a result,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right="20" w:firstLine="510"/>
        <w:spacing w:after="0" w:line="286"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74"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months ended April 30, 2020 and 2019, respectively.</w:t>
      </w:r>
    </w:p>
    <w:p>
      <w:pPr>
        <w:spacing w:after="0" w:line="18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April 30, 2020 and January 31, 2020, the contract assets for these unbilled receivables were not material. The Company’s contract liabilities consist of deferred revenue. The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three months ended April 30, 2020 and 2019, the Company did not recognize any material revenue adjustment, respectively, related to performance obligations satisfied in prior periods released from this deferred revenue. As of April 30, 2020 and January 31, 2020, the respective deferred revenues were not material. Additionally, the transaction price allocated to unsatisfied, or partially unsatisfied, purchase orders for contracts that are greater than a year was not material as of April 30, 2020 and January 31, 2020, respectively. The Company also elects not to disclose the value of unsatisfied or partially unsatisfied performance obligations due to original expected contract duration of one year or less and elects to exclude amounts collected from customers for all sales taxes from the transaction price.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April 30, 2020, there was approximately $1.2 million of grants recorded in prepaid expenses and other current assets and approximately $2.8 million of grants recorded in other non-current assets in the condensed consolidated balance sheets.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18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192" w:lineRule="exact"/>
        <w:rPr>
          <w:sz w:val="20"/>
          <w:szCs w:val="20"/>
          <w:color w:val="auto"/>
        </w:rPr>
      </w:pPr>
    </w:p>
    <w:p>
      <w:pPr>
        <w:ind w:right="460" w:firstLine="510"/>
        <w:spacing w:after="0" w:line="342" w:lineRule="auto"/>
        <w:rPr>
          <w:sz w:val="20"/>
          <w:szCs w:val="20"/>
          <w:color w:val="auto"/>
        </w:rPr>
      </w:pPr>
      <w:r>
        <w:rPr>
          <w:rFonts w:ascii="Arial" w:cs="Arial" w:eastAsia="Arial" w:hAnsi="Arial"/>
          <w:sz w:val="16"/>
          <w:szCs w:val="16"/>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income statement for the periods in which the adjustment is determined to be required.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Comprehensive income (loss) includes unrealized gains or losses from available-for-sale securities that are excluded from net income (loss).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other significant updates to the recently issued accounting standards other than as disclosed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condensed consolidated balance sheets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4"/>
              </w:rPr>
              <w:t>As of April 30, 2020</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 Gains</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center"/>
              <w:ind w:left="35"/>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61,902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61,902</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103,808</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23,742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23,876</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20,203</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211,395</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211,800</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92"/>
              </w:rPr>
              <w:t>As of January 31, 2020</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 Gains</w:t>
            </w: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jc w:val="center"/>
              <w:ind w:left="35"/>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8,284</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20"/>
                <w:szCs w:val="20"/>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63,390</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Corporate bonds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95,053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95,706</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23,062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23,129</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securities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20,572</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210,313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211,081</w:t>
            </w:r>
          </w:p>
        </w:tc>
        <w:tc>
          <w:tcPr>
            <w:tcW w:w="10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2020, there were no debt securities with unrealized losses for more than twelve months.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2020</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2020</w:t>
            </w:r>
          </w:p>
        </w:tc>
      </w:tr>
      <w:tr>
        <w:trPr>
          <w:trHeight w:val="155"/>
        </w:trPr>
        <w:tc>
          <w:tcPr>
            <w:tcW w:w="4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Included in cash equivalents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37,058</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37,736</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marketable debt securities</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174,742</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173,345</w:t>
            </w:r>
          </w:p>
        </w:tc>
        <w:tc>
          <w:tcPr>
            <w:tcW w:w="80" w:type="dxa"/>
            <w:vAlign w:val="bottom"/>
            <w:tcBorders>
              <w:bottom w:val="single" w:sz="8" w:color="CFF0FC"/>
            </w:tcBorders>
          </w:tcPr>
          <w:p>
            <w:pPr>
              <w:spacing w:after="0"/>
              <w:rPr>
                <w:sz w:val="21"/>
                <w:szCs w:val="21"/>
                <w:color w:val="auto"/>
              </w:rPr>
            </w:pPr>
          </w:p>
        </w:tc>
      </w:tr>
      <w:tr>
        <w:trPr>
          <w:trHeight w:val="237"/>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211,800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211,081</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April 30, 2020 and January 31, 2020 were as follows: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959"/>
              <w:spacing w:after="0"/>
              <w:rPr>
                <w:sz w:val="20"/>
                <w:szCs w:val="20"/>
                <w:color w:val="auto"/>
              </w:rPr>
            </w:pPr>
            <w:r>
              <w:rPr>
                <w:rFonts w:ascii="Arial" w:cs="Arial" w:eastAsia="Arial" w:hAnsi="Arial"/>
                <w:sz w:val="14"/>
                <w:szCs w:val="14"/>
                <w:b w:val="1"/>
                <w:bCs w:val="1"/>
                <w:color w:val="auto"/>
                <w:w w:val="91"/>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30, 2020</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January 31, 2020</w:t>
            </w:r>
          </w:p>
        </w:tc>
        <w:tc>
          <w:tcPr>
            <w:tcW w:w="80" w:type="dxa"/>
            <w:vAlign w:val="bottom"/>
          </w:tcPr>
          <w:p>
            <w:pPr>
              <w:spacing w:after="0"/>
              <w:rPr>
                <w:sz w:val="17"/>
                <w:szCs w:val="17"/>
                <w:color w:val="auto"/>
              </w:rPr>
            </w:pPr>
          </w:p>
        </w:tc>
      </w:tr>
      <w:tr>
        <w:trPr>
          <w:trHeight w:val="223"/>
        </w:trPr>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144,722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146,267</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64,814</w:t>
            </w:r>
          </w:p>
        </w:tc>
        <w:tc>
          <w:tcPr>
            <w:tcW w:w="80" w:type="dxa"/>
            <w:vAlign w:val="bottom"/>
            <w:tcBorders>
              <w:bottom w:val="single" w:sz="8" w:color="CFF0FC"/>
            </w:tcBorders>
          </w:tcPr>
          <w:p>
            <w:pPr>
              <w:spacing w:after="0"/>
              <w:rPr>
                <w:sz w:val="21"/>
                <w:szCs w:val="21"/>
                <w:color w:val="auto"/>
              </w:rPr>
            </w:pPr>
          </w:p>
        </w:tc>
      </w:tr>
      <w:tr>
        <w:trPr>
          <w:trHeight w:val="236"/>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211,800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211,081</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The unrealized losses on the available-for-sale securities were primarily caused by fluctuations in market value and interest rates as a result of the economic environment. Upon adoption of </w:t>
      </w:r>
      <w:r>
        <w:rPr>
          <w:rFonts w:ascii="Arial" w:cs="Arial" w:eastAsia="Arial" w:hAnsi="Arial"/>
          <w:sz w:val="17"/>
          <w:szCs w:val="17"/>
          <w:color w:val="212529"/>
        </w:rPr>
        <w:t>ASU No. 2016-13, 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color w:val="212529"/>
        </w:rPr>
        <w:t>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of the Company’s financial instruments were not material as of April 30, 2020.</w:t>
      </w:r>
    </w:p>
    <w:p>
      <w:pPr>
        <w:spacing w:after="0" w:line="17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 w:name="page14"/>
    <w:bookmarkEnd w:id="13"/>
    <w:p>
      <w:pPr>
        <w:ind w:right="20" w:firstLine="510"/>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tables present the fair value of the financial instruments measured on a recurring basis as of April 30, 2020 and January 31, 2020,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4"/>
              </w:rPr>
              <w:t>As of April 30, 2020</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9"/>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61,902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103,808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103,808</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23,876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20,203</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211,800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4"/>
              </w:rPr>
              <w:t>As of January 31, 2020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9"/>
          </w:tcPr>
          <w:p>
            <w:pPr>
              <w:jc w:val="center"/>
              <w:ind w:right="4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8,284</w:t>
            </w:r>
          </w:p>
        </w:tc>
        <w:tc>
          <w:tcPr>
            <w:tcW w:w="220" w:type="dxa"/>
            <w:vAlign w:val="bottom"/>
          </w:tcPr>
          <w:p>
            <w:pPr>
              <w:spacing w:after="0"/>
              <w:rPr>
                <w:sz w:val="20"/>
                <w:szCs w:val="20"/>
                <w:color w:val="auto"/>
              </w:rPr>
            </w:pPr>
          </w:p>
        </w:tc>
        <w:tc>
          <w:tcPr>
            <w:tcW w:w="180" w:type="dxa"/>
            <w:vAlign w:val="bottom"/>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20"/>
                <w:szCs w:val="20"/>
                <w:color w:val="auto"/>
              </w:rPr>
            </w:pP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63,390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63,390</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95,706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95,706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23,129</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U.S. government securities</w:t>
            </w:r>
          </w:p>
        </w:tc>
        <w:tc>
          <w:tcPr>
            <w:tcW w:w="3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20,572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211,081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8,284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4"/>
          </w:tcPr>
          <w:p>
            <w:pPr>
              <w:jc w:val="right"/>
              <w:spacing w:after="0"/>
              <w:rPr>
                <w:sz w:val="20"/>
                <w:szCs w:val="20"/>
                <w:color w:val="auto"/>
              </w:rPr>
            </w:pPr>
            <w:r>
              <w:rPr>
                <w:rFonts w:ascii="Arial" w:cs="Arial" w:eastAsia="Arial" w:hAnsi="Arial"/>
                <w:sz w:val="18"/>
                <w:szCs w:val="18"/>
                <w:color w:val="auto"/>
                <w:w w:val="99"/>
              </w:rPr>
              <w:t>Inventories at April 30, 2020 and January 31, 2020 consisted of the following:</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April 30, 2020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5"/>
          </w:tcPr>
          <w:p>
            <w:pPr>
              <w:ind w:left="40"/>
              <w:spacing w:after="0"/>
              <w:rPr>
                <w:sz w:val="20"/>
                <w:szCs w:val="20"/>
                <w:color w:val="auto"/>
              </w:rPr>
            </w:pPr>
            <w:r>
              <w:rPr>
                <w:rFonts w:ascii="Arial" w:cs="Arial" w:eastAsia="Arial" w:hAnsi="Arial"/>
                <w:sz w:val="14"/>
                <w:szCs w:val="14"/>
                <w:b w:val="1"/>
                <w:bCs w:val="1"/>
                <w:color w:val="auto"/>
              </w:rPr>
              <w:t>January 31, 2020</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6"/>
          </w:tcPr>
          <w:p>
            <w:pPr>
              <w:jc w:val="right"/>
              <w:ind w:right="47"/>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12,773</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10,133</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9,184</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12,838</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22,971</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233"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expense was approximately $0.7 million for the three months ended April 30, 2020 and 2019, respectively. Property and equipment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2020 and January 31, 2020 consisted of the following:</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30, 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January 31, 2020</w:t>
            </w:r>
          </w:p>
        </w:tc>
      </w:tr>
      <w:tr>
        <w:trPr>
          <w:trHeight w:val="156"/>
        </w:trPr>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5"/>
          </w:tcPr>
          <w:p>
            <w:pPr>
              <w:jc w:val="right"/>
              <w:ind w:right="93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8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6,317</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19,987</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(14,993)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(14,373)</w:t>
            </w: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2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intangible assets primarily consist of $4.1 million of in-process research and development (“IPR&amp;D”) from the acquisition of VisLab S.r.l., or VisLab, in June 2015 and $12.3 million of noncancelable software licenses, net of amortization expense. Acquired IPR&amp;D is capitalized at fair value and the amortization commences upon completion of the underlying projects. Once research and development efforts are completed, the corresponding amount of IPR&amp;D is reclassified as an amortizable purchased intangible asset and is amortized over its estimated useful life. As of April 30, 2020, there was no IPR&amp;D amortized. The Company will determine the project incorporating the VisLab IPR&amp;D to be completed when a related chip begins mass production to address the level 3 and above advanced driving assistance systems markets.</w:t>
      </w:r>
    </w:p>
    <w:p>
      <w:pPr>
        <w:spacing w:after="0" w:line="17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Company enters into certain internal-use noncancelable software license agreements with third parties from time-to-time. The licenses have been capitalized as intangible assets, and the corresponding future payments have been recorded as liabilities at net present value. As of April 30, 2020, $4.4 million was recorded in accrued and other current liabilities and $7.0 million was recorded in other long-term liabilities in the condensed consolidated balance sheets.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intangible assets as of April 30, 2020 and January 31, 2020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tcPr>
          <w:p>
            <w:pPr>
              <w:jc w:val="right"/>
              <w:spacing w:after="0"/>
              <w:rPr>
                <w:sz w:val="20"/>
                <w:szCs w:val="20"/>
                <w:color w:val="auto"/>
              </w:rPr>
            </w:pPr>
            <w:r>
              <w:rPr>
                <w:rFonts w:ascii="Arial" w:cs="Arial" w:eastAsia="Arial" w:hAnsi="Arial"/>
                <w:sz w:val="14"/>
                <w:szCs w:val="14"/>
                <w:b w:val="1"/>
                <w:bCs w:val="1"/>
                <w:color w:val="auto"/>
              </w:rPr>
              <w:t>As of April 30, 2020</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9"/>
          </w:tcPr>
          <w:p>
            <w:pPr>
              <w:ind w:left="500"/>
              <w:spacing w:after="0"/>
              <w:rPr>
                <w:sz w:val="20"/>
                <w:szCs w:val="20"/>
                <w:color w:val="auto"/>
              </w:rPr>
            </w:pPr>
            <w:r>
              <w:rPr>
                <w:rFonts w:ascii="Arial" w:cs="Arial" w:eastAsia="Arial" w:hAnsi="Arial"/>
                <w:sz w:val="14"/>
                <w:szCs w:val="14"/>
                <w:b w:val="1"/>
                <w:bCs w:val="1"/>
                <w:color w:val="auto"/>
              </w:rPr>
              <w:t>As of January 31, 2020</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tcBorders>
              <w:top w:val="single" w:sz="8" w:color="auto"/>
            </w:tcBorders>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w w:val="83"/>
              </w:rPr>
              <w:t>Gross</w:t>
            </w:r>
          </w:p>
        </w:tc>
        <w:tc>
          <w:tcPr>
            <w:tcW w:w="1120" w:type="dxa"/>
            <w:vAlign w:val="bottom"/>
            <w:tcBorders>
              <w:top w:val="single" w:sz="8" w:color="auto"/>
            </w:tcBorders>
            <w:gridSpan w:val="4"/>
            <w:vMerge w:val="restart"/>
          </w:tcPr>
          <w:p>
            <w:pPr>
              <w:jc w:val="right"/>
              <w:ind w:right="61"/>
              <w:spacing w:after="0"/>
              <w:rPr>
                <w:sz w:val="20"/>
                <w:szCs w:val="20"/>
                <w:color w:val="auto"/>
              </w:rPr>
            </w:pPr>
            <w:r>
              <w:rPr>
                <w:rFonts w:ascii="Arial" w:cs="Arial" w:eastAsia="Arial" w:hAnsi="Arial"/>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299"/>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Internal-use software licenses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27,203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acquired intangible assets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The amortization expense related to these software licenses was approximately $1.5 million and $1.3 million for the three months ended April 30, 2020 and 2019, respectively. The estimated future amortization expense of these software licenses as of April 30, 2020 is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Fiscal Year</w:t>
            </w: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April 30, 2020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5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2021 (9 months remaining)</w:t>
            </w:r>
          </w:p>
        </w:tc>
        <w:tc>
          <w:tcPr>
            <w:tcW w:w="38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2022</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4,553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2024</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2025</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2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amortization expenses:</w:t>
            </w:r>
          </w:p>
        </w:tc>
        <w:tc>
          <w:tcPr>
            <w:tcW w:w="36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vMerge w:val="restart"/>
          </w:tcPr>
          <w:p>
            <w:pPr>
              <w:jc w:val="right"/>
              <w:ind w:right="27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right="200" w:firstLine="510"/>
        <w:spacing w:after="0" w:line="342" w:lineRule="auto"/>
        <w:rPr>
          <w:sz w:val="20"/>
          <w:szCs w:val="20"/>
          <w:color w:val="auto"/>
        </w:rPr>
      </w:pPr>
      <w:r>
        <w:rPr>
          <w:rFonts w:ascii="Arial" w:cs="Arial" w:eastAsia="Arial" w:hAnsi="Arial"/>
          <w:sz w:val="16"/>
          <w:szCs w:val="16"/>
          <w:color w:val="auto"/>
        </w:rPr>
        <w:t>IPR&amp;D is required to be tested for impairment at least annually in the fourth fiscal quarter or sooner whenever events or changes in circumstances indicate that the assets may be impaired. There were no intangible asset impairments for the three months ended April 30, 2020 and 2019, respectively.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April 30, 2020 and January 31, 2020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2020</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2020</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16,874</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Accrued rebates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10,885</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4,388</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80" w:type="dxa"/>
            <w:vAlign w:val="bottom"/>
            <w:shd w:val="clear" w:color="auto" w:fill="CFF0FC"/>
          </w:tcPr>
          <w:p>
            <w:pPr>
              <w:spacing w:after="0"/>
              <w:rPr>
                <w:sz w:val="19"/>
                <w:szCs w:val="19"/>
                <w:color w:val="auto"/>
              </w:rPr>
            </w:pPr>
          </w:p>
        </w:tc>
      </w:tr>
      <w:tr>
        <w:trPr>
          <w:trHeight w:val="223"/>
        </w:trPr>
        <w:tc>
          <w:tcPr>
            <w:tcW w:w="406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27,262</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34,970</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decrease in employee compensation liabilities was primarily due to $7.7 million of annual bonus paid in March 2020, of which $2.3 million was paid in cash and $5.4 million was settled with restricted stock units.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right="60" w:firstLine="468"/>
        <w:spacing w:after="0" w:line="263" w:lineRule="auto"/>
        <w:rPr>
          <w:sz w:val="20"/>
          <w:szCs w:val="20"/>
          <w:color w:val="auto"/>
        </w:rPr>
      </w:pPr>
      <w:r>
        <w:rPr>
          <w:rFonts w:ascii="Arial" w:cs="Arial" w:eastAsia="Arial" w:hAnsi="Arial"/>
          <w:sz w:val="18"/>
          <w:szCs w:val="18"/>
          <w:color w:val="auto"/>
        </w:rPr>
        <w:t>The Company has entered into various operating leases for its worldwide office facilities and recorded approximately $0.7 million of operating lease expense for the three months ended April 30, 2020 and 2019, respectively. The Company's short-term leases and finance leases were not material as of April 30, 2020 and January 31, 2020, respectively.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6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April 30, 2020</w:t>
            </w:r>
          </w:p>
        </w:tc>
      </w:tr>
      <w:tr>
        <w:trPr>
          <w:trHeight w:val="155"/>
        </w:trPr>
        <w:tc>
          <w:tcPr>
            <w:tcW w:w="6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ind w:right="161"/>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operating leases included in operating cash flows</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FF0FC"/>
          </w:tcPr>
          <w:p>
            <w:pPr>
              <w:spacing w:after="0"/>
              <w:rPr>
                <w:sz w:val="19"/>
                <w:szCs w:val="19"/>
                <w:color w:val="auto"/>
              </w:rPr>
            </w:pPr>
          </w:p>
        </w:tc>
      </w:tr>
      <w:tr>
        <w:trPr>
          <w:trHeight w:val="215"/>
        </w:trPr>
        <w:tc>
          <w:tcPr>
            <w:tcW w:w="6680" w:type="dxa"/>
            <w:vAlign w:val="bottom"/>
          </w:tcPr>
          <w:p>
            <w:pPr>
              <w:spacing w:after="0"/>
              <w:rPr>
                <w:sz w:val="20"/>
                <w:szCs w:val="20"/>
                <w:color w:val="auto"/>
              </w:rPr>
            </w:pPr>
            <w:r>
              <w:rPr>
                <w:rFonts w:ascii="Arial" w:cs="Arial" w:eastAsia="Arial" w:hAnsi="Arial"/>
                <w:sz w:val="18"/>
                <w:szCs w:val="18"/>
                <w:color w:val="auto"/>
                <w:w w:val="94"/>
              </w:rPr>
              <w:t>Supplemental non-cash information related to lease liabilities arising from obtaining right-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of-use assets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r>
    </w:tbl>
    <w:p>
      <w:pPr>
        <w:spacing w:after="0" w:line="202"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As of April 30, 2020, the weighted average remaining lease term is 4.90 years, and the weighted average discount rate is 4.43 percent. Future minimum lease payments for the lease liabilities are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Fiscal Year</w:t>
            </w:r>
          </w:p>
        </w:tc>
        <w:tc>
          <w:tcPr>
            <w:tcW w:w="426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April 30, 2020</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right"/>
              <w:ind w:right="85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2021 (9 months remaining)</w:t>
            </w:r>
          </w:p>
        </w:tc>
        <w:tc>
          <w:tcPr>
            <w:tcW w:w="17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240"/>
              <w:spacing w:after="0"/>
              <w:rPr>
                <w:sz w:val="20"/>
                <w:szCs w:val="20"/>
                <w:color w:val="auto"/>
              </w:rPr>
            </w:pPr>
            <w:r>
              <w:rPr>
                <w:rFonts w:ascii="Arial" w:cs="Arial" w:eastAsia="Arial" w:hAnsi="Arial"/>
                <w:sz w:val="18"/>
                <w:szCs w:val="18"/>
                <w:color w:val="auto"/>
              </w:rPr>
              <w:t>2022</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Arial" w:cs="Arial" w:eastAsia="Arial" w:hAnsi="Arial"/>
                <w:sz w:val="18"/>
                <w:szCs w:val="18"/>
                <w:color w:val="auto"/>
              </w:rPr>
              <w:t>2024</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2025</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Less: interest</w:t>
            </w: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April 30, 2020 and January 31, 2020 consisted of the following:</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2020</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2020</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8,261</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8,159</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ind w:left="520" w:right="9380" w:hanging="512"/>
        <w:spacing w:after="0" w:line="453" w:lineRule="auto"/>
        <w:tabs>
          <w:tab w:leader="none" w:pos="19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Stock </w:t>
      </w:r>
      <w:r>
        <w:rPr>
          <w:rFonts w:ascii="Arial" w:cs="Arial" w:eastAsia="Arial" w:hAnsi="Arial"/>
          <w:sz w:val="15"/>
          <w:szCs w:val="15"/>
          <w:b w:val="1"/>
          <w:bCs w:val="1"/>
          <w:i w:val="1"/>
          <w:iCs w:val="1"/>
          <w:color w:val="auto"/>
        </w:rPr>
        <w:t>Preference shares</w:t>
      </w:r>
    </w:p>
    <w:p>
      <w:pPr>
        <w:spacing w:after="0" w:line="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After completion of the Company’s initial public offering in 2012, a total of 20,000,000 preference shares, with a $0.00045 par value per share, were authorized. There were no preference shares issued and outstanding as of April 30, 2020 and January 31, 2020,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2020 and January 31, 2020, a total of 200,000,000 ordinary shares were authorized.</w:t>
      </w:r>
    </w:p>
    <w:p>
      <w:pPr>
        <w:spacing w:after="0" w:line="22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On February 1, 2020, the Company added 1,521,252 ordinary shares to the ordinary shares reserved for issuance, pursuant to an “evergreen” provision contained in the 2012 Equity Incentive Plan, or EIP. Pursuant to such provision, for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February 1, 2020, the Company added 422,570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2020 and January 31, 2020, the following ordinary shares were reserved for future issuance under the EIP and ESPP:</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7"/>
              </w:rPr>
              <w:t>As of</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900" w:type="dxa"/>
            <w:vAlign w:val="bottom"/>
          </w:tcPr>
          <w:p>
            <w:pPr>
              <w:spacing w:after="0"/>
              <w:rPr>
                <w:sz w:val="13"/>
                <w:szCs w:val="13"/>
                <w:color w:val="auto"/>
              </w:rPr>
            </w:pPr>
          </w:p>
        </w:tc>
        <w:tc>
          <w:tcPr>
            <w:tcW w:w="1640" w:type="dxa"/>
            <w:vAlign w:val="bottom"/>
            <w:gridSpan w:val="3"/>
          </w:tcPr>
          <w:p>
            <w:pPr>
              <w:ind w:left="260"/>
              <w:spacing w:after="0" w:line="155" w:lineRule="exact"/>
              <w:rPr>
                <w:sz w:val="20"/>
                <w:szCs w:val="20"/>
                <w:color w:val="auto"/>
              </w:rPr>
            </w:pPr>
            <w:r>
              <w:rPr>
                <w:rFonts w:ascii="Arial" w:cs="Arial" w:eastAsia="Arial" w:hAnsi="Arial"/>
                <w:sz w:val="14"/>
                <w:szCs w:val="14"/>
                <w:b w:val="1"/>
                <w:bCs w:val="1"/>
                <w:color w:val="auto"/>
              </w:rPr>
              <w:t>April 30, 2020</w:t>
            </w:r>
          </w:p>
        </w:tc>
        <w:tc>
          <w:tcPr>
            <w:tcW w:w="1240" w:type="dxa"/>
            <w:vAlign w:val="bottom"/>
          </w:tcPr>
          <w:p>
            <w:pPr>
              <w:jc w:val="right"/>
              <w:ind w:right="56"/>
              <w:spacing w:after="0" w:line="155" w:lineRule="exact"/>
              <w:rPr>
                <w:sz w:val="20"/>
                <w:szCs w:val="20"/>
                <w:color w:val="auto"/>
              </w:rPr>
            </w:pPr>
            <w:r>
              <w:rPr>
                <w:rFonts w:ascii="Arial" w:cs="Arial" w:eastAsia="Arial" w:hAnsi="Arial"/>
                <w:sz w:val="14"/>
                <w:szCs w:val="14"/>
                <w:b w:val="1"/>
                <w:bCs w:val="1"/>
                <w:color w:val="auto"/>
                <w:w w:val="96"/>
              </w:rPr>
              <w:t>January 31, 2020</w:t>
            </w:r>
          </w:p>
        </w:tc>
        <w:tc>
          <w:tcPr>
            <w:tcW w:w="80" w:type="dxa"/>
            <w:vAlign w:val="bottom"/>
          </w:tcPr>
          <w:p>
            <w:pPr>
              <w:spacing w:after="0"/>
              <w:rPr>
                <w:sz w:val="13"/>
                <w:szCs w:val="13"/>
                <w:color w:val="auto"/>
              </w:rPr>
            </w:pPr>
          </w:p>
        </w:tc>
      </w:tr>
      <w:tr>
        <w:trPr>
          <w:trHeight w:val="209"/>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reserved for options, restricted stock and</w:t>
            </w: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EIP</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7,087,717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6,045,108</w:t>
            </w:r>
          </w:p>
        </w:tc>
        <w:tc>
          <w:tcPr>
            <w:tcW w:w="80" w:type="dxa"/>
            <w:vAlign w:val="bottom"/>
            <w:shd w:val="clear" w:color="auto" w:fill="CFF0FC"/>
          </w:tcPr>
          <w:p>
            <w:pPr>
              <w:spacing w:after="0"/>
              <w:rPr>
                <w:sz w:val="20"/>
                <w:szCs w:val="20"/>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Shares reserved for ESPP</w:t>
            </w:r>
          </w:p>
        </w:tc>
        <w:tc>
          <w:tcPr>
            <w:tcW w:w="1460" w:type="dxa"/>
            <w:vAlign w:val="bottom"/>
          </w:tcPr>
          <w:p>
            <w:pPr>
              <w:jc w:val="right"/>
              <w:spacing w:after="0"/>
              <w:rPr>
                <w:sz w:val="20"/>
                <w:szCs w:val="20"/>
                <w:color w:val="auto"/>
              </w:rPr>
            </w:pPr>
            <w:r>
              <w:rPr>
                <w:rFonts w:ascii="Arial" w:cs="Arial" w:eastAsia="Arial" w:hAnsi="Arial"/>
                <w:sz w:val="18"/>
                <w:szCs w:val="18"/>
                <w:color w:val="auto"/>
              </w:rPr>
              <w:t>2,398,510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2,059,504</w:t>
            </w:r>
          </w:p>
        </w:tc>
        <w:tc>
          <w:tcPr>
            <w:tcW w:w="80" w:type="dxa"/>
            <w:vAlign w:val="bottom"/>
          </w:tcPr>
          <w:p>
            <w:pPr>
              <w:spacing w:after="0"/>
              <w:rPr>
                <w:sz w:val="20"/>
                <w:szCs w:val="20"/>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225"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On March 16, 2020, the Company repurchased a total of 25,719 shares for approximately $1.0 million in cash. Since the inception of the repurchase programs in June 2016, a total of $275.0 million has been authorized, and a total of 4,011,595 shares have been repurchased for approximately $175.8 million in cash.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April 30, 2020, there was $49.0 million available for repurchases under the repurchase program through June 30, 2020.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April 30,</w:t>
            </w:r>
          </w:p>
        </w:tc>
      </w:tr>
      <w:tr>
        <w:trPr>
          <w:trHeight w:val="156"/>
        </w:trPr>
        <w:tc>
          <w:tcPr>
            <w:tcW w:w="4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r>
      <w:tr>
        <w:trPr>
          <w:trHeight w:val="155"/>
        </w:trPr>
        <w:tc>
          <w:tcPr>
            <w:tcW w:w="4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ind w:left="660"/>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43"/>
        </w:trPr>
        <w:tc>
          <w:tcPr>
            <w:tcW w:w="402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1"/>
                <w:szCs w:val="21"/>
                <w:color w:val="auto"/>
              </w:rPr>
            </w:pPr>
          </w:p>
        </w:tc>
      </w:tr>
      <w:tr>
        <w:trPr>
          <w:trHeight w:val="230"/>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10,204</w:t>
            </w:r>
          </w:p>
        </w:tc>
        <w:tc>
          <w:tcPr>
            <w:tcW w:w="200" w:type="dxa"/>
            <w:vAlign w:val="bottom"/>
            <w:shd w:val="clear" w:color="auto" w:fill="CFF0FC"/>
          </w:tcPr>
          <w:p>
            <w:pPr>
              <w:spacing w:after="0"/>
              <w:rPr>
                <w:sz w:val="19"/>
                <w:szCs w:val="19"/>
                <w:color w:val="auto"/>
              </w:rPr>
            </w:pPr>
          </w:p>
        </w:tc>
      </w:tr>
      <w:tr>
        <w:trPr>
          <w:trHeight w:val="243"/>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1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w:t>
            </w:r>
          </w:p>
        </w:tc>
        <w:tc>
          <w:tcPr>
            <w:tcW w:w="200" w:type="dxa"/>
            <w:vAlign w:val="bottom"/>
            <w:tcBorders>
              <w:bottom w:val="single" w:sz="8" w:color="CFF0FC"/>
            </w:tcBorders>
          </w:tcPr>
          <w:p>
            <w:pPr>
              <w:spacing w:after="0"/>
              <w:rPr>
                <w:sz w:val="21"/>
                <w:szCs w:val="21"/>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20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During the three months ended April 30, 2020, approximately $0.8 million of stock-based compensation expense was accrued in the accrued and other current liabilities in the condensed consolidated balance sheets. As of April 30, 2020, total unrecognized compensation cost related to unvested stock options was $3.5 million and is expected to be recognized over a weighted-average period of 2.39 years. Total unrecognized compensation cost related to unvested restricted stock units was $122.8 million and is expected to be recognized over a weighted-average period of 2.42 years.</w:t>
      </w:r>
    </w:p>
    <w:p>
      <w:pPr>
        <w:spacing w:after="0" w:line="15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 options and employee stock purchase plan awards for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9"/>
          </w:tcPr>
          <w:p>
            <w:pPr>
              <w:jc w:val="right"/>
              <w:ind w:right="740"/>
              <w:spacing w:after="0"/>
              <w:rPr>
                <w:sz w:val="20"/>
                <w:szCs w:val="20"/>
                <w:color w:val="auto"/>
              </w:rPr>
            </w:pPr>
            <w:r>
              <w:rPr>
                <w:rFonts w:ascii="Arial" w:cs="Arial" w:eastAsia="Arial" w:hAnsi="Arial"/>
                <w:sz w:val="14"/>
                <w:szCs w:val="14"/>
                <w:b w:val="1"/>
                <w:bCs w:val="1"/>
                <w:color w:val="auto"/>
              </w:rPr>
              <w:t>Three Months Ended April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Volatility</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50%</w:t>
            </w:r>
          </w:p>
        </w:tc>
        <w:tc>
          <w:tcPr>
            <w:tcW w:w="36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0.74%</w:t>
            </w:r>
          </w:p>
        </w:tc>
        <w:tc>
          <w:tcPr>
            <w:tcW w:w="36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Expected term (years)</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9"/>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4620" w:type="dxa"/>
            <w:vAlign w:val="bottom"/>
            <w:gridSpan w:val="2"/>
          </w:tcPr>
          <w:p>
            <w:pPr>
              <w:ind w:left="1140"/>
              <w:spacing w:after="0"/>
              <w:rPr>
                <w:sz w:val="20"/>
                <w:szCs w:val="20"/>
                <w:color w:val="auto"/>
              </w:rPr>
            </w:pPr>
            <w:r>
              <w:rPr>
                <w:rFonts w:ascii="Arial" w:cs="Arial" w:eastAsia="Arial" w:hAnsi="Arial"/>
                <w:sz w:val="18"/>
                <w:szCs w:val="18"/>
                <w:color w:val="auto"/>
              </w:rPr>
              <w:t>Employee stock purchase plan awards:</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61%</w:t>
            </w:r>
          </w:p>
        </w:tc>
        <w:tc>
          <w:tcPr>
            <w:tcW w:w="36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0.29%</w:t>
            </w:r>
          </w:p>
        </w:tc>
        <w:tc>
          <w:tcPr>
            <w:tcW w:w="36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0.5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1"/>
        </w:trPr>
        <w:tc>
          <w:tcPr>
            <w:tcW w:w="6820" w:type="dxa"/>
            <w:vAlign w:val="bottom"/>
            <w:gridSpan w:val="8"/>
          </w:tcPr>
          <w:p>
            <w:pPr>
              <w:ind w:left="520"/>
              <w:spacing w:after="0"/>
              <w:rPr>
                <w:sz w:val="20"/>
                <w:szCs w:val="20"/>
                <w:color w:val="auto"/>
              </w:rPr>
            </w:pPr>
            <w:r>
              <w:rPr>
                <w:rFonts w:ascii="Arial" w:cs="Arial" w:eastAsia="Arial" w:hAnsi="Arial"/>
                <w:sz w:val="18"/>
                <w:szCs w:val="18"/>
                <w:color w:val="auto"/>
              </w:rPr>
              <w:t>The following table summarizes stock option activities for the period indicated: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Option Outstanding</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0"/>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Total Intrinsic</w:t>
            </w: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Value Of</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92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Contractual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99"/>
              </w:rPr>
              <w:t>Intrinsic</w:t>
            </w:r>
          </w:p>
        </w:tc>
      </w:tr>
      <w:tr>
        <w:trPr>
          <w:trHeight w:val="186"/>
        </w:trPr>
        <w:tc>
          <w:tcPr>
            <w:tcW w:w="11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6"/>
                <w:szCs w:val="16"/>
                <w:color w:val="auto"/>
              </w:rPr>
            </w:pPr>
          </w:p>
        </w:tc>
        <w:tc>
          <w:tcPr>
            <w:tcW w:w="9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5"/>
              </w:rPr>
              <w:t>Grant-date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Exercised</w:t>
            </w:r>
          </w:p>
        </w:tc>
        <w:tc>
          <w:tcPr>
            <w:tcW w:w="1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Arial" w:cs="Arial" w:eastAsia="Arial" w:hAnsi="Arial"/>
                <w:sz w:val="14"/>
                <w:szCs w:val="14"/>
                <w:b w:val="1"/>
                <w:bCs w:val="1"/>
                <w:color w:val="auto"/>
                <w:w w:val="90"/>
              </w:rPr>
              <w:t>Value</w:t>
            </w:r>
          </w:p>
        </w:tc>
      </w:tr>
      <w:tr>
        <w:trPr>
          <w:trHeight w:val="228"/>
        </w:trPr>
        <w:tc>
          <w:tcPr>
            <w:tcW w:w="11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9"/>
                <w:szCs w:val="19"/>
                <w:color w:val="auto"/>
              </w:rPr>
            </w:pPr>
          </w:p>
        </w:tc>
        <w:tc>
          <w:tcPr>
            <w:tcW w:w="9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9"/>
                <w:szCs w:val="19"/>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9"/>
                <w:szCs w:val="19"/>
                <w:color w:val="auto"/>
              </w:rPr>
            </w:pPr>
          </w:p>
        </w:tc>
        <w:tc>
          <w:tcPr>
            <w:tcW w:w="106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4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at January 31, 2020</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1,124,646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32.93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right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r>
      <w:tr>
        <w:trPr>
          <w:trHeight w:val="230"/>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(75,870)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Outstanding at April 30,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1,052,697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4.28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1"/>
              <w:spacing w:after="0"/>
              <w:rPr>
                <w:sz w:val="20"/>
                <w:szCs w:val="20"/>
                <w:color w:val="auto"/>
              </w:rPr>
            </w:pPr>
            <w:r>
              <w:rPr>
                <w:rFonts w:ascii="Arial" w:cs="Arial" w:eastAsia="Arial" w:hAnsi="Arial"/>
                <w:sz w:val="18"/>
                <w:szCs w:val="18"/>
                <w:color w:val="auto"/>
              </w:rPr>
              <w:t>22,404</w:t>
            </w: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Exercisable at April 30, 2020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903,782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3.59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21,555</w:t>
            </w:r>
          </w:p>
        </w:tc>
      </w:tr>
    </w:tbl>
    <w:p>
      <w:pPr>
        <w:spacing w:after="0" w:line="20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April 30, 2020 was $52.58, as reported by The NASDAQ Global Market. The intrinsic value of exercised options is calculated based on the difference between the fair market value of the Company’s ordinary shares on the exercise date and the exercise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following table summarizes the restricted stock units activities for the period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Grant-Date</w:t>
            </w: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2,617,266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505,261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53.26</w:t>
            </w:r>
          </w:p>
        </w:tc>
        <w:tc>
          <w:tcPr>
            <w:tcW w:w="80" w:type="dxa"/>
            <w:vAlign w:val="bottom"/>
          </w:tcPr>
          <w:p>
            <w:pPr>
              <w:spacing w:after="0"/>
              <w:rPr>
                <w:sz w:val="19"/>
                <w:szCs w:val="19"/>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(402,773)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51.89</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(36,338)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54.75</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April 30,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2,683,416</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50.56</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2020, the aggregate intrinsic value of unvested restricted stock units was $141.1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loss per ordinary share for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6"/>
          </w:tcPr>
          <w:p>
            <w:pPr>
              <w:jc w:val="right"/>
              <w:ind w:right="180"/>
              <w:spacing w:after="0" w:line="133" w:lineRule="exact"/>
              <w:rPr>
                <w:sz w:val="20"/>
                <w:szCs w:val="20"/>
                <w:color w:val="auto"/>
              </w:rPr>
            </w:pPr>
            <w:r>
              <w:rPr>
                <w:rFonts w:ascii="Arial" w:cs="Arial" w:eastAsia="Arial" w:hAnsi="Arial"/>
                <w:sz w:val="14"/>
                <w:szCs w:val="14"/>
                <w:b w:val="1"/>
                <w:bCs w:val="1"/>
                <w:color w:val="auto"/>
                <w:w w:val="90"/>
              </w:rPr>
              <w:t>(in thousands, except share and per share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w w:val="95"/>
              </w:rPr>
              <w:t>data)</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(15,463)</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10"/>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9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ordinary shares - basic</w:t>
            </w:r>
          </w:p>
        </w:tc>
        <w:tc>
          <w:tcPr>
            <w:tcW w:w="9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34,080,330</w:t>
            </w:r>
          </w:p>
        </w:tc>
        <w:tc>
          <w:tcPr>
            <w:tcW w:w="1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32,492,044</w:t>
            </w:r>
          </w:p>
        </w:tc>
        <w:tc>
          <w:tcPr>
            <w:tcW w:w="2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ordinary shares - diluted</w:t>
            </w:r>
          </w:p>
        </w:tc>
        <w:tc>
          <w:tcPr>
            <w:tcW w:w="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34,080,330</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32,492,044</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Net loss per ordinary share:</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loss per ordinary share as their effect would have been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w w:val="97"/>
              </w:rPr>
              <w:t>Three Months Ended April 30,</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0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771,769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1,003,060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1700"/>
              <w:spacing w:after="0"/>
              <w:rPr>
                <w:sz w:val="20"/>
                <w:szCs w:val="20"/>
                <w:color w:val="auto"/>
              </w:rPr>
            </w:pPr>
            <w:r>
              <w:rPr>
                <w:rFonts w:ascii="Arial" w:cs="Arial" w:eastAsia="Arial" w:hAnsi="Arial"/>
                <w:sz w:val="18"/>
                <w:szCs w:val="18"/>
                <w:color w:val="auto"/>
              </w:rPr>
              <w:t>Restricted stock and restricted stock units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1,441,462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926,156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3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31,092</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2,244,323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1,946,685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Income Taxes</w:t>
            </w: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2"/>
          </w:tcPr>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6"/>
          </w:tcPr>
          <w:p>
            <w:pPr>
              <w:jc w:val="right"/>
              <w:ind w:right="78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(14,337)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(16,045)</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1,126</w:t>
            </w:r>
          </w:p>
        </w:tc>
        <w:tc>
          <w:tcPr>
            <w:tcW w:w="2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 recorded an income tax provision of $1.1 million and $1.3 million for the three months ended April 30, 2020 and 2019, respectively. The decrease in income tax expense was primarily due to a decrease in loss before income taxes as compared to the same period in the prior fiscal year, partially offset by a decrease in the proportion of profits generated in lower tax jurisdictions.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19" w:name="page20"/>
    <w:bookmarkEnd w:id="19"/>
    <w:p>
      <w:pPr>
        <w:ind w:right="60" w:firstLine="510"/>
        <w:spacing w:after="0" w:line="271" w:lineRule="auto"/>
        <w:rPr>
          <w:sz w:val="20"/>
          <w:szCs w:val="20"/>
          <w:color w:val="auto"/>
        </w:rPr>
      </w:pPr>
      <w:r>
        <w:rPr>
          <w:rFonts w:ascii="Arial" w:cs="Arial" w:eastAsia="Arial" w:hAnsi="Arial"/>
          <w:sz w:val="17"/>
          <w:szCs w:val="17"/>
          <w:color w:val="auto"/>
        </w:rPr>
        <w:t xml:space="preserve">On March 27, 2020, the Coronavirus Aid, Relief, and Economic Security Act (“CARES Act”), P.L. 116-136, was passed into law, amending portions of certain relevant US tax laws. The CARES Act includes a number of federal income tax law changes, including, but not limited to: 1) permitting net operating loss carrybacks to offset 100% of taxable income for taxable years beginning before 2021, 2) accelerating alternative minimum tax credit refunds, 3) temporarily increasing the allowable business interest deduction from 30% to 50% of adjusted taxable income, and 4) providing a technical correction for depreciation related to qualified improvement property. The CARES Act also provides for an Employee Retention Credit, a fully refundable payroll tax credit for certain eligible employers, and the ability for all eligible employers to defer payment of the employer share of payroll taxes owed on wages paid for the period ending December 31, 2020. </w:t>
      </w:r>
      <w:r>
        <w:rPr>
          <w:rFonts w:ascii="Arial" w:cs="Arial" w:eastAsia="Arial" w:hAnsi="Arial"/>
          <w:sz w:val="17"/>
          <w:szCs w:val="17"/>
          <w:color w:val="212529"/>
        </w:rPr>
        <w:t>The Company has preliminarily evaluated the impact of the CARES Act and does not expect it will</w:t>
      </w:r>
      <w:r>
        <w:rPr>
          <w:rFonts w:ascii="Arial" w:cs="Arial" w:eastAsia="Arial" w:hAnsi="Arial"/>
          <w:sz w:val="17"/>
          <w:szCs w:val="17"/>
          <w:color w:val="auto"/>
        </w:rPr>
        <w:t xml:space="preserve"> </w:t>
      </w:r>
      <w:r>
        <w:rPr>
          <w:rFonts w:ascii="Arial" w:cs="Arial" w:eastAsia="Arial" w:hAnsi="Arial"/>
          <w:sz w:val="17"/>
          <w:szCs w:val="17"/>
          <w:color w:val="212529"/>
        </w:rPr>
        <w:t>have a material impact on the Company’s condensed consolidated financial statements.</w:t>
      </w:r>
    </w:p>
    <w:p>
      <w:pPr>
        <w:spacing w:after="0" w:line="178"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The Company files federal and state income tax returns in the United States and in various foreign jurisdictions. The tax years 2013 to 2019 remain open to examination by U.S. federal tax authorities. The tax years 2009 to 2019 remain open to examination by U.S. state tax authorities. The tax years 2014 to 2019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5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April 30, 2020, the gross amount of unrecognized tax benefits was approximately $43.3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Manufacturer Commitments</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As of April 30, 2020 and January 31, 2020, total manufacturing purchase commitments were approximately $32.6 million and $35.9 million, respectively.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April 30, 2020 and January 31, 2020,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300" w:firstLine="510"/>
        <w:spacing w:after="0" w:line="301"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4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55"/>
        </w:trPr>
        <w:tc>
          <w:tcPr>
            <w:tcW w:w="4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40" w:type="dxa"/>
            <w:vAlign w:val="bottom"/>
            <w:gridSpan w:val="3"/>
          </w:tcPr>
          <w:p>
            <w:pPr>
              <w:jc w:val="right"/>
              <w:ind w:right="447"/>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34,460</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27,600</w:t>
            </w:r>
          </w:p>
        </w:tc>
        <w:tc>
          <w:tcPr>
            <w:tcW w:w="240" w:type="dxa"/>
            <w:vAlign w:val="bottom"/>
            <w:shd w:val="clear" w:color="auto" w:fill="CFF0FC"/>
          </w:tcPr>
          <w:p>
            <w:pPr>
              <w:spacing w:after="0"/>
              <w:rPr>
                <w:sz w:val="19"/>
                <w:szCs w:val="19"/>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Asia Pacific</w:t>
            </w:r>
          </w:p>
        </w:tc>
        <w:tc>
          <w:tcPr>
            <w:tcW w:w="1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14,028</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14,488</w:t>
            </w:r>
          </w:p>
        </w:tc>
        <w:tc>
          <w:tcPr>
            <w:tcW w:w="240" w:type="dxa"/>
            <w:vAlign w:val="bottom"/>
          </w:tcPr>
          <w:p>
            <w:pPr>
              <w:spacing w:after="0"/>
              <w:rPr>
                <w:sz w:val="21"/>
                <w:szCs w:val="2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240" w:type="dxa"/>
            <w:vAlign w:val="bottom"/>
            <w:shd w:val="clear" w:color="auto" w:fill="CFF0FC"/>
          </w:tcPr>
          <w:p>
            <w:pPr>
              <w:spacing w:after="0"/>
              <w:rPr>
                <w:sz w:val="19"/>
                <w:szCs w:val="19"/>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2,673</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Pr>
          <w:p>
            <w:pPr>
              <w:spacing w:after="0"/>
              <w:rPr>
                <w:sz w:val="21"/>
                <w:szCs w:val="2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2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FF0FC"/>
          </w:tcPr>
          <w:p>
            <w:pPr>
              <w:spacing w:after="0"/>
              <w:rPr>
                <w:sz w:val="19"/>
                <w:szCs w:val="19"/>
                <w:color w:val="auto"/>
              </w:rPr>
            </w:pPr>
          </w:p>
        </w:tc>
      </w:tr>
      <w:tr>
        <w:trPr>
          <w:trHeight w:val="237"/>
        </w:trPr>
        <w:tc>
          <w:tcPr>
            <w:tcW w:w="416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228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54,645</w:t>
            </w:r>
          </w:p>
        </w:tc>
        <w:tc>
          <w:tcPr>
            <w:tcW w:w="240" w:type="dxa"/>
            <w:vAlign w:val="bottom"/>
          </w:tcPr>
          <w:p>
            <w:pPr>
              <w:spacing w:after="0"/>
              <w:rPr>
                <w:sz w:val="20"/>
                <w:szCs w:val="20"/>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47,188</w:t>
            </w:r>
          </w:p>
        </w:tc>
        <w:tc>
          <w:tcPr>
            <w:tcW w:w="24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As of April 30, 2020, substantially all of the Company’s property and equipment, net, was located in the United States, Asia Pacific region and Europe with approximate net amounts of $1.7 million, $2.6 million and $1.0 million, respectively.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customers representing 10% or more of revenue and accounts receivable were Wintech and Chicony, which accounted for approximately 63% and 15% of total revenue for the three months ended April 30, 2020, respectively. For the three months ended April 30, 2019, the customers representing 10% or more of revenue and accounts receivable were Wintech and Chicony, which accounted for approximately 59% and 18% of total revenue, respectively. Accounts receivable with Wintech and Chicony was approximately $6.3 million and $8.7 million as of April 30, 2020, 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On May 29, 2019, the Company’s Board of Directors authorized a program to repurchase up to $50.0 million of the Company’s ordinary shares through June 30, 2020. On May 29, 2020, the Board approved an extension of this program for an additional twelve months ending June 30, 2021. The repurchase program does not obligate the Company to acquire any particular amount of ordinary shares, and it may be suspended at any time at the Company’s discretion. As of June 5, 2020, there were 25,719 shares repurchased and approximately $49.0 million available for repurchases under the program.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2020 and management’s discussion and analysis of our financial condition and results of operations included in our Annual Report on Form 10-K for the 2020 fiscal year filed with the Securities and Exchange Commission, or SEC, on March 27, 2020.</w:t>
      </w:r>
    </w:p>
    <w:p>
      <w:pPr>
        <w:spacing w:after="0" w:line="188"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and operating expenses,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are a leading developer of semiconductor solutions for video that enable high-definition, or HD, video capture, analysis, sharing and display. In the last ten years, we have primarily focused on providing video and image processors for professional and consumer camera devices, such as internet protocol, or IP, security cameras, wearable sports cameras, drones and aftermarket automotive video recorders. Over the last several years, our development efforts focused on creating advanced artificial intelligence, or AI, computer vision, or CV, algorithms and high-performance, low-power hardware platforms to enhance processing acceleration, which we refer to as our CVflow™ architecture. The CVflow architecture supports a variety of computer vision algorithms, including stereovision, object identification and motion detection, obstacle detection and avoidance, terrain mapping technology, and face recognition, and allows customers to differentiate their products by porting their own algorithms and neural networks to our CVflow-based chips. Our system-on-a-chip, or SoC, designs fully integrate HD video processing, image processing, AI, computer vision functionality, audio processing, and system functions onto a single chip, delivering exceptional video and image quality at high compression rates, differentiated functionality and low power consumption. These computer vision-based technologies are allowing us to address a broader range of markets and applications requiring AI video features, including IP security cameras, automotive cameras, consumer cameras, and industrial and robotic markets and applications.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right="160" w:firstLine="510"/>
        <w:spacing w:after="0" w:line="289" w:lineRule="auto"/>
        <w:rPr>
          <w:sz w:val="20"/>
          <w:szCs w:val="20"/>
          <w:color w:val="auto"/>
        </w:rPr>
      </w:pPr>
      <w:r>
        <w:rPr>
          <w:rFonts w:ascii="Arial" w:cs="Arial" w:eastAsia="Arial" w:hAnsi="Arial"/>
          <w:sz w:val="16"/>
          <w:szCs w:val="16"/>
          <w:color w:val="auto"/>
        </w:rPr>
        <w:t>Our revenue over the last three years has been generated primarily from sales of our SoC solutions for incorporation into specialized video and image capture devices such as wearable sports cameras, automotive aftermarket cameras, IP security cameras and cameras incorporated into drones. Our revenue from several of these markets, however, has recently experienced significant declines. As a result, we believe that our future revenue growth, if any, will significantly depend upon our ability to expand within the camera markets, particularly in the professional IP security and home security and monitoring camera markets, as well as emerging markets such as AI-enabled security cameras, AI-based driving applications, including auto-parking,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computer vision capabilities, and as we target new markets.</w:t>
      </w:r>
    </w:p>
    <w:p>
      <w:pPr>
        <w:spacing w:after="0" w:line="16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9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Volume production may begin within six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six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Financial Highlights and Trends</w:t>
      </w:r>
    </w:p>
    <w:p>
      <w:pPr>
        <w:spacing w:after="0" w:line="117" w:lineRule="exact"/>
        <w:rPr>
          <w:sz w:val="20"/>
          <w:szCs w:val="20"/>
          <w:color w:val="auto"/>
        </w:rPr>
      </w:pPr>
    </w:p>
    <w:p>
      <w:pPr>
        <w:ind w:left="1520" w:hanging="500"/>
        <w:spacing w:after="0" w:line="269" w:lineRule="auto"/>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recorded revenue of $54.6 million for the three months ended April 30, 2020, an increase of 15.8% as compared to the same period in the prior fiscal year. The increase in revenue was primarily attributable to higher revenue from the IP security camera, sports camera and drone markets. In the consumer IP security camera market, continued adoption of our solutions by new customers resulted in significant revenue growth in the home security and monitoring market in the North America region. In the professional IP security camera market, despite slow demand from our two largest China customers and lower demand in the Asia and Europe regions, shipment growth for our computer vision-based solutions in the North America region resulted in a net revenue increase for the three months ended April 30, 2020. Higher demand from Dajiang Innovation Technology Inc., or DJI, for our solutions resulted in higher revenue in the sports camera and drone markets in the first quarter of fiscal year 2021. The increased revenue was partially offset by decreased revenue in the automotive and other consumer markets, including the non-sports wearable cameras and virtual reality markets. In the automotive markets, despite customers’ initial purchases of our computer vision-based solutions in the OEM video recorder market, an overall slowdown in the automotive industry resulted in flat revenue in this market and decreased revenue in the automotive aftermarket for the three months ended April 30, 2020.</w:t>
      </w:r>
    </w:p>
    <w:p>
      <w:pPr>
        <w:spacing w:after="0" w:line="70" w:lineRule="exact"/>
        <w:rPr>
          <w:rFonts w:ascii="Arial" w:cs="Arial" w:eastAsia="Arial" w:hAnsi="Arial"/>
          <w:sz w:val="17"/>
          <w:szCs w:val="17"/>
          <w:color w:val="auto"/>
        </w:rPr>
      </w:pPr>
    </w:p>
    <w:p>
      <w:pPr>
        <w:ind w:left="1520" w:right="20" w:hanging="500"/>
        <w:spacing w:after="0" w:line="275" w:lineRule="auto"/>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recorded an operating loss of $15.6 million for the three months ended April 30, 2020, as compared to an operating loss of $18.2 million for the three months ended April 30, 2019. The decreased operating loss was primarily due to increased revenue, partially offset by a decrease in gross margin and increased operating expenses. The increase in operating expenses related primarily to increased engineering headcount and increased SoC development costs due to project timing and the number of chips in development, partially offset by decreased equipment expense and consulting services.</w:t>
      </w:r>
    </w:p>
    <w:p>
      <w:pPr>
        <w:spacing w:after="0" w:line="68" w:lineRule="exact"/>
        <w:rPr>
          <w:rFonts w:ascii="Arial" w:cs="Arial" w:eastAsia="Arial" w:hAnsi="Arial"/>
          <w:sz w:val="17"/>
          <w:szCs w:val="17"/>
          <w:color w:val="auto"/>
        </w:rPr>
      </w:pPr>
    </w:p>
    <w:p>
      <w:pPr>
        <w:ind w:left="1520" w:right="40" w:hanging="500"/>
        <w:spacing w:after="0" w:line="279" w:lineRule="auto"/>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generated cash flows from operating activities of $7.6 million for the three months ended April 30, 2020, as compared to $5.3 million for the three months ended April 30, 2019. The increased cash flows from operating activities were primarily due to increased revenue and increased liabilities associated with the timing of payments to suppliers. The increased cash flows from operating activities were partially offset by decreased cash receipts associated with the timing of payments from customers.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3" w:name="page24"/>
    <w:bookmarkEnd w:id="23"/>
    <w:p>
      <w:pPr>
        <w:ind w:left="1520" w:right="140" w:hanging="500"/>
        <w:spacing w:after="0" w:line="259"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16, 2020, we repurchased a total of 25,719 of our ordinary shares for approximately $1.0 million in cash. The repurchased shares were recorded as authorized but unissued shares. As of April 30, 2020, there was approximately $49.0 million available for repurchases under our repurchase program and such program has been extended for an additional twelve months through June 30,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i w:val="1"/>
          <w:iCs w:val="1"/>
          <w:color w:val="auto"/>
        </w:rPr>
        <w:t xml:space="preserve">COVID-19 Could Adversely Affect our Business in a Material Way. </w:t>
      </w:r>
      <w:r>
        <w:rPr>
          <w:rFonts w:ascii="Arial" w:cs="Arial" w:eastAsia="Arial" w:hAnsi="Arial"/>
          <w:sz w:val="16"/>
          <w:szCs w:val="16"/>
          <w:color w:val="auto"/>
        </w:rPr>
        <w:t>The COVID-19 pandemic has resulted in significant governmental measures</w:t>
      </w:r>
      <w:r>
        <w:rPr>
          <w:rFonts w:ascii="Arial" w:cs="Arial" w:eastAsia="Arial" w:hAnsi="Arial"/>
          <w:sz w:val="16"/>
          <w:szCs w:val="16"/>
          <w:i w:val="1"/>
          <w:iCs w:val="1"/>
          <w:color w:val="auto"/>
        </w:rPr>
        <w:t xml:space="preserve"> </w:t>
      </w:r>
      <w:r>
        <w:rPr>
          <w:rFonts w:ascii="Arial" w:cs="Arial" w:eastAsia="Arial" w:hAnsi="Arial"/>
          <w:sz w:val="16"/>
          <w:szCs w:val="16"/>
          <w:color w:val="auto"/>
        </w:rPr>
        <w:t>being implemented to control the spread of the virus, including, among others, restrictions on travel and the imposition of remote or work from home conditions in many of the locations where we have offices. While we have not yet experienced a significant disruption of our operations as a result of the COVID-19 pandemic, if the remote or work from home conditions in any of our offices continues for an extended period of time, we may experience delays in product development, a decreased ability to support our customers, reduced design win activity, and overall lack of productivity. Similarly, while we have not yet experienced a major disruption in our supply chain as a result of the COVID-19 pandemic, if there is a significant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demand for our solutions. For example, in the quarter ended April 30, 2020, we saw an overall slowdown in the automotive industry which negatively impacted our revenue related to our computer vision-based solutions in the OEM video recorder market. While we cannot quantify specific impacts of the COVID-19 pandemic or actions taken by governments and businesses in response thereto, our results of operations and financial condition may be negatively affected if we encounter supply chain problems, reductions in demand due to our customers or end customers having problems, or other unexpected COVID-19 ramifications.</w:t>
      </w:r>
    </w:p>
    <w:p>
      <w:pPr>
        <w:spacing w:after="0" w:line="17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 xml:space="preserve">Political and Trade Relations Between the United States and China Could Adversely Affect our Business in a Material Way. </w:t>
      </w:r>
      <w:r>
        <w:rPr>
          <w:rFonts w:ascii="Arial" w:cs="Arial" w:eastAsia="Arial" w:hAnsi="Arial"/>
          <w:sz w:val="17"/>
          <w:szCs w:val="17"/>
          <w:color w:val="auto"/>
        </w:rPr>
        <w:t>Trade tensions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and China have been escalating, which has, in our view, created and will continue to create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tariffs or trade restrictions, it is possible that China customers or potential customers could take actions to reduce dependence on the supply of components subject to United States trade laws, including our solutions.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In addition, the escalating social and political tensions in Hong Kong could, in the future, impact the operation of our warehouse facility in Hong Kong, through which a substantial majority of our finished SoCs are shipped to customers or logistic partners. Continued deterioration in political, social or economic conditions in Hong Kong or future actions by the Chinese or U.S. governments, could possibly result in business interruptions, substantially delayed or lost sales, loss of inventory, or increased expenses. The materialization of these risks could have a material adverse effect on our business.</w:t>
      </w:r>
    </w:p>
    <w:p>
      <w:pPr>
        <w:spacing w:after="0" w:line="17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i w:val="1"/>
          <w:iCs w:val="1"/>
          <w:color w:val="auto"/>
        </w:rPr>
        <w:t>Ability to Capitalize on Computer Vision Trends</w:t>
      </w:r>
      <w:r>
        <w:rPr>
          <w:rFonts w:ascii="Arial" w:cs="Arial" w:eastAsia="Arial" w:hAnsi="Arial"/>
          <w:sz w:val="17"/>
          <w:szCs w:val="17"/>
          <w:color w:val="auto"/>
        </w:rPr>
        <w:t>. We expect that computer vision functionality will become an increasingly important requirement in</w:t>
      </w:r>
      <w:r>
        <w:rPr>
          <w:rFonts w:ascii="Arial" w:cs="Arial" w:eastAsia="Arial" w:hAnsi="Arial"/>
          <w:sz w:val="17"/>
          <w:szCs w:val="17"/>
          <w:i w:val="1"/>
          <w:iCs w:val="1"/>
          <w:color w:val="auto"/>
        </w:rPr>
        <w:t xml:space="preserve"> </w:t>
      </w:r>
      <w:r>
        <w:rPr>
          <w:rFonts w:ascii="Arial" w:cs="Arial" w:eastAsia="Arial" w:hAnsi="Arial"/>
          <w:sz w:val="17"/>
          <w:szCs w:val="17"/>
          <w:color w:val="auto"/>
        </w:rPr>
        <w:t>many of our current and future markets, including IP security, automotive, and industrial and robotics, and certain consumer markets. As a result, we believe that our ability to develop advanced AI computer vision technology, enable and support customer product development in emerging applications, such as ADAS, advanced blind spot detection, object detection,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7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i w:val="1"/>
          <w:iCs w:val="1"/>
          <w:color w:val="auto"/>
        </w:rPr>
        <w:t>Ability to Develop and Introduce New or Enhanced Solutions</w:t>
      </w:r>
      <w:r>
        <w:rPr>
          <w:rFonts w:ascii="Arial" w:cs="Arial" w:eastAsia="Arial" w:hAnsi="Arial"/>
          <w:sz w:val="18"/>
          <w:szCs w:val="18"/>
          <w:color w:val="auto"/>
        </w:rPr>
        <w:t>. We operate in a dynamic environment characterized by rapidly changing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right="40" w:firstLine="510"/>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78"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i w:val="1"/>
          <w:iCs w:val="1"/>
          <w:color w:val="auto"/>
        </w:rPr>
        <w:t>Continued Concentration of Revenue by End Market</w:t>
      </w:r>
      <w:r>
        <w:rPr>
          <w:rFonts w:ascii="Arial" w:cs="Arial" w:eastAsia="Arial" w:hAnsi="Arial"/>
          <w:sz w:val="17"/>
          <w:szCs w:val="17"/>
          <w:color w:val="auto"/>
        </w:rPr>
        <w:t>. Historically, our revenue has been significantly concentrated in a small number of end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and we developed technologies to provide solutions for new markets as they emerged, such as the sports camera, IP security,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i w:val="1"/>
          <w:iCs w:val="1"/>
          <w:color w:val="auto"/>
        </w:rPr>
        <w:t>Ability to Capitalize on Connectivity Trends</w:t>
      </w:r>
      <w:r>
        <w:rPr>
          <w:rFonts w:ascii="Arial" w:cs="Arial" w:eastAsia="Arial" w:hAnsi="Arial"/>
          <w:sz w:val="16"/>
          <w:szCs w:val="16"/>
          <w:color w:val="auto"/>
        </w:rPr>
        <w:t>. Mobile connected devices are ubiquitous today and play an increasingly prominent role in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drone cameras allow consumers to quickly stream or upload video and images to social media platforms.</w:t>
      </w:r>
    </w:p>
    <w:p>
      <w:pPr>
        <w:spacing w:after="0" w:line="16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i w:val="1"/>
          <w:iCs w:val="1"/>
          <w:color w:val="auto"/>
        </w:rPr>
        <w:t>Sales Volume</w:t>
      </w:r>
      <w:r>
        <w:rPr>
          <w:rFonts w:ascii="Arial" w:cs="Arial" w:eastAsia="Arial" w:hAnsi="Arial"/>
          <w:sz w:val="17"/>
          <w:szCs w:val="17"/>
          <w:color w:val="auto"/>
        </w:rPr>
        <w:t>. A typical design win that successfully launches into the marketplace can generate a wide range of sales volumes for our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20" w:firstLine="510"/>
        <w:spacing w:after="0" w:line="255"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six to 18 months following a design win; however, in some markets, more lengthy product and development cycles are possible, depending on the scope and nature of the project, such as in the automotive OEM market. A portable consumer device typically has a product life cycle of six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April 30,</w:t>
            </w:r>
          </w:p>
        </w:tc>
      </w:tr>
      <w:tr>
        <w:trPr>
          <w:trHeight w:val="155"/>
        </w:trPr>
        <w:tc>
          <w:tcPr>
            <w:tcW w:w="53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5"/>
          </w:tcPr>
          <w:p>
            <w:pPr>
              <w:jc w:val="right"/>
              <w:ind w:right="472"/>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54,645</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46,094</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(18,241)</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(16,045)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4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(17,311)</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220" w:type="dxa"/>
            <w:vAlign w:val="bottom"/>
          </w:tcPr>
          <w:p>
            <w:pPr>
              <w:spacing w:after="0"/>
              <w:rPr>
                <w:sz w:val="14"/>
                <w:szCs w:val="14"/>
                <w:color w:val="auto"/>
              </w:rPr>
            </w:pPr>
          </w:p>
        </w:tc>
      </w:tr>
      <w:tr>
        <w:trPr>
          <w:trHeight w:val="156"/>
        </w:trPr>
        <w:tc>
          <w:tcPr>
            <w:tcW w:w="520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2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7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9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92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2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3"/>
        </w:trPr>
        <w:tc>
          <w:tcPr>
            <w:tcW w:w="5200" w:type="dxa"/>
            <w:vAlign w:val="bottom"/>
          </w:tcPr>
          <w:p>
            <w:pPr>
              <w:ind w:left="480"/>
              <w:spacing w:after="0"/>
              <w:rPr>
                <w:sz w:val="20"/>
                <w:szCs w:val="20"/>
                <w:color w:val="auto"/>
              </w:rPr>
            </w:pPr>
            <w:r>
              <w:rPr>
                <w:rFonts w:ascii="Arial" w:cs="Arial" w:eastAsia="Arial" w:hAnsi="Arial"/>
                <w:sz w:val="18"/>
                <w:szCs w:val="18"/>
                <w:color w:val="auto"/>
              </w:rPr>
              <w:t>Loss from operations</w:t>
            </w: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520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7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3"/>
        </w:trPr>
        <w:tc>
          <w:tcPr>
            <w:tcW w:w="52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derive substantially all of our revenue from the sale of HD and Ultra HD video and image processing SoC solutions to IP security OEMs, IP security ODMs, OEM automotive or Tier-1 automotive suppliers,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video recorder markets, to continue to generate revenue for the foreseeable future, we have recently introduced new SoCs targeting emerging computer vision applications in the IP security, OEM automotive and industrial and robotics markets. We derive a substantial portion of our revenue from sales made indirectly through one of our distributors, Wintech Microelectronics Co., Ltd., or Wintech, and directly to one of our ODM customers, Chicony Electronics Co., Ltd., or Chicony.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 w:name="page27"/>
    <w:bookmarkEnd w:id="26"/>
    <w:p>
      <w:pPr>
        <w:ind w:right="40" w:firstLine="510"/>
        <w:spacing w:after="0" w:line="255" w:lineRule="auto"/>
        <w:rPr>
          <w:sz w:val="20"/>
          <w:szCs w:val="20"/>
          <w:color w:val="auto"/>
        </w:rPr>
      </w:pPr>
      <w:r>
        <w:rPr>
          <w:rFonts w:ascii="Arial" w:cs="Arial" w:eastAsia="Arial" w:hAnsi="Arial"/>
          <w:sz w:val="18"/>
          <w:szCs w:val="18"/>
          <w:color w:val="auto"/>
        </w:rPr>
        <w:t>We have historically experienced seasonal fluctuations in our quarterly revenue with our third fiscal quarter normally being the highest revenue quarter. This fluctuation has been driven primarily by increased sales in IP security and consumer camera markets as our customers build inventories in preparation for the holiday shopping season.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192"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expect that our gross margin may fluctuate from period to period as a result of changes in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net, consists primarily of interest and other income from debt security investments and cash deposits with financial institutions.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00" w:firstLine="47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5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0" w:lineRule="exact"/>
        <w:rPr>
          <w:sz w:val="20"/>
          <w:szCs w:val="20"/>
          <w:color w:val="auto"/>
        </w:rPr>
      </w:pPr>
    </w:p>
    <w:p>
      <w:pPr>
        <w:ind w:right="120" w:firstLine="47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3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3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20" w:type="dxa"/>
            <w:vAlign w:val="bottom"/>
            <w:gridSpan w:val="3"/>
          </w:tcPr>
          <w:p>
            <w:pPr>
              <w:jc w:val="right"/>
              <w:ind w:right="387"/>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4"/>
              </w:rPr>
              <w:t>54,645</w:t>
            </w:r>
          </w:p>
        </w:tc>
        <w:tc>
          <w:tcPr>
            <w:tcW w:w="10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47,188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93"/>
              </w:rPr>
              <w:t>7,457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r>
    </w:tbl>
    <w:p>
      <w:pPr>
        <w:spacing w:after="0" w:line="20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increased revenue for the three months ended April 30, 2020, as compared to the same period in the prior fiscal year, was primarily attributable to higher revenue from the IP security camera, sports camera and drone markets. In the consumer IP security camera market, continued adoption of our solutions by new customers resulted in significant revenue growth in the home security and monitoring market in the North America region. In the professional IP security camera market, despite slow demand from our two largest China customers and lower demand in the Asia and Europe regions, shipment growth for our computer vision-based solutions in the North America region resulted in a net revenue increase for the three months ended April 30, 2020. Higher demand from DJI for our solutions resulted in higher revenue in the sports camera and drone markets in the first quarter of fiscal year 2021. The increased revenue was partially offset by decreased revenue in the automotive and other consumer markets, including the non-sports wearable cameras and virtual reality markets. In the automotive markets, despite customers’ initial purchases of our computer vision-based solutions in the OEM video recorder market, an overall slowdown in the automotive industry resulted in flat revenue in this market and decreased revenue in the automotive aftermarket for the three months ended April 30, 2020.</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2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5"/>
        </w:trPr>
        <w:tc>
          <w:tcPr>
            <w:tcW w:w="2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80" w:type="dxa"/>
            <w:vAlign w:val="bottom"/>
            <w:gridSpan w:val="4"/>
          </w:tcPr>
          <w:p>
            <w:pPr>
              <w:jc w:val="right"/>
              <w:ind w:right="44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9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0"/>
              </w:rPr>
              <w:t>22,625</w:t>
            </w:r>
          </w:p>
        </w:tc>
        <w:tc>
          <w:tcPr>
            <w:tcW w:w="94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19,335</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88"/>
              </w:rPr>
              <w:t>3,290</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w:t>
            </w: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w w:val="90"/>
              </w:rPr>
              <w:t>32,020</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27,853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jc w:val="right"/>
              <w:ind w:right="555"/>
              <w:spacing w:after="0"/>
              <w:rPr>
                <w:sz w:val="20"/>
                <w:szCs w:val="20"/>
                <w:color w:val="auto"/>
              </w:rPr>
            </w:pPr>
            <w:r>
              <w:rPr>
                <w:rFonts w:ascii="Arial" w:cs="Arial" w:eastAsia="Arial" w:hAnsi="Arial"/>
                <w:sz w:val="18"/>
                <w:szCs w:val="18"/>
                <w:color w:val="auto"/>
                <w:w w:val="88"/>
              </w:rPr>
              <w:t>4,167</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58.6%</w:t>
            </w: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r>
    </w:tbl>
    <w:p>
      <w:pPr>
        <w:spacing w:after="0" w:line="202"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Cost of revenue increased for the three months ended April 30, 2020, as compared to the same period in the prior fiscal year, primarily due to higher volumes of SoC shipments associated with increased revenue in the IP security camera, sports camera and drone markets.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8" w:name="page29"/>
    <w:bookmarkEnd w:id="28"/>
    <w:p>
      <w:pPr>
        <w:ind w:right="100" w:firstLine="510"/>
        <w:spacing w:after="0" w:line="279" w:lineRule="auto"/>
        <w:rPr>
          <w:sz w:val="20"/>
          <w:szCs w:val="20"/>
          <w:color w:val="auto"/>
        </w:rPr>
      </w:pPr>
      <w:r>
        <w:rPr>
          <w:rFonts w:ascii="Arial" w:cs="Arial" w:eastAsia="Arial" w:hAnsi="Arial"/>
          <w:sz w:val="17"/>
          <w:szCs w:val="17"/>
          <w:color w:val="auto"/>
        </w:rPr>
        <w:t>Gross margin decreased for the three months ended April 30, 2020, as compared to the same period in the prior fiscal year, primarily due to a large percentage of our total revenue coming from the professional IP security camera market, which continued to have lower gross margins over the periods, principally in the China region. The decreased gross margin was partially offset by a shift in revenue composition to the higher gross margin consumer IP security camera market in the North America region and drone market for the three months ended April 30, 2020.</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3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20" w:type="dxa"/>
            <w:vAlign w:val="bottom"/>
            <w:gridSpan w:val="3"/>
          </w:tcPr>
          <w:p>
            <w:pPr>
              <w:jc w:val="right"/>
              <w:ind w:right="387"/>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4"/>
              </w:rPr>
              <w:t>34,200</w:t>
            </w:r>
          </w:p>
        </w:tc>
        <w:tc>
          <w:tcPr>
            <w:tcW w:w="10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33,017</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93"/>
              </w:rPr>
              <w:t>1,183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Research and development expense increased for the three months ended April 30, 2020, as compared to the same period in the prior fiscal year, primarily due to increased engineering headcount associated with computer vision technology development, as well as increased SoC development cost. Our engineering headcount increased to 564 at April 30, 2020 compared to 557 at April 30, 2019, which resulted in an increase in salary and employee benefit related expenses of approximately $0.3 million in the first quarter of fiscal year 2021. SoC development cost increased by approximately $1.1 million, as compared to the same period in the prior fiscal year, due to project timing and number of chips in development. The increases were partially offset by approximately $0.4 million less in expenditures on contractor services caused by COVID-19 pandemic restrictions for the three months ended April 30, 2020.</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336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00" w:type="dxa"/>
            <w:vAlign w:val="bottom"/>
            <w:gridSpan w:val="3"/>
          </w:tcPr>
          <w:p>
            <w:pPr>
              <w:jc w:val="right"/>
              <w:ind w:right="467"/>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4"/>
              </w:rPr>
              <w:t>13,435</w:t>
            </w:r>
          </w:p>
        </w:tc>
        <w:tc>
          <w:tcPr>
            <w:tcW w:w="10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13,077</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rPr>
              <w:t>358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Selling, general and administrative expense increased for the three months ended April 30, 2020, as compared to the same period in the prior fiscal year, primarily due to increased employee compensation expenses by approximately $0.4 million as a result of salary increases, as well as increased professional services by approximately $0.2 million. The increases were partially offset by approximately $0.2 million less expenditures on marketing activities caused by COVID-19 pandemic restrictions for the three months ended April 30, 2020.</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5"/>
        </w:trPr>
        <w:tc>
          <w:tcPr>
            <w:tcW w:w="2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gridSpan w:val="3"/>
          </w:tcPr>
          <w:p>
            <w:pPr>
              <w:jc w:val="right"/>
              <w:ind w:right="42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98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1,278</w:t>
            </w:r>
          </w:p>
        </w:tc>
        <w:tc>
          <w:tcPr>
            <w:tcW w:w="10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28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rPr>
              <w:t>(918)</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w:t>
            </w:r>
          </w:p>
        </w:tc>
      </w:tr>
    </w:tbl>
    <w:p>
      <w:pPr>
        <w:spacing w:after="0" w:line="20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decrease in other income, net, for the three months ended April 30, 2020, as compared to the same period in the prior fiscal year, was primarily due to approximately $0.4 million lower amortization of debt discounts due to a large volume of debt securities matured or sold during the period, as well as an approximately $0.3 million subsidy granted from a foreign government related to research and development activities during the first quarter of fiscal year 2020 that did not recur in the first quarter of fiscal year 2021. The decrease was also attributable to approximately $0.2 million lower interest income due to lower interest rates during the COVID-19 pandemic period.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96"/>
              </w:rPr>
              <w:t>Three Months Ended April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ind w:right="1419"/>
              <w:spacing w:after="0"/>
              <w:rPr>
                <w:sz w:val="20"/>
                <w:szCs w:val="20"/>
                <w:color w:val="auto"/>
              </w:rPr>
            </w:pPr>
            <w:r>
              <w:rPr>
                <w:rFonts w:ascii="Arial" w:cs="Arial" w:eastAsia="Arial" w:hAnsi="Arial"/>
                <w:sz w:val="14"/>
                <w:szCs w:val="14"/>
                <w:b w:val="1"/>
                <w:bCs w:val="1"/>
                <w:color w:val="auto"/>
                <w:w w:val="93"/>
              </w:rPr>
              <w:t>Change</w:t>
            </w:r>
          </w:p>
        </w:tc>
      </w:tr>
      <w:tr>
        <w:trPr>
          <w:trHeight w:val="155"/>
        </w:trPr>
        <w:tc>
          <w:tcPr>
            <w:tcW w:w="2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739"/>
              <w:spacing w:after="0" w:line="155" w:lineRule="exact"/>
              <w:rPr>
                <w:sz w:val="20"/>
                <w:szCs w:val="20"/>
                <w:color w:val="auto"/>
              </w:rPr>
            </w:pPr>
            <w:r>
              <w:rPr>
                <w:rFonts w:ascii="Arial" w:cs="Arial" w:eastAsia="Arial" w:hAnsi="Arial"/>
                <w:sz w:val="14"/>
                <w:szCs w:val="14"/>
                <w:b w:val="1"/>
                <w:bCs w:val="1"/>
                <w:color w:val="auto"/>
              </w:rPr>
              <w:t>%</w:t>
            </w:r>
          </w:p>
        </w:tc>
      </w:tr>
      <w:tr>
        <w:trPr>
          <w:trHeight w:val="155"/>
        </w:trPr>
        <w:tc>
          <w:tcPr>
            <w:tcW w:w="2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0" w:type="dxa"/>
            <w:vAlign w:val="bottom"/>
            <w:gridSpan w:val="3"/>
          </w:tcPr>
          <w:p>
            <w:pPr>
              <w:jc w:val="right"/>
              <w:ind w:right="228"/>
              <w:spacing w:after="0" w:line="155"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52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120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1,266</w:t>
            </w:r>
          </w:p>
        </w:tc>
        <w:tc>
          <w:tcPr>
            <w:tcW w:w="132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(11.1)%</w:t>
            </w:r>
          </w:p>
        </w:tc>
      </w:tr>
      <w:tr>
        <w:trPr>
          <w:trHeight w:val="250"/>
        </w:trPr>
        <w:tc>
          <w:tcPr>
            <w:tcW w:w="2580" w:type="dxa"/>
            <w:vAlign w:val="bottom"/>
          </w:tcPr>
          <w:p>
            <w:pPr>
              <w:spacing w:after="0"/>
              <w:rPr>
                <w:sz w:val="20"/>
                <w:szCs w:val="20"/>
                <w:color w:val="auto"/>
              </w:rPr>
            </w:pPr>
            <w:r>
              <w:rPr>
                <w:rFonts w:ascii="Arial" w:cs="Arial" w:eastAsia="Arial" w:hAnsi="Arial"/>
                <w:sz w:val="18"/>
                <w:szCs w:val="18"/>
                <w:color w:val="auto"/>
              </w:rPr>
              <w:t>Effective tax rate</w:t>
            </w: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1200" w:type="dxa"/>
            <w:vAlign w:val="bottom"/>
          </w:tcPr>
          <w:p>
            <w:pPr>
              <w:jc w:val="right"/>
              <w:ind w:right="91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9"/>
              <w:spacing w:after="0"/>
              <w:rPr>
                <w:sz w:val="20"/>
                <w:szCs w:val="20"/>
                <w:color w:val="auto"/>
              </w:rPr>
            </w:pPr>
            <w:r>
              <w:rPr>
                <w:rFonts w:ascii="Arial" w:cs="Arial" w:eastAsia="Arial" w:hAnsi="Arial"/>
                <w:sz w:val="18"/>
                <w:szCs w:val="18"/>
                <w:color w:val="auto"/>
              </w:rPr>
              <w:t>0.0</w:t>
            </w:r>
            <w:r>
              <w:rPr>
                <w:rFonts w:ascii="Arial" w:cs="Arial" w:eastAsia="Arial" w:hAnsi="Arial"/>
                <w:sz w:val="19"/>
                <w:szCs w:val="19"/>
                <w:color w:val="auto"/>
              </w:rPr>
              <w:t>%</w:t>
            </w:r>
          </w:p>
        </w:tc>
      </w:tr>
    </w:tbl>
    <w:p>
      <w:pPr>
        <w:spacing w:after="0" w:line="19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9" w:name="page30"/>
    <w:bookmarkEnd w:id="29"/>
    <w:p>
      <w:pPr>
        <w:jc w:val="both"/>
        <w:ind w:right="560" w:firstLine="510"/>
        <w:spacing w:after="0" w:line="342" w:lineRule="auto"/>
        <w:rPr>
          <w:sz w:val="20"/>
          <w:szCs w:val="20"/>
          <w:color w:val="auto"/>
        </w:rPr>
      </w:pPr>
      <w:r>
        <w:rPr>
          <w:rFonts w:ascii="Arial" w:cs="Arial" w:eastAsia="Arial" w:hAnsi="Arial"/>
          <w:sz w:val="16"/>
          <w:szCs w:val="16"/>
          <w:color w:val="auto"/>
        </w:rPr>
        <w:t>The decrease in income tax expense for the three months ended April 30, 2020, as compared to the same period in the prior fiscal year, was primarily due to a decrease in loss before income taxes, partially offset by the decrease in proportion of profits generated in lower-tax jurisdictions.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As of April 30, 2020 and January 31, 2020, we had cash, cash equivalents and marketable debt securities of approximately $411.3 million and $404.7 million, respectively. We invest in highly liquid, short-term marketable debt securities and hold these investments as available-for-sale securities. As of April 30, 2020, these securities had a fair value of approximately $211.8 million with unrealized losses of approximately $0.6 million caused by fluctuations in the stock market.</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90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gridSpan w:val="3"/>
          </w:tcPr>
          <w:p>
            <w:pPr>
              <w:jc w:val="right"/>
              <w:ind w:right="427"/>
              <w:spacing w:after="0" w:line="155"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(2,164)</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3,122</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(293)</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80" w:type="dxa"/>
            <w:vAlign w:val="bottom"/>
            <w:shd w:val="clear" w:color="auto" w:fill="CFF0FC"/>
          </w:tcPr>
          <w:p>
            <w:pPr>
              <w:spacing w:after="0"/>
              <w:rPr>
                <w:sz w:val="19"/>
                <w:szCs w:val="19"/>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10,397</w:t>
            </w: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Net cash provided by operating activities increased for the three months ended April 30, 2020, as compared to the same period in the prior fiscal year, primarily due to increased revenue and increased liabilities associated with the timing of payments to suppliers. The increased cash flows from operating activities were partially offset by decreased cash receipts associated with the timing of payments from customers.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cash used in investing activities increased for the three months ended April 30, 2020, as compared to the same period in the prior fiscal year, primarily due to approximately $13.5 million of additional investments in debt securities. The increase was partially offset by an additional $8.1 million of cash receipts from the sale and maturity of debt securities.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right="220" w:firstLine="510"/>
        <w:spacing w:after="0" w:line="311" w:lineRule="auto"/>
        <w:rPr>
          <w:sz w:val="20"/>
          <w:szCs w:val="20"/>
          <w:color w:val="auto"/>
        </w:rPr>
      </w:pPr>
      <w:r>
        <w:rPr>
          <w:rFonts w:ascii="Arial" w:cs="Arial" w:eastAsia="Arial" w:hAnsi="Arial"/>
          <w:sz w:val="16"/>
          <w:szCs w:val="16"/>
          <w:color w:val="auto"/>
        </w:rPr>
        <w:t>Net cash provided by financing activities decreased for the three months ended April 30, 2020, as compared to the same period in the prior fiscal year, primarily due to $1.0 million of cash used for the repurchasing of our ordinary shares under the stock repurchase program. The decrease was also attributable to approximately $1.0 million of less cash proceeds from option exercises and employee stock purchase withholding.</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Since the inception of the repurchase programs in June 2016, a total of $275.0 million has been authorized for repurchase, and to date, we have repurchased a total of 4,011,595 shares for approximately $175.8 million in cash under the programs. As of April 30, 2020, $49.0 million remained available for repurchases under the current repurchase program through June 30, 2020, and such program has been extended for an additional twelve months through June 30, 2021.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As of April 30, 2020, we had cash, cash equivalents and marketable debt securities of approximately $411.3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magnitude and duration of COVID-19 impact;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20" w:right="380" w:hanging="500"/>
        <w:spacing w:after="0" w:line="277"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2020, we had purchase obligations with our independent contract manufacturers of $32.6 million.</w:t>
      </w:r>
    </w:p>
    <w:p>
      <w:pPr>
        <w:spacing w:after="0" w:line="225"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Except as described above with respect to the manufacturing purchase obligations, there were no other material changes in our contractual obligations, commitments and contingencies from those disclosed in our Annual Report on Form 10-K for the fiscal year ended January 31, 2020. Please see Item 7, “Management’s Discussion and Analysis of Financial Condition and Results of Operations – Contractual Obligations, Commitments and Contingencies” in our Annual Report on Form 10-K for the fiscal year ended January 31, 2020 for a description of our contractual obligations.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As of April 30, 2020, we did not engage in any off-balance sheet arrangements, including the use of structured finance, special purpose entities or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20" w:firstLine="578"/>
        <w:spacing w:after="0" w:line="311"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2020 fiscal year filed with the SEC on March 27, 2020, except for the recently adopted accounting guidance on measurement of credit losses on financial instruments as discussed in Notes 1 and 2 of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As of April 30, 2020 and January 31, 2020, we had cash, cash equivalents and marketable debt securities totaling $411.3 million and $404.7 million, respectively. Our cash is deposited in checking accounts with reputable financial institutions. The cash equivalents and marketable debt securities consist primarily of investments in money market funds, asset-backed securities, commercial paper, U.S. government securities, and debt securities of corporations. Our cash is held for working capital purposes. We do not enter into investments for trading or speculative purposes.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 xml:space="preserve">The primary objectives of our investment activities are to preserve capital, provide liquidity and maximize income without significantly increasing risk. Some of the securities we invest in are subject to market risk. This means that a change in prevailing interest rates may </w:t>
      </w:r>
      <w:r>
        <w:rPr>
          <w:rFonts w:ascii="Arial" w:cs="Arial" w:eastAsia="Arial" w:hAnsi="Arial"/>
          <w:sz w:val="17"/>
          <w:szCs w:val="17"/>
          <w:color w:val="212529"/>
        </w:rPr>
        <w:t>affect the interest income on</w:t>
      </w:r>
      <w:r>
        <w:rPr>
          <w:rFonts w:ascii="Arial" w:cs="Arial" w:eastAsia="Arial" w:hAnsi="Arial"/>
          <w:sz w:val="17"/>
          <w:szCs w:val="17"/>
          <w:color w:val="auto"/>
        </w:rPr>
        <w:t xml:space="preserve"> </w:t>
      </w:r>
      <w:r>
        <w:rPr>
          <w:rFonts w:ascii="Arial" w:cs="Arial" w:eastAsia="Arial" w:hAnsi="Arial"/>
          <w:sz w:val="17"/>
          <w:szCs w:val="17"/>
          <w:color w:val="212529"/>
        </w:rPr>
        <w:t>our cash, cash equivalents and marketable debt securities, and the market value of those securities</w:t>
      </w:r>
      <w:r>
        <w:rPr>
          <w:rFonts w:ascii="Arial" w:cs="Arial" w:eastAsia="Arial" w:hAnsi="Arial"/>
          <w:sz w:val="17"/>
          <w:szCs w:val="17"/>
          <w:color w:val="000000"/>
        </w:rPr>
        <w:t>. To minimize this risk, we maintain our portfolio in a</w:t>
      </w:r>
      <w:r>
        <w:rPr>
          <w:rFonts w:ascii="Arial" w:cs="Arial" w:eastAsia="Arial" w:hAnsi="Arial"/>
          <w:sz w:val="17"/>
          <w:szCs w:val="17"/>
          <w:color w:val="212529"/>
        </w:rPr>
        <w:t xml:space="preserve"> </w:t>
      </w:r>
      <w:r>
        <w:rPr>
          <w:rFonts w:ascii="Arial" w:cs="Arial" w:eastAsia="Arial" w:hAnsi="Arial"/>
          <w:sz w:val="17"/>
          <w:szCs w:val="17"/>
          <w:color w:val="000000"/>
        </w:rPr>
        <w:t>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and the Chinese Yuan Renminbi. Our results of operations and cash flows are subject to fluctuations due to changes in foreign currency exchange rates, particularly with respect to a strengthening of the U.S. dollar.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Based upon such evaluation, our Chief Executive Officer and Chief Financial Officer have concluded that, as of April 30, 2020, our disclosure controls and procedures were effective at the reasonable assurance level.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 xml:space="preserve">We adopted </w:t>
      </w:r>
      <w:r>
        <w:rPr>
          <w:rFonts w:ascii="Arial" w:cs="Arial" w:eastAsia="Arial" w:hAnsi="Arial"/>
          <w:sz w:val="16"/>
          <w:szCs w:val="16"/>
          <w:color w:val="212529"/>
        </w:rPr>
        <w:t>Accounting Standards Update (“ASU”) No. 2016-13, Financial Instruments-Credit Losses (Topic 326): Measurement of Credit Losses</w:t>
      </w:r>
      <w:r>
        <w:rPr>
          <w:rFonts w:ascii="Arial" w:cs="Arial" w:eastAsia="Arial" w:hAnsi="Arial"/>
          <w:sz w:val="16"/>
          <w:szCs w:val="16"/>
          <w:color w:val="auto"/>
        </w:rPr>
        <w:t xml:space="preserve"> </w:t>
      </w:r>
      <w:r>
        <w:rPr>
          <w:rFonts w:ascii="Arial" w:cs="Arial" w:eastAsia="Arial" w:hAnsi="Arial"/>
          <w:sz w:val="16"/>
          <w:szCs w:val="16"/>
          <w:color w:val="212529"/>
        </w:rPr>
        <w:t>on Financial Instruments</w:t>
      </w:r>
      <w:r>
        <w:rPr>
          <w:rFonts w:ascii="Arial" w:cs="Arial" w:eastAsia="Arial" w:hAnsi="Arial"/>
          <w:sz w:val="16"/>
          <w:szCs w:val="16"/>
          <w:color w:val="000000"/>
        </w:rPr>
        <w:t>, on February 1, 2020. As a result, we have enhanced our processes and controls to address the new measurement standard. Other</w:t>
      </w:r>
      <w:r>
        <w:rPr>
          <w:rFonts w:ascii="Arial" w:cs="Arial" w:eastAsia="Arial" w:hAnsi="Arial"/>
          <w:sz w:val="16"/>
          <w:szCs w:val="16"/>
          <w:color w:val="212529"/>
        </w:rPr>
        <w:t xml:space="preserve"> </w:t>
      </w:r>
      <w:r>
        <w:rPr>
          <w:rFonts w:ascii="Arial" w:cs="Arial" w:eastAsia="Arial" w:hAnsi="Arial"/>
          <w:sz w:val="16"/>
          <w:szCs w:val="16"/>
          <w:color w:val="000000"/>
        </w:rPr>
        <w:t>than that, there were no changes in our internal control over financial reporting during the Company’s fiscal quarter ended April 30, 2020 that have materially affected, or are reasonably likely to materially affect, the Company’s internal control over financial reporting.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in a material way.</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The global COVID-19 pandemic has significantly affected the populations of the United States, Italy, China and many other countries. The outbreak has resulted in significant governmental measures being implemented to control the spread of COVID-19, including, among others, shelter in place orders and restrictions on travel, manufacturing and the movement of employees in many regions of the world, as well as responsive measures from businesses. As a result, we have had to impose remote or work from home conditions in many of our offices, including the United States, Italy, Japan and South Korea. The majority of our SoCs are manufactured in South Korea and assembled and tested by third parties in Taiwan. In addition, certain of our logistics and shipping operations are in Taiwan and Hong Kong. If any of our third party assembly and testing partners or our logistics and shipping operations are unable to operate efficiently or at all due to responsive measures to COVID-19, we may experience delays in our supply chain and be unable to meet our customers’ expectations and requirements. We also have operations in China. If remote or work from home conditions in any of our offices continue for an extended period of time, we may experience delays in product development, a decreased ability to support our customers, reduced design win activity, and overall lack of productivity. Similarly, our customers and potential customers may also experience delays in the development of their products, reduced sales activity, decreased ability to support their customers, closures of their manufacturing facilities or inability to obtain other components, as a result of measures implemented to control the spread of COVID-19. COVID-19 has negatively impacted the overall global economy and, as a result of, may negatively impact demand for our customers’ products and, in turn, impact demand for our solutions. If COVID-19 continues to progress in ways that further disrupt the manufacture, shipment and buying patterns of the products of our customers or our products, or further deteriorates the global economy, it may materially negatively impact our operating results for the second quarter of fiscal 2021 and subsequent periods, including revenue, gross margins, operating margins, cash flows and other operating results and our overall business.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ind w:firstLine="510"/>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49" w:lineRule="exact"/>
        <w:rPr>
          <w:sz w:val="20"/>
          <w:szCs w:val="20"/>
          <w:color w:val="auto"/>
        </w:rPr>
      </w:pPr>
    </w:p>
    <w:p>
      <w:pPr>
        <w:ind w:right="40" w:firstLine="510"/>
        <w:spacing w:after="0" w:line="252" w:lineRule="auto"/>
        <w:rPr>
          <w:sz w:val="20"/>
          <w:szCs w:val="20"/>
          <w:color w:val="auto"/>
        </w:rPr>
      </w:pPr>
      <w:r>
        <w:rPr>
          <w:rFonts w:ascii="Arial" w:cs="Arial" w:eastAsia="Arial" w:hAnsi="Arial"/>
          <w:sz w:val="16"/>
          <w:szCs w:val="16"/>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70" w:lineRule="exact"/>
        <w:rPr>
          <w:sz w:val="20"/>
          <w:szCs w:val="20"/>
          <w:color w:val="auto"/>
        </w:rPr>
      </w:pPr>
    </w:p>
    <w:p>
      <w:pPr>
        <w:ind w:right="60" w:firstLine="510"/>
        <w:spacing w:after="0" w:line="227" w:lineRule="auto"/>
        <w:rPr>
          <w:sz w:val="20"/>
          <w:szCs w:val="20"/>
          <w:color w:val="auto"/>
        </w:rPr>
      </w:pPr>
      <w:r>
        <w:rPr>
          <w:rFonts w:ascii="Arial" w:cs="Arial" w:eastAsia="Arial" w:hAnsi="Arial"/>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other products or other product categories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7"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Years ago, a substantial portion of our revenue was generated from sales of our SoCs to OEMs and ODMs of HD video cameras, including IP security cameras, wearable cameras and drones. Our revenue from several of these markets, however, has experienced significant declines. As a result, we believe that our future revenue growth, if any, will significantly depend on our ability to expand within the camera markets with our new artificial intelligence, or AI, computer vision SoC solutions, particularly in emerging markets such as the OEM automotive, robotics and industrial markets, as well as the existing professional IP security and home security and monitoring camera markets. Each of these markets presents distinct and substantial risks and, in many cases, requires us to develop new functionality or software to address the particular requirements of that market. We anticipate that as we continue to move into new markets, such as the OEM automotive, robotics and industrial markets, we will likely face competition from larger competitors with greater resources and more history in these markets.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If we fail to penetrate these or other new markets we are targeting, our financial condition would likely</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suffer. Moreover, if we are successful in achieving design wins in these new markets, it will likely take longer to generate revenue from such design wins than in our current markets.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Our ability to sell our products to several China customers has been restricted.</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On October 9, 2019, our security camera customers Hangzhou Hikvision Digital Technology Co., Ltd, or Hikvision, and Zhejiang Dahua Technology Co., Ltd., or Dahua, were added to the Entity List of the Bureau of Industry and Security, or BIS, of the U.S. Department of Commerce, which imposes limitations on the supply of certain U.S. items to the listed entities. While the addition of Hikvision and Dahua to the Entity List negatively impacts our ability to ship items subject to BIS regulations, including US-produced SoC solutions, to these entities, we have determined that that we are able to ship some foreign-produced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and Dahua,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in October 2019 or of any additional governmental actions, any of which could have a long-term adverse effect on our business, operating results and financial condition.</w:t>
      </w:r>
    </w:p>
    <w:p>
      <w:pPr>
        <w:spacing w:after="0" w:line="184"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6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Beyond the BIS actions relating to Hikvision and Dahua, general trade tensions between the United States and China have been escalating, which has, in our view, created and will continue to create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172" w:lineRule="exact"/>
        <w:rPr>
          <w:sz w:val="20"/>
          <w:szCs w:val="20"/>
          <w:color w:val="auto"/>
        </w:rPr>
      </w:pPr>
    </w:p>
    <w:p>
      <w:pPr>
        <w:ind w:right="320" w:firstLine="584"/>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impair our ability to compete in international markets.</w:t>
      </w:r>
    </w:p>
    <w:p>
      <w:pPr>
        <w:spacing w:after="0" w:line="62" w:lineRule="exact"/>
        <w:rPr>
          <w:sz w:val="20"/>
          <w:szCs w:val="20"/>
          <w:color w:val="auto"/>
        </w:rPr>
      </w:pPr>
    </w:p>
    <w:p>
      <w:pPr>
        <w:ind w:right="120" w:firstLine="584"/>
        <w:spacing w:after="0" w:line="255" w:lineRule="auto"/>
        <w:rPr>
          <w:sz w:val="20"/>
          <w:szCs w:val="20"/>
          <w:color w:val="auto"/>
        </w:rPr>
      </w:pPr>
      <w:r>
        <w:rPr>
          <w:rFonts w:ascii="Arial" w:cs="Arial" w:eastAsia="Arial" w:hAnsi="Arial"/>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 Department’s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9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 w:name="page36"/>
    <w:bookmarkEnd w:id="35"/>
    <w:p>
      <w:pPr>
        <w:ind w:left="520"/>
        <w:spacing w:after="0"/>
        <w:rPr>
          <w:sz w:val="20"/>
          <w:szCs w:val="20"/>
          <w:color w:val="auto"/>
        </w:rPr>
      </w:pPr>
      <w:r>
        <w:rPr>
          <w:rFonts w:ascii="Arial" w:cs="Arial" w:eastAsia="Arial" w:hAnsi="Arial"/>
          <w:sz w:val="16"/>
          <w:szCs w:val="16"/>
          <w:b w:val="1"/>
          <w:bCs w:val="1"/>
          <w:i w:val="1"/>
          <w:iCs w:val="1"/>
          <w:color w:val="auto"/>
        </w:rPr>
        <w:t>Our primary inventory warehouse is located in Hong Kong and may be affected by recent political, social and economic conditions in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Kong.</w:t>
      </w:r>
    </w:p>
    <w:p>
      <w:pPr>
        <w:spacing w:after="0" w:line="103"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We operate a warehouse facility in Hong Kong through which the substantial majority of our finished SoCs are shipped to customers or logistic partners. Hong Kong has recently experienced, and continues to experience, significant political unrest and social strife, including protests that resulted in the closing of the Hong Kong international airport on August 12, 2019 for two days. Recently, in response to national security legislation adopted by the Chinese government, the U.S. Secretary of State certified to the U.S. Congress on May 27, 2020 that Hong Kong no longer maintains a sufficient degree of autonomy from China to warrant special treatment by the U.S. While such certification, and subsequent statements made by the U.S. President relating to Hong Kong’s status, do not have an immediate impact on Hong Kong for trade or other purposes, these recent actions represent an escalation in political and trade tensions involving the U.S, China and Hong Kong. It is possible that the U.S. government may take future measures to impose stricter export controls or duties on shipments made to Hong Kong, add additional parties to the Entity List, or reduce preferential treatment currently accorded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174"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video and image processing SoCs may not materialize as expected, and our business and operating results could suffer.</w:t>
      </w:r>
    </w:p>
    <w:p>
      <w:pPr>
        <w:spacing w:after="0" w:line="18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customers typically do not provide us with firm, long-term purchase commitments. A substantially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17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right="20" w:firstLine="510"/>
        <w:spacing w:after="0" w:line="254"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19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2"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2020, the customers representing 10% or more of our revenue were Wintech Microelectronics Co., Ltd., or Wintech, the Company’s distributor, and Chicony Electronics Co., Ltd., or Chicony, a direct ODM customer, which accounted for approximately 60% and 18% of total revenue, respectively. For the three months ended April 30, 2020, the customers representing 10% or more of revenue were Wintech and Chicony which accounted for approximately 63% and 15%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6"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 or 5 nanometer, or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90"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such as artificial intelligence functionality. In addition,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78"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8"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are focused on selling our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8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global semiconductor market in general, and the video and 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96"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competitors range from large, international companies offering a wide range of semiconductor products to smaller companies specializing in narrow markets. In the IP security camera market, our primary competitors include AMLogic Inc., Fullhan Microelectronics Co., Ltd., Geo Semiconductor, Inc., HiSilicon Technologies Co., Ltd., or HiSilicon, which is owned by Huawei Technologies Co., Ingenic Semiconductor Co., Ltd., Intel Corporation, or Intel, Movidius Ltd., a subsidiary of Intel, Novatek Microelectronics Corp., or Novatek, OmniVision Technologies, Inc., or OmniVision, Qualcomm Incorporated, or Qualcomm, Realtek Semiconductor Corp., SigmaStar Technology Corp., or SigmaStar, Socionext Inc., or Socionext, an entity created from the merger of the system LSI businesses of Fujitsu Ltd. and Panasonic Corporation, or Panasonic, and Texas Instruments Incorporated, or Texas Instruments, as well as vertically integrated divisions of IP Security camera device OEMs, including Axis Communications AB, Hanwha Techwin, and Sony Corporation, or Sony. In the automotive camera market, we currently compete against Allwinner Technology Co., Ltd., Alpha Imaging Technology Corp., Core Logic, Inc., Mobileye, an Intel company, Novatek, NXP Semiconductors N.V., OmniVision, Qualcomm, Renesas Electronics Corporation, SigmaStar, Sunplus Technology Co. Ltd., Texas Instruments and Xilinx Inc. In the wearable sports camera market, our primary competitors are vertically integrated divisions of camera device OEMs, including Sony, Panasonic, HiSilicon and Socionext. Our primary competitors in the drone camera market include HiSilicon, Intel, NVIDIA Corporation and Qualcomm.</w:t>
      </w:r>
    </w:p>
    <w:p>
      <w:pPr>
        <w:spacing w:after="0" w:line="179"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520" w:right="100" w:hanging="500"/>
        <w:spacing w:after="0" w:line="27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image video and image processing technologies and sales and marketing personnel.</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9" w:name="page40"/>
    <w:bookmarkEnd w:id="39"/>
    <w:p>
      <w:pPr>
        <w:ind w:right="420" w:firstLine="510"/>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520" w:right="20" w:hanging="500"/>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520" w:right="220" w:hanging="500"/>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Moreover, the semiconductor industry has historically been cyclical in nature, reflecting overall economic conditions as well as budgeting and buying patterns of consumers.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 For example, our revenue declined 23% in fiscal year 2019 compared to fiscal year 2018, and we incurred our first annual net losses since our initial public offering, or IPO, in 2012. For the twelve months ended January 31, 2020, our revenue increased by 0.4% compared to the same period in fiscal year 2019, and we incurred a net loss of $44.8 million. For the three months ended April 30, 2020, while our revenue increased by 15.8% compared to the same period in fiscal year 2020, we incurred a net loss of $15.5 million. We may experience similar fluctuations or declines in revenue or net losses in the future, which would harm our operating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70"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The semiconductor industry requires substantial investment in research and development in order to bring to market new and enhanced solutions. Our research and development expense was $129.7 million, $128.1 million and $115.5 million in fiscal years 2020, 2019 and 2018, respectively. For the three months ended April 30, 2020, our research and development expense was $34.2 million. We expect to increase our research and development expenditures as compared to prior periods as part of our strategy of focusing on the development of innovative video and image processing solutions with increased functionality, such as computer vision capabilities,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10nm and 7nm, can cost significantly more than required to develop in larger process nodes, such as 28nm or 14nm.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6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historically decreased over time and will likely do so in the future, which could harm our revenue and gross margins.</w:t>
      </w:r>
    </w:p>
    <w:p>
      <w:pPr>
        <w:spacing w:after="0" w:line="62"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Average selling prices of semiconductor products in the markets we serve have historically decreased over time, and we expect such declines to continue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Recently, we have experienced competitive pricing pressures at the low ends of the automotive aftermarket camera market and China-based IP security camera market. We expect that we will have to address pricing pressures again in the future, particularly in markets experiencing consolidation, which could require us to reduce the prices of our SoC solutions and harm our operating results.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do not generate revenue growth, we may not be able to execute our business plan and our operating results could suffer.</w:t>
      </w:r>
    </w:p>
    <w:p>
      <w:pPr>
        <w:spacing w:after="0" w:line="1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You should not rely on our revenue, gross margins or operating results for any prior quarterly or annual periods as an indication of our future operating performance. In years past, we experienced significant growth in a short period of time. Our revenue increased from $21.5 million in fiscal year 2008 to $316.4 million in fiscal year 2016. Recently, however, we have not sustained this growth rate. Our revenue decreased to $295.4 million in fiscal year 2018 and to $227.8 million in fiscal year 2019, resulting in the first annual net losses since our IPO in 2012. In fiscal year 2020, our revenue increased by 0.4% compared to the same period in fiscal year 2019. For the three months ended April 30, 2020, while our revenue increased by 15.8% compared to the same period in fiscal year 2020, we incurred a net loss of $15.5 million. We continue to invest in the development of new technology and solutions and expect our research and development expenditures to increase compared to prior periods. Accordingly, if we are unable to generate or maintain adequate revenue growth, our financial results could suffer and our stock price could decline.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are unable to manage any future growth, we may not be able to execute our business plan and our operating results could suffer.</w:t>
      </w:r>
    </w:p>
    <w:p>
      <w:pPr>
        <w:spacing w:after="0" w:line="14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0" w:lineRule="exact"/>
        <w:rPr>
          <w:sz w:val="20"/>
          <w:szCs w:val="20"/>
          <w:color w:val="auto"/>
        </w:rPr>
      </w:pPr>
    </w:p>
    <w:p>
      <w:pPr>
        <w:ind w:left="1520" w:right="100" w:hanging="500"/>
        <w:spacing w:after="0" w:line="263"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75"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ind w:left="1520" w:right="180" w:hanging="5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187"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w:t>
      </w:r>
    </w:p>
    <w:p>
      <w:pPr>
        <w:spacing w:after="0" w:line="188"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sell a significant percentage of our solutions through a single distributor, Wintech Microelectronics Co., Ltd., or Wintech, which serves as our non-exclusive sales representative in Asia, other than Japan. Approximately 60%, 58% and 59% of our revenue was derived from sales through Wintech for the fiscal years ended January 31, 2020, 2019 and 2018, respectively, and approximately 63% of our revenue was derived from sales through Wintech for the three months ended April 30, 2020. We anticipate that a significant portion of our revenue will continue to be derived from sales through Wintech in the foreseeable future. In November 2019, WPG Holdings Co., or WPG, a Taiwan distributor, announced an unsolicited bid to acquire up to 30% of Wintech. While the outcome of WPG’s bid is unknown at this time, an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ind w:firstLine="510"/>
        <w:spacing w:after="0" w:line="289" w:lineRule="auto"/>
        <w:rPr>
          <w:sz w:val="20"/>
          <w:szCs w:val="20"/>
          <w:color w:val="auto"/>
        </w:rPr>
      </w:pPr>
      <w:r>
        <w:rPr>
          <w:rFonts w:ascii="Arial" w:cs="Arial" w:eastAsia="Arial" w:hAnsi="Arial"/>
          <w:sz w:val="16"/>
          <w:szCs w:val="16"/>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Deterioration of the financial condition of our distributors or customers could adversely impact our collection of accounts receivable. We regularly review the collectability and creditworthiness of our distributors and customers to determine an appropriate allowance for doubtful receivables. Based on our review of our distributors and customers, we currently have only immaterial reserves for uncollectible accounts. If our uncollectible accounts, however, were to exceed our current or future allowance for doubtful receivables, our operating results would be negatively impacted.</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140"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The pool of qualified candidates is limited, particularly in Silicon Valley and parts of Asia for very-large-scale integration, or VLSI, and computer vision engineers, and certain of our competitors and potential competitors with greater resources have directly targeted our employees. In addition,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and the economic impact of the COVID-19 pandemic could lead to a similar downturn in future periods.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3" w:name="page44"/>
    <w:bookmarkEnd w:id="43"/>
    <w:p>
      <w:pPr>
        <w:jc w:val="both"/>
        <w:ind w:right="200" w:firstLine="510"/>
        <w:spacing w:after="0" w:line="263"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6"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96"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68" w:lineRule="exact"/>
        <w:rPr>
          <w:sz w:val="20"/>
          <w:szCs w:val="20"/>
          <w:color w:val="auto"/>
        </w:rPr>
      </w:pPr>
    </w:p>
    <w:p>
      <w:pPr>
        <w:ind w:right="20" w:firstLine="510"/>
        <w:spacing w:after="0" w:line="375"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We also have products supplied by Global UniChip Corporation, or GUC, in Taiwan, from whom we purchase fully assembled and tested products. The wafers used by GUC in the assembly of our products are manufactured by TSMC in Taiwan. The assembly is done by GUC subcontracted assembly suppliers ASE, and Powertech Technology Inc, or PTI.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9"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3"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9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5nm process node, and potentially to new foundries. We depend on Samsung and TSMC, as the principal foundries for our products, to transition to new processes successfully. We cannot assure you that Samsung or TSMC will be able to effectively manage such transitions or that we will be able to maintain our relationship with Samsung or TSMC or develop relationships with new foundries. Moreover, as we utilize more advanced process nodes beyond 10nm, we are increasingly dependent upon Samsung and TSMC, who are the only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right="620" w:firstLine="51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7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2"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69" w:lineRule="exact"/>
        <w:rPr>
          <w:sz w:val="20"/>
          <w:szCs w:val="20"/>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w:t>
      </w:r>
    </w:p>
    <w:p>
      <w:pPr>
        <w:spacing w:after="0" w:line="117" w:lineRule="exact"/>
        <w:rPr>
          <w:rFonts w:ascii="Arial" w:cs="Arial" w:eastAsia="Arial" w:hAnsi="Arial"/>
          <w:sz w:val="18"/>
          <w:szCs w:val="18"/>
          <w:color w:val="auto"/>
        </w:rPr>
      </w:pPr>
    </w:p>
    <w:p>
      <w:pPr>
        <w:ind w:left="15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w:t>
      </w:r>
    </w:p>
    <w:p>
      <w:pPr>
        <w:spacing w:after="0" w:line="62" w:lineRule="exact"/>
        <w:rPr>
          <w:rFonts w:ascii="Arial" w:cs="Arial" w:eastAsia="Arial" w:hAnsi="Arial"/>
          <w:sz w:val="18"/>
          <w:szCs w:val="18"/>
          <w:color w:val="auto"/>
        </w:rPr>
      </w:pPr>
    </w:p>
    <w:p>
      <w:pPr>
        <w:ind w:left="1520" w:right="120" w:hanging="5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significant impairment of our intellectual property rights from any litigation we face could harm our business and our ability to compete.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117"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 Since the techniques used to obtain unauthorized access or to sabotage systems change frequently and are often not recognized until launched against a target, we may be unable to anticipate these techniques or to implement adequate preventative measures.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right="600" w:firstLine="51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7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166"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8"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3"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7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61"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61" w:lineRule="exact"/>
        <w:rPr>
          <w:sz w:val="20"/>
          <w:szCs w:val="20"/>
          <w:color w:val="auto"/>
        </w:rPr>
      </w:pPr>
    </w:p>
    <w:p>
      <w:pPr>
        <w:ind w:right="540" w:firstLine="510"/>
        <w:spacing w:after="0" w:line="375" w:lineRule="auto"/>
        <w:rPr>
          <w:sz w:val="20"/>
          <w:szCs w:val="20"/>
          <w:color w:val="auto"/>
        </w:rPr>
      </w:pPr>
      <w:r>
        <w:rPr>
          <w:rFonts w:ascii="Arial" w:cs="Arial" w:eastAsia="Arial" w:hAnsi="Arial"/>
          <w:sz w:val="15"/>
          <w:szCs w:val="15"/>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3" w:lineRule="exact"/>
        <w:rPr>
          <w:sz w:val="20"/>
          <w:szCs w:val="20"/>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520" w:right="84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520" w:right="62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520" w:right="14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520" w:right="900" w:hanging="5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regional health issues, pandemics, and natural disasters; and</w:t>
      </w:r>
    </w:p>
    <w:p>
      <w:pPr>
        <w:spacing w:after="0" w:line="225" w:lineRule="exact"/>
        <w:rPr>
          <w:rFonts w:ascii="Arial" w:cs="Arial" w:eastAsia="Arial" w:hAnsi="Arial"/>
          <w:sz w:val="18"/>
          <w:szCs w:val="18"/>
          <w:color w:val="auto"/>
        </w:rPr>
      </w:pPr>
    </w:p>
    <w:p>
      <w:pPr>
        <w:ind w:left="1520" w:hanging="500"/>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5" w:lineRule="exact"/>
        <w:rPr>
          <w:sz w:val="20"/>
          <w:szCs w:val="20"/>
          <w:color w:val="auto"/>
        </w:rPr>
      </w:pPr>
    </w:p>
    <w:p>
      <w:pPr>
        <w:ind w:right="160" w:firstLine="510"/>
        <w:spacing w:after="0" w:line="381" w:lineRule="auto"/>
        <w:rPr>
          <w:sz w:val="20"/>
          <w:szCs w:val="20"/>
          <w:color w:val="auto"/>
        </w:rPr>
      </w:pPr>
      <w:r>
        <w:rPr>
          <w:rFonts w:ascii="Arial" w:cs="Arial" w:eastAsia="Arial" w:hAnsi="Arial"/>
          <w:sz w:val="15"/>
          <w:szCs w:val="15"/>
          <w:b w:val="1"/>
          <w:bCs w:val="1"/>
          <w:i w:val="1"/>
          <w:iCs w:val="1"/>
          <w:color w:val="auto"/>
        </w:rPr>
        <w:t>Our third-party contractors and their suppliers are concentrated in South Korea, Taiwan and Japan, a region subject to earthquakes and other natural disasters. Any disruption to the operations of these contractors could cause significant delays in the production or shipment of our products.</w:t>
      </w:r>
    </w:p>
    <w:p>
      <w:pPr>
        <w:spacing w:after="0" w:line="100"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operations and those of our manufacturers are vulnerable to interruption caused by technical breakdowns, computer hardware and software malfunctions, software viruses, infrastructure failures, regional health issues and pandemics, fires, earthquakes, floods,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If the remote or work from home conditions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14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including the new revenue recognition guidance and the associated adoption efforts, which are currently underway,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9"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4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6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84"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ind w:right="120" w:firstLine="510"/>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8" w:lineRule="exact"/>
        <w:rPr>
          <w:sz w:val="20"/>
          <w:szCs w:val="20"/>
          <w:color w:val="auto"/>
        </w:rPr>
      </w:pPr>
    </w:p>
    <w:p>
      <w:pPr>
        <w:ind w:right="60" w:firstLine="510"/>
        <w:spacing w:after="0" w:line="267" w:lineRule="auto"/>
        <w:rPr>
          <w:sz w:val="20"/>
          <w:szCs w:val="20"/>
          <w:color w:val="auto"/>
        </w:rPr>
      </w:pPr>
      <w:r>
        <w:rPr>
          <w:rFonts w:ascii="Arial" w:cs="Arial" w:eastAsia="Arial" w:hAnsi="Arial"/>
          <w:sz w:val="17"/>
          <w:szCs w:val="17"/>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may be classified as a passive foreign investment company which could result in adverse U.S. federal income tax consequences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ordinary shares.</w:t>
      </w:r>
    </w:p>
    <w:p>
      <w:pPr>
        <w:spacing w:after="0" w:line="103"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Based on the current and anticipated valuation of our assets and the composition of our income and assets, we do not expect to be considered a passive foreign investment company, or PFIC, for U.S. federal income tax purposes for our 2021 fiscal year or the foreseeable future. However, a separate determination must be made at the close of each taxable year as to whether we are a PFIC for that taxable year, and we cannot assure you that we will not be a PFIC for our 2020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right="120" w:firstLine="510"/>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2"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as a result of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17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90%, 87% and 79% of our total revenue in fiscal years 2020, 2019 and 2018, respectively. For the three months ended April 30, 2020, sales to customers in Asia accounted for approximately 89%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8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 significant number of our employees are located in Asia, principally Taiwan and China. Therefore, a portion of our payroll as well as certain other operating expenses are paid in currencies other than the U.S. dollar, such as the New Taiwan Dollar and the Chinese Yuan Renminbi.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and between the New Taiwan Dollar and the U.S. dollar, have been especially volatile in the recent past and these currency fluctuations may make it difficult for us to predict our operating results.</w:t>
      </w:r>
    </w:p>
    <w:p>
      <w:pPr>
        <w:spacing w:after="0" w:line="8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6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Our acquisition of VisLab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b w:val="1"/>
          <w:bCs w:val="1"/>
          <w:i w:val="1"/>
          <w:iCs w:val="1"/>
          <w:color w:val="auto"/>
        </w:rPr>
        <w:t>Our marketable securities portfolio could experience a decline in market value, which could materially and adversely affect our financial results.</w:t>
      </w:r>
    </w:p>
    <w:p>
      <w:pPr>
        <w:spacing w:after="0" w:line="62" w:lineRule="exact"/>
        <w:rPr>
          <w:sz w:val="20"/>
          <w:szCs w:val="20"/>
          <w:color w:val="auto"/>
        </w:rPr>
      </w:pPr>
    </w:p>
    <w:p>
      <w:pPr>
        <w:ind w:right="240" w:firstLine="510"/>
        <w:spacing w:after="0" w:line="272" w:lineRule="auto"/>
        <w:rPr>
          <w:sz w:val="20"/>
          <w:szCs w:val="20"/>
          <w:color w:val="auto"/>
        </w:rPr>
      </w:pPr>
      <w:r>
        <w:rPr>
          <w:rFonts w:ascii="Arial" w:cs="Arial" w:eastAsia="Arial" w:hAnsi="Arial"/>
          <w:sz w:val="17"/>
          <w:szCs w:val="17"/>
          <w:color w:val="auto"/>
        </w:rPr>
        <w:t>As of April 30, 2020, we had approximately $211.8 million in debt security investments. These investments consisted primarily of money market funds, commercial paper, asset-backed securities, U.S. government securities and debt securities of corporations.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6" w:lineRule="exact"/>
        <w:rPr>
          <w:sz w:val="20"/>
          <w:szCs w:val="20"/>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the economic performance or market valuations of companies perceived by investors to be comparable to us;</w:t>
      </w:r>
    </w:p>
    <w:p>
      <w:pPr>
        <w:spacing w:after="0" w:line="128" w:lineRule="exact"/>
        <w:rPr>
          <w:rFonts w:ascii="Arial" w:cs="Arial" w:eastAsia="Arial" w:hAnsi="Arial"/>
          <w:sz w:val="17"/>
          <w:szCs w:val="17"/>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including conditions caused by pandemics, and slow or negative growth of related markets;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trade and other geopolitical activities affecting markets we address;</w:t>
      </w:r>
    </w:p>
    <w:p>
      <w:pPr>
        <w:spacing w:after="0" w:line="117" w:lineRule="exact"/>
        <w:rPr>
          <w:rFonts w:ascii="Arial" w:cs="Arial" w:eastAsia="Arial" w:hAnsi="Arial"/>
          <w:sz w:val="18"/>
          <w:szCs w:val="18"/>
          <w:color w:val="auto"/>
        </w:rPr>
      </w:pPr>
    </w:p>
    <w:p>
      <w:pPr>
        <w:ind w:left="1520" w:right="320" w:hanging="500"/>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520" w:hanging="500"/>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40" w:firstLine="510"/>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8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differ significantly from our guidance and investor expectations, which would likely cause our stock price to decline.</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66"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164"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2"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520" w:hanging="500"/>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520" w:right="24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520" w:right="10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520" w:right="12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jc w:val="both"/>
        <w:ind w:left="1520" w:right="40" w:hanging="500"/>
        <w:spacing w:after="0" w:line="342" w:lineRule="auto"/>
        <w:tabs>
          <w:tab w:leader="none" w:pos="1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5" w:lineRule="exact"/>
        <w:rPr>
          <w:rFonts w:ascii="Arial" w:cs="Arial" w:eastAsia="Arial" w:hAnsi="Arial"/>
          <w:sz w:val="16"/>
          <w:szCs w:val="16"/>
          <w:color w:val="auto"/>
        </w:rPr>
      </w:pPr>
    </w:p>
    <w:p>
      <w:pPr>
        <w:ind w:left="1520" w:right="120" w:hanging="500"/>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62" w:lineRule="exact"/>
        <w:rPr>
          <w:rFonts w:ascii="Arial" w:cs="Arial" w:eastAsia="Arial" w:hAnsi="Arial"/>
          <w:sz w:val="18"/>
          <w:szCs w:val="18"/>
          <w:color w:val="auto"/>
        </w:rPr>
      </w:pPr>
    </w:p>
    <w:p>
      <w:pPr>
        <w:ind w:left="1520" w:right="300" w:hanging="500"/>
        <w:spacing w:after="0" w:line="342" w:lineRule="auto"/>
        <w:tabs>
          <w:tab w:leader="none" w:pos="1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40"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8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Subject to limited exceptions, under Cayman Islands law, a minority shareholder may not bring a derivative action against the board of directors.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displays information with respect to repurchases of the Company’s ordinary shares during the three months ended April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9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Dollar Value of</w:t>
            </w: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Shares that May</w:t>
            </w: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w:t>
            </w:r>
          </w:p>
        </w:tc>
        <w:tc>
          <w:tcPr>
            <w:tcW w:w="22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Yet Be Purchased</w:t>
            </w: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Part of Publicly</w:t>
            </w:r>
          </w:p>
        </w:tc>
        <w:tc>
          <w:tcPr>
            <w:tcW w:w="22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Under the Plans</w:t>
            </w: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w:t>
            </w: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 Per Share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r>
      <w:tr>
        <w:trPr>
          <w:trHeight w:val="171"/>
        </w:trPr>
        <w:tc>
          <w:tcPr>
            <w:tcW w:w="3520" w:type="dxa"/>
            <w:vAlign w:val="bottom"/>
            <w:gridSpan w:val="2"/>
          </w:tcPr>
          <w:p>
            <w:pPr>
              <w:ind w:left="148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(i)</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(ii)</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 (i)</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w:t>
            </w: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1, 2020 to February 29, 2020</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March 1, 2020 to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25,719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38.88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r>
      <w:tr>
        <w:trPr>
          <w:trHeight w:val="229"/>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2020 to April 30,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19"/>
                <w:szCs w:val="19"/>
                <w:color w:val="auto"/>
              </w:rPr>
            </w:pPr>
          </w:p>
        </w:tc>
      </w:tr>
      <w:tr>
        <w:trPr>
          <w:trHeight w:val="224"/>
        </w:trPr>
        <w:tc>
          <w:tcPr>
            <w:tcW w:w="34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25,719</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25,719</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ind w:left="1120" w:hanging="748"/>
        <w:spacing w:after="0" w:line="273" w:lineRule="auto"/>
        <w:tabs>
          <w:tab w:leader="none" w:pos="11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May 29, 2019, our Board of Directors authorized a program to repurchase up to $50.0 million of our ordinary shares through June 30, 2020. The repurchase program does not obligate us to acquire any particular amount of ordinary shares, and it may be suspended at any time at our discretion. Shares may be repurchased through open market purchases, 10b5-1 plans or privately negotiated transactions. Repurchases are funded using our working capital and any repurchased shares are recorded as authorized but unissued shares. As of April 30, 2020, we had repurchased an aggregate amount of $1.0 million of our ordinary shares, and we had approximately $49.0 million available to repurchase shares under the program through June 30, 2020.</w:t>
      </w:r>
    </w:p>
    <w:p>
      <w:pPr>
        <w:spacing w:after="0" w:line="69" w:lineRule="exact"/>
        <w:rPr>
          <w:rFonts w:ascii="Arial" w:cs="Arial" w:eastAsia="Arial" w:hAnsi="Arial"/>
          <w:sz w:val="17"/>
          <w:szCs w:val="17"/>
          <w:color w:val="auto"/>
        </w:rPr>
      </w:pPr>
    </w:p>
    <w:p>
      <w:pPr>
        <w:ind w:left="1120" w:right="160" w:hanging="748"/>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price paid per share is calculated by total cash utilized (excluding commission) divided by total shares repurchased during the period.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80" w:type="dxa"/>
            <w:vAlign w:val="bottom"/>
            <w:gridSpan w:val="5"/>
          </w:tcPr>
          <w:p>
            <w:pPr>
              <w:ind w:left="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3.1(1)</w:t>
            </w:r>
          </w:p>
        </w:tc>
        <w:tc>
          <w:tcPr>
            <w:tcW w:w="10020" w:type="dxa"/>
            <w:vAlign w:val="bottom"/>
            <w:gridSpan w:val="7"/>
          </w:tcPr>
          <w:p>
            <w:pPr>
              <w:spacing w:after="0"/>
              <w:rPr>
                <w:rFonts w:ascii="Arial" w:cs="Arial" w:eastAsia="Arial" w:hAnsi="Arial"/>
                <w:sz w:val="18"/>
                <w:szCs w:val="18"/>
                <w:u w:val="single" w:color="auto"/>
                <w:color w:val="0000EE"/>
                <w:w w:val="96"/>
              </w:rPr>
            </w:pPr>
            <w:hyperlink r:id="rId77">
              <w:r>
                <w:rPr>
                  <w:rFonts w:ascii="Arial" w:cs="Arial" w:eastAsia="Arial" w:hAnsi="Arial"/>
                  <w:sz w:val="18"/>
                  <w:szCs w:val="18"/>
                  <w:u w:val="single" w:color="auto"/>
                  <w:color w:val="0000EE"/>
                  <w:w w:val="96"/>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97"/>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10020" w:type="dxa"/>
            <w:vAlign w:val="bottom"/>
            <w:gridSpan w:val="7"/>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Certification of Principal Executive Officer Required Under Rule 13a-14(a) and 15d-14(a) of the Securities Exchange Act of 1934,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0">
              <w:r>
                <w:rPr>
                  <w:rFonts w:ascii="Arial" w:cs="Arial" w:eastAsia="Arial" w:hAnsi="Arial"/>
                  <w:sz w:val="18"/>
                  <w:szCs w:val="18"/>
                  <w:color w:val="0000EE"/>
                  <w:w w:val="84"/>
                </w:rPr>
                <w:t>amended.</w:t>
              </w:r>
            </w:hyperlink>
          </w:p>
        </w:tc>
        <w:tc>
          <w:tcPr>
            <w:tcW w:w="8920" w:type="dxa"/>
            <w:vAlign w:val="bottom"/>
            <w:tcBorders>
              <w:top w:val="single" w:sz="8" w:color="0000EE"/>
            </w:tcBorders>
            <w:gridSpan w:val="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95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Principal Financial Officer Required Under Rule 13a-14(a) and 15d-14(a) of the Securities Exchange Act of 1934, as</w:t>
              </w:r>
            </w:hyperlink>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amended.</w:t>
              </w:r>
            </w:hyperlink>
          </w:p>
        </w:tc>
        <w:tc>
          <w:tcPr>
            <w:tcW w:w="9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20" w:type="dxa"/>
            <w:vAlign w:val="bottom"/>
          </w:tcPr>
          <w:p>
            <w:pPr>
              <w:ind w:left="100"/>
              <w:spacing w:after="0"/>
              <w:rPr>
                <w:sz w:val="20"/>
                <w:szCs w:val="20"/>
                <w:color w:val="auto"/>
              </w:rPr>
            </w:pPr>
            <w:r>
              <w:rPr>
                <w:rFonts w:ascii="Arial" w:cs="Arial" w:eastAsia="Arial" w:hAnsi="Arial"/>
                <w:sz w:val="18"/>
                <w:szCs w:val="18"/>
                <w:color w:val="auto"/>
                <w:w w:val="88"/>
              </w:rPr>
              <w:t>32.1±</w:t>
            </w:r>
          </w:p>
        </w:tc>
        <w:tc>
          <w:tcPr>
            <w:tcW w:w="620" w:type="dxa"/>
            <w:vAlign w:val="bottom"/>
          </w:tcPr>
          <w:p>
            <w:pPr>
              <w:spacing w:after="0"/>
              <w:rPr>
                <w:sz w:val="24"/>
                <w:szCs w:val="24"/>
                <w:color w:val="auto"/>
              </w:rPr>
            </w:pPr>
          </w:p>
        </w:tc>
        <w:tc>
          <w:tcPr>
            <w:tcW w:w="100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Principal Executive Officer and Principal Financial Officer Required Under Rule 13a-14(b) of the Securities Exchange Act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of 1934, as amended, and 18 U.S.C. §1350.</w:t>
              </w:r>
            </w:hyperlink>
          </w:p>
        </w:tc>
        <w:tc>
          <w:tcPr>
            <w:tcW w:w="6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Schema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Labels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7"/>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right="280" w:hanging="113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April 30, 2020,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8312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20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the Registrant’s registration statement on Form S-1 (No. 333-174838) Amendment No. 3 as filed with the Securities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Exchange Commission on September 12, 2012.</w:t>
      </w:r>
    </w:p>
    <w:p>
      <w:pPr>
        <w:spacing w:after="0" w:line="9" w:lineRule="exact"/>
        <w:rPr>
          <w:sz w:val="20"/>
          <w:szCs w:val="20"/>
          <w:color w:val="auto"/>
        </w:rPr>
      </w:pPr>
    </w:p>
    <w:p>
      <w:pPr>
        <w:ind w:left="500" w:hanging="492"/>
        <w:spacing w:after="0" w:line="25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8" w:name="page59"/>
    <w:bookmarkEnd w:id="58"/>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Arial" w:cs="Arial" w:eastAsia="Arial" w:hAnsi="Arial"/>
          <w:sz w:val="18"/>
          <w:szCs w:val="18"/>
          <w:color w:val="auto"/>
        </w:rPr>
        <w:t>Date: June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left="6260"/>
        <w:spacing w:after="0"/>
        <w:rPr>
          <w:sz w:val="20"/>
          <w:szCs w:val="20"/>
          <w:color w:val="auto"/>
        </w:rPr>
      </w:pPr>
      <w:r>
        <w:rPr>
          <w:rFonts w:ascii="Arial" w:cs="Arial" w:eastAsia="Arial" w:hAnsi="Arial"/>
          <w:sz w:val="14"/>
          <w:szCs w:val="14"/>
          <w:b w:val="1"/>
          <w:bCs w:val="1"/>
          <w:color w:val="auto"/>
        </w:rPr>
        <w:t>Feng-Ming Wang</w:t>
      </w:r>
    </w:p>
    <w:p>
      <w:pPr>
        <w:jc w:val="center"/>
        <w:ind w:left="62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June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jc w:val="center"/>
        <w:ind w:left="6260"/>
        <w:spacing w:after="0"/>
        <w:rPr>
          <w:sz w:val="20"/>
          <w:szCs w:val="20"/>
          <w:color w:val="auto"/>
        </w:rPr>
      </w:pPr>
      <w:r>
        <w:rPr>
          <w:rFonts w:ascii="Arial" w:cs="Arial" w:eastAsia="Arial" w:hAnsi="Arial"/>
          <w:sz w:val="14"/>
          <w:szCs w:val="14"/>
          <w:b w:val="1"/>
          <w:bCs w:val="1"/>
          <w:color w:val="auto"/>
        </w:rPr>
        <w:t>Kevin C. Eichler</w:t>
      </w:r>
    </w:p>
    <w:p>
      <w:pPr>
        <w:jc w:val="center"/>
        <w:ind w:left="62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00"/>
          </w:cols>
          <w:pgMar w:left="320" w:top="121" w:right="7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1920"/>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2020</w:t>
      </w:r>
    </w:p>
    <w:p>
      <w:pPr>
        <w:spacing w:after="0" w:line="23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1940"/>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18"/>
        <w:spacing w:after="0" w:line="263"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80" w:firstLine="518"/>
        <w:spacing w:after="0" w:line="342" w:lineRule="auto"/>
        <w:tabs>
          <w:tab w:leader="none" w:pos="7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18"/>
        <w:spacing w:after="0" w:line="263"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18"/>
        <w:spacing w:after="0" w:line="277" w:lineRule="auto"/>
        <w:tabs>
          <w:tab w:leader="none" w:pos="76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2020</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8"/>
          <w:szCs w:val="18"/>
          <w:color w:val="auto"/>
        </w:rPr>
        <w:t>Kevin C. Eichler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April 30, 2020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2020</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Kevin C. Eichler, certify, pursuant to 18 U.S.C. Section 1350, as adopted pursuant to Section 906 of the Sarbanes-Oxley Act of 2002, that the Quarterly Report of Ambarella, Inc. on Form 10-Q for the fiscal quarter ended April 30, 2020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June 8, 2020</w:t>
      </w:r>
    </w:p>
    <w:p>
      <w:pPr>
        <w:spacing w:after="0" w:line="23"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Eichler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Kevin C. Eichler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2"/>
    </w:lvl>
  </w:abstractNum>
  <w:abstractNum w:abstractNumId="4">
    <w:nsid w:val="7FDCC233"/>
    <w:multiLevelType w:val="hybridMultilevel"/>
    <w:lvl w:ilvl="0">
      <w:lvlJc w:val="left"/>
      <w:lvlText w:val="(%1)"/>
      <w:numFmt w:val="lowerRoman"/>
      <w:start w:val="8"/>
    </w:lvl>
  </w:abstractNum>
  <w:abstractNum w:abstractNumId="5">
    <w:nsid w:val="1BEFD79F"/>
    <w:multiLevelType w:val="hybridMultilevel"/>
    <w:lvl w:ilvl="0">
      <w:lvlJc w:val="left"/>
      <w:lvlText w:val="%1."/>
      <w:numFmt w:val="decimal"/>
      <w:start w:val="9"/>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Roman"/>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77"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2020-06-08T12:19:07Z</dcterms:created>
  <dcterms:modified xsi:type="dcterms:W3CDTF">2020-06-08T12:19:07Z</dcterms:modified>
</cp:coreProperties>
</file>