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RICHARDSON DAVID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TASMAN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AMBARELLA INC</w:t>
              </w:r>
            </w:hyperlink>
            <w:r>
              <w:rPr/>
              <w:t xml:space="preserve"> [ </w:t>
            </w:r>
            <w:r>
              <w:rPr>
                <w:rFonts w:ascii="Times;serif" w:hAnsi="Times;serif"/>
                <w:color w:val="0000FF"/>
                <w:sz w:val="24"/>
                <w:shd w:fill="FFFFFF" w:val="clear"/>
              </w:rPr>
              <w:t>AMBA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3,151</w:t>
            </w:r>
            <w:r>
              <w:rPr>
                <w:rFonts w:ascii="Times;serif" w:hAnsi="Times;serif"/>
                <w:color w:val="008000"/>
                <w:position w:val="7"/>
                <w:sz w:val="16"/>
                <w:sz w:val="20"/>
                <w:shd w:fill="FFFFFF" w:val="clear"/>
              </w:rPr>
              <w:t>(1)</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5,649</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25,812</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Board of Directors approved an annual restricted stock unit grant of 3,151 Ordinary Shares to each independent director. The RSU grant vests as to 1/4th of the Ordinary Shares each three months following the vesting start date of September 15, 2026, so as to be 100% vested on September 15, 2027, subject to continued service with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/s/Michael Morehead, Attorney-in-Fact, For: David Jeffrey Richardson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9724" TargetMode="External"/><Relationship Id="rId5" Type="http://schemas.openxmlformats.org/officeDocument/2006/relationships/hyperlink" Target="http://www.sec.gov/cgi-bin/browse-edgar?action=getcompany&amp;CIK=00012802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3440</Characters>
  <CharactersWithSpaces>4006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