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40" w:hanging="572"/>
        <w:spacing w:after="0" w:line="245"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to ______</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345"/>
        </w:trPr>
        <w:tc>
          <w:tcPr>
            <w:tcW w:w="366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9"/>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3001 Tasman Drive</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6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$0.00045 Par Value Per Share</w:t>
            </w:r>
          </w:p>
        </w:tc>
        <w:tc>
          <w:tcPr>
            <w:tcW w:w="620" w:type="dxa"/>
            <w:vAlign w:val="bottom"/>
            <w:tcBorders>
              <w:bottom w:val="single" w:sz="8" w:color="auto"/>
            </w:tcBorders>
          </w:tcPr>
          <w:p>
            <w:pPr>
              <w:spacing w:after="0"/>
              <w:rPr>
                <w:sz w:val="22"/>
                <w:szCs w:val="22"/>
                <w:color w:val="auto"/>
              </w:rPr>
            </w:pPr>
          </w:p>
        </w:tc>
        <w:tc>
          <w:tcPr>
            <w:tcW w:w="3040" w:type="dxa"/>
            <w:vAlign w:val="bottom"/>
            <w:tcBorders>
              <w:bottom w:val="single" w:sz="8" w:color="auto"/>
              <w:right w:val="single" w:sz="8" w:color="auto"/>
            </w:tcBorders>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9"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1560"/>
        <w:spacing w:after="0" w:line="26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November 30, 2025 was 43,050,486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412"/>
        </w:trPr>
        <w:tc>
          <w:tcPr>
            <w:tcW w:w="101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080" w:type="dxa"/>
            <w:vAlign w:val="bottom"/>
            <w:gridSpan w:val="7"/>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October 31, 2025 and January 31, 2025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October 31, 2025 and 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nine months ended October 31, 2025 and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0000FF"/>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318"/>
        </w:trPr>
        <w:tc>
          <w:tcPr>
            <w:tcW w:w="800" w:type="dxa"/>
            <w:vAlign w:val="bottom"/>
          </w:tcPr>
          <w:p>
            <w:pPr>
              <w:spacing w:after="0"/>
              <w:rPr>
                <w:sz w:val="24"/>
                <w:szCs w:val="24"/>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Shareholders’ Equity for the three and nine months ended October 31, 2025 and</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3"/>
              </w:rPr>
              <w:t>2024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2025 and 2024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080" w:type="dxa"/>
            <w:vAlign w:val="bottom"/>
            <w:tcBorders>
              <w:left w:val="single" w:sz="8" w:color="0000FF"/>
            </w:tcBorders>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00" w:type="dxa"/>
            <w:vAlign w:val="bottom"/>
            <w:tcBorders>
              <w:right w:val="single" w:sz="8" w:color="0000FF"/>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439"/>
        </w:trPr>
        <w:tc>
          <w:tcPr>
            <w:tcW w:w="101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8"/>
        </w:trPr>
        <w:tc>
          <w:tcPr>
            <w:tcW w:w="8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8"/>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5"/>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1"/>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8820" w:type="dxa"/>
            <w:vAlign w:val="bottom"/>
            <w:gridSpan w:val="1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318"/>
        </w:trPr>
        <w:tc>
          <w:tcPr>
            <w:tcW w:w="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9380" w:type="dxa"/>
            <w:vAlign w:val="bottom"/>
            <w:gridSpan w:val="17"/>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6"/>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174,057</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751,890</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 shares issued</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October 31, 2025 and January 31, 2025, respectively</w:t>
            </w:r>
          </w:p>
        </w:tc>
        <w:tc>
          <w:tcPr>
            <w:tcW w:w="2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Ordinary shares, $0.00045 par value per share, 200,000,000 shares authorized; 43,048,042 and</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41,963,959 shares issued and outstanding at October 31, 2025 and January 31, 2025, respectively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(252,057)</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590,113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751,890</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-4088130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5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10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10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236,448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(101,242)</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(94,735)</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(59,430)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(96,892)</w:t>
            </w: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22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(2.36)</w:t>
            </w:r>
          </w:p>
        </w:tc>
      </w:tr>
      <w:tr>
        <w:trPr>
          <w:trHeight w:val="178"/>
        </w:trPr>
        <w:tc>
          <w:tcPr>
            <w:tcW w:w="57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3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shareholders: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42,866,916</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41,479,459</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42,544,622</w:t>
            </w: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41,128,068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7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42,866,916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41,479,459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42,544,622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41,128,068</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-2365375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-2365375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-2365375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-1799590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-1799590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-1799590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-1517015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-1517015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-1517015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-1233805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-1233805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-1233805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-624840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-608330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-624840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-608330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-624840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-608330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-187960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4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(24,071)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(59,430)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(96,892)</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6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(14,632)</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(24,203)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(58,663)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(97,006)</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-316865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09"/>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Balance--January 31, 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41,963,959</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813,683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(233)</w:t>
            </w:r>
          </w:p>
        </w:tc>
        <w:tc>
          <w:tcPr>
            <w:tcW w:w="2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(252,057)</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(24,152)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(24,328)</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2025</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42,413,608</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848,756</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(276,385)</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572,716</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261,103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2025</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42,674,711</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872,822</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(296,380)</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576,520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286,176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1,325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87,155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(15,107)</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(15,107)</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Balance--October 31, 2025</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43,048,042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ind w:right="57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901,047</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534</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(311,487)</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590,113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4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tcPr>
          <w:p>
            <w:pPr>
              <w:jc w:val="center"/>
              <w:ind w:left="109"/>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920" w:type="dxa"/>
            <w:vAlign w:val="bottom"/>
            <w:gridSpan w:val="4"/>
            <w:vMerge w:val="restart"/>
          </w:tcPr>
          <w:p>
            <w:pPr>
              <w:jc w:val="center"/>
              <w:ind w:left="109"/>
              <w:spacing w:after="0"/>
              <w:rPr>
                <w:sz w:val="20"/>
                <w:szCs w:val="20"/>
                <w:color w:val="auto"/>
              </w:rPr>
            </w:pPr>
            <w:r>
              <w:rPr>
                <w:rFonts w:ascii="Times New Roman" w:cs="Times New Roman" w:eastAsia="Times New Roman" w:hAnsi="Times New Roman"/>
                <w:sz w:val="13"/>
                <w:szCs w:val="13"/>
                <w:b w:val="1"/>
                <w:bCs w:val="1"/>
                <w:color w:val="auto"/>
                <w:w w:val="96"/>
              </w:rPr>
              <w:t>Ordinary Shares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60" w:type="dxa"/>
            <w:vAlign w:val="bottom"/>
          </w:tcPr>
          <w:p>
            <w:pPr>
              <w:spacing w:after="0"/>
              <w:rPr>
                <w:sz w:val="12"/>
                <w:szCs w:val="12"/>
                <w:color w:val="auto"/>
              </w:rPr>
            </w:pPr>
          </w:p>
        </w:tc>
        <w:tc>
          <w:tcPr>
            <w:tcW w:w="9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80" w:type="dxa"/>
            <w:vAlign w:val="bottom"/>
          </w:tcPr>
          <w:p>
            <w:pPr>
              <w:spacing w:after="0"/>
              <w:rPr>
                <w:sz w:val="12"/>
                <w:szCs w:val="12"/>
                <w:color w:val="auto"/>
              </w:rPr>
            </w:pPr>
          </w:p>
        </w:tc>
        <w:tc>
          <w:tcPr>
            <w:tcW w:w="11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9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Balance--January 31, 2024</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40,520,558</w:t>
            </w: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7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694,967</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(134,931)</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559,871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97,074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(37,932)</w:t>
            </w:r>
          </w:p>
        </w:tc>
        <w:tc>
          <w:tcPr>
            <w:tcW w:w="0" w:type="dxa"/>
            <w:vAlign w:val="bottom"/>
          </w:tcPr>
          <w:p>
            <w:pPr>
              <w:spacing w:after="0"/>
              <w:rPr>
                <w:sz w:val="1"/>
                <w:szCs w:val="1"/>
                <w:color w:val="auto"/>
              </w:rPr>
            </w:pPr>
          </w:p>
        </w:tc>
      </w:tr>
      <w:tr>
        <w:trPr>
          <w:trHeight w:val="182"/>
        </w:trPr>
        <w:tc>
          <w:tcPr>
            <w:tcW w:w="46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Balance--April 30, 2024</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40,985,045</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728,842</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(172,863)</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555,425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62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287,626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(34,889)</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(34,889)</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Balance--July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41,272,671</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755,449</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(207,752)</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547,551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20" w:type="dxa"/>
            <w:vAlign w:val="bottom"/>
            <w:shd w:val="clear" w:color="auto" w:fill="CFF0FC"/>
          </w:tcPr>
          <w:p>
            <w:pPr>
              <w:ind w:left="100"/>
              <w:spacing w:after="0" w:line="129" w:lineRule="exact"/>
              <w:rPr>
                <w:sz w:val="20"/>
                <w:szCs w:val="20"/>
                <w:color w:val="auto"/>
              </w:rPr>
            </w:pPr>
            <w:r>
              <w:rPr>
                <w:rFonts w:ascii="Times New Roman" w:cs="Times New Roman" w:eastAsia="Times New Roman" w:hAnsi="Times New Roman"/>
                <w:sz w:val="14"/>
                <w:szCs w:val="14"/>
                <w:color w:val="auto"/>
              </w:rPr>
              <w:t>Issuance of shares through employee equity plans</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302,783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1,756</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shares through employee stock purchase plan</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95,262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25,211</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25,211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 net of tax</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48"/>
        </w:trPr>
        <w:tc>
          <w:tcPr>
            <w:tcW w:w="462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(24,071)</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(24,071)</w:t>
            </w:r>
          </w:p>
        </w:tc>
        <w:tc>
          <w:tcPr>
            <w:tcW w:w="0" w:type="dxa"/>
            <w:vAlign w:val="bottom"/>
          </w:tcPr>
          <w:p>
            <w:pPr>
              <w:spacing w:after="0"/>
              <w:rPr>
                <w:sz w:val="1"/>
                <w:szCs w:val="1"/>
                <w:color w:val="auto"/>
              </w:rPr>
            </w:pPr>
          </w:p>
        </w:tc>
      </w:tr>
      <w:tr>
        <w:trPr>
          <w:trHeight w:val="142"/>
        </w:trPr>
        <w:tc>
          <w:tcPr>
            <w:tcW w:w="462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Balance--October 31, 2024</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41,670,716</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57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786,396</w:t>
            </w:r>
          </w:p>
        </w:tc>
        <w:tc>
          <w:tcPr>
            <w:tcW w:w="220" w:type="dxa"/>
            <w:vAlign w:val="bottom"/>
            <w:tcBorders>
              <w:top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(297)</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33"/>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(231,823)</w:t>
            </w:r>
          </w:p>
        </w:tc>
        <w:tc>
          <w:tcPr>
            <w:tcW w:w="22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554,295</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-3685540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-3685540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-3685540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-3685540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-3685540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-3076575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-3059430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-3076575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-3059430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-3076575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-3059430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-3076575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-3059430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-3076575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-3059430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-2476500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-2459355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-2459355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-2459355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-2459355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-2459355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-1130935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-1113790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-1130935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-1113790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-1130935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-1113790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-1130935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-1113790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-1130935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-1113790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-728345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-728345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-728345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-728345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-728345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-128270</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-128270</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-128270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-128270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-128270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(59,430)</w:t>
            </w: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(96,892)</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19,234</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(491)</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80,495</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income taxes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non-cash items, net</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20" w:type="dxa"/>
            <w:vAlign w:val="bottom"/>
          </w:tcPr>
          <w:p>
            <w:pPr>
              <w:spacing w:after="0"/>
              <w:rPr>
                <w:sz w:val="17"/>
                <w:szCs w:val="17"/>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(12,460)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(9,017)</w:t>
            </w:r>
          </w:p>
        </w:tc>
      </w:tr>
      <w:tr>
        <w:trPr>
          <w:trHeight w:val="202"/>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Inventories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(4,777)</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(7,373)</w:t>
            </w: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non-current assets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(3,282)</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13,821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25,332</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(703)</w:t>
            </w:r>
          </w:p>
        </w:tc>
      </w:tr>
      <w:tr>
        <w:trPr>
          <w:trHeight w:val="203"/>
        </w:trPr>
        <w:tc>
          <w:tcPr>
            <w:tcW w:w="78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6,432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(2,937)</w:t>
            </w:r>
          </w:p>
        </w:tc>
      </w:tr>
      <w:tr>
        <w:trPr>
          <w:trHeight w:val="203"/>
        </w:trPr>
        <w:tc>
          <w:tcPr>
            <w:tcW w:w="7800" w:type="dxa"/>
            <w:vAlign w:val="bottom"/>
            <w:tcBorders>
              <w:bottom w:val="single" w:sz="8" w:color="CFF0FC"/>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8,406</w:t>
            </w:r>
          </w:p>
        </w:tc>
        <w:tc>
          <w:tcPr>
            <w:tcW w:w="120" w:type="dxa"/>
            <w:vAlign w:val="bottom"/>
          </w:tcPr>
          <w:p>
            <w:pPr>
              <w:spacing w:after="0"/>
              <w:rPr>
                <w:sz w:val="17"/>
                <w:szCs w:val="17"/>
                <w:color w:val="auto"/>
              </w:rPr>
            </w:pP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2"/>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investments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(53,158)</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(57,343)</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Sales of investments</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17,866</w:t>
            </w:r>
          </w:p>
        </w:tc>
        <w:tc>
          <w:tcPr>
            <w:tcW w:w="120" w:type="dxa"/>
            <w:vAlign w:val="bottom"/>
            <w:shd w:val="clear" w:color="auto" w:fill="CFF0FC"/>
          </w:tcPr>
          <w:p>
            <w:pPr>
              <w:spacing w:after="0"/>
              <w:rPr>
                <w:sz w:val="17"/>
                <w:szCs w:val="17"/>
                <w:color w:val="auto"/>
              </w:rPr>
            </w:pPr>
          </w:p>
        </w:tc>
      </w:tr>
      <w:tr>
        <w:trPr>
          <w:trHeight w:val="216"/>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15,613</w:t>
            </w:r>
          </w:p>
        </w:tc>
        <w:tc>
          <w:tcPr>
            <w:tcW w:w="120" w:type="dxa"/>
            <w:vAlign w:val="bottom"/>
          </w:tcPr>
          <w:p>
            <w:pPr>
              <w:spacing w:after="0"/>
              <w:rPr>
                <w:sz w:val="18"/>
                <w:szCs w:val="18"/>
                <w:color w:val="auto"/>
              </w:rPr>
            </w:pP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(11,590)</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(6,196)</w:t>
            </w:r>
          </w:p>
        </w:tc>
      </w:tr>
      <w:tr>
        <w:trPr>
          <w:trHeight w:val="20"/>
        </w:trPr>
        <w:tc>
          <w:tcPr>
            <w:tcW w:w="7800" w:type="dxa"/>
            <w:vAlign w:val="bottom"/>
            <w:tcBorders>
              <w:right w:val="single" w:sz="8" w:color="CFF0FC"/>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8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(26,103)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(30,060)</w:t>
            </w:r>
          </w:p>
        </w:tc>
      </w:tr>
      <w:tr>
        <w:trPr>
          <w:trHeight w:val="196"/>
        </w:trPr>
        <w:tc>
          <w:tcPr>
            <w:tcW w:w="78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 repurchase</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8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9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9,657</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Long-term financing payment for intangible assets</w:t>
            </w:r>
          </w:p>
        </w:tc>
        <w:tc>
          <w:tcPr>
            <w:tcW w:w="9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(5,943)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(5,795)</w:t>
            </w:r>
          </w:p>
        </w:tc>
      </w:tr>
      <w:tr>
        <w:trPr>
          <w:trHeight w:val="196"/>
        </w:trPr>
        <w:tc>
          <w:tcPr>
            <w:tcW w:w="7800" w:type="dxa"/>
            <w:vAlign w:val="bottom"/>
            <w:tcBorders>
              <w:bottom w:val="single" w:sz="8" w:color="CFF0FC"/>
              <w:right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(17,792)</w:t>
            </w:r>
          </w:p>
        </w:tc>
      </w:tr>
      <w:tr>
        <w:trPr>
          <w:trHeight w:val="203"/>
        </w:trPr>
        <w:tc>
          <w:tcPr>
            <w:tcW w:w="78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144,629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144,921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174,499</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127,129</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00" w:type="dxa"/>
            <w:vAlign w:val="bottom"/>
            <w:tcBorders>
              <w:right w:val="single" w:sz="8" w:color="CFF0FC"/>
            </w:tcBorders>
            <w:shd w:val="clear" w:color="auto" w:fill="CFF0FC"/>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9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7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900" w:type="dxa"/>
            <w:vAlign w:val="bottom"/>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160" w:type="dxa"/>
            <w:vAlign w:val="bottom"/>
          </w:tcPr>
          <w:p>
            <w:pPr>
              <w:spacing w:after="0"/>
              <w:rPr>
                <w:sz w:val="17"/>
                <w:szCs w:val="17"/>
                <w:color w:val="auto"/>
              </w:rPr>
            </w:pPr>
          </w:p>
        </w:tc>
        <w:tc>
          <w:tcPr>
            <w:tcW w:w="10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-2588260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-1790700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powerful artificial intelligence (AI) processing, advanced image signal processing, and high-definition (HD) and Ultra HD compression.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products fully integrate high-definition video processing, image processing, AI algorithms, audio processing and system functions onto a single chip. These low power SoCs deliver exceptional video and image quality and can extract valuable data from high-resolution video and radar streams. The Company is currently addressing a broad range of human and AI applications, including video security,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sells its solutions to leading original equipment manufacturers, or OEMs, who include the Company’s SoCs in their products, and original design manufacturers, or ODMs, who include the Company’s SoCs in the products that they supply to OEMs, globally.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2025 fiscal year filed with the SEC on March 28, 2025 (the Form 10-K) and updated, as necessary, in this Form 10-Q. The year-end condensed consolidated balance sheet data presented for comparative purposes was derived from audited financial statements.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Company’s significant accounting policies described in Note 1, </w:t>
      </w:r>
      <w:r>
        <w:rPr>
          <w:rFonts w:ascii="Times New Roman" w:cs="Times New Roman" w:eastAsia="Times New Roman" w:hAnsi="Times New Roman"/>
          <w:sz w:val="18"/>
          <w:szCs w:val="18"/>
          <w:i w:val="1"/>
          <w:iCs w:val="1"/>
          <w:color w:val="auto"/>
        </w:rPr>
        <w:t>Organization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of the Notes to Consolidated Financial Statements included in the Company’s Annual Report on Form 10-K for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January 31, 2025.</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160" w:firstLine="554"/>
        <w:spacing w:after="0" w:line="256"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WT, which serves as its non-exclusive sales representative and fulfillment partner in Asia other than Japan, and to one ODM, Chicony Electronics Co., Ltd., or Chicony, which manufactures devices incorporating the Company’s solutions on behalf of multiple end-customers. Termination of the relationships with these customers could result in a temporary or permanent loss of revenue. Furthermore, any credit issues from these customers could impair their abilities to make timely payment to the Company. See Note 15 for additional information regarding revenue and credit concentration with these customers.</w:t>
      </w:r>
    </w:p>
    <w:p>
      <w:pPr>
        <w:spacing w:after="0" w:line="187"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fixed deposits, corporate bonds, asset-backed securities and U.S. government securities which management assesses to be highly liquid. The Company does not hold or issue financial instruments for trading purposes.</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2026, the Company entered into a Letter of Credit of approximately $0.4 million with a financial institution as collateral for the security deposit on its new office lease located in Santa Clara, California. Refer to Note 7, Leases for detailed lease information. The Letter of Credit is irrevocable for one year, during which the Company has the obligation to maintain the full amount of the Letter of Credit. The restricted cash also includes those amounts required to be set aside to secure certain transactions in a foreign entity. The following table presents cash, cash equivalents and restricted cash reported on the condensed consolidated balance sheets, and the totals are presented on the condensed consolidated statements of cash flows: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1"/>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3"/>
          </w:tcPr>
          <w:p>
            <w:pPr>
              <w:jc w:val="right"/>
              <w:ind w:right="738"/>
              <w:spacing w:after="0" w:line="155"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174,057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144,622</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127,122</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as presented in the condensed consolidated</w:t>
            </w: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144,629</w:t>
            </w:r>
          </w:p>
        </w:tc>
        <w:tc>
          <w:tcPr>
            <w:tcW w:w="3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127,129</w:t>
            </w: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80" w:type="dxa"/>
            <w:vAlign w:val="bottom"/>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statements of cash flows</w:t>
            </w:r>
          </w:p>
        </w:tc>
        <w:tc>
          <w:tcPr>
            <w:tcW w:w="24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320" w:type="dxa"/>
            <w:vAlign w:val="bottom"/>
            <w:gridSpan w:val="2"/>
            <w:vMerge w:val="continue"/>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300" w:type="dxa"/>
            <w:vAlign w:val="bottom"/>
            <w:gridSpan w:val="2"/>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-25400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 Update (ASU) 2023-09,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740): Improvements to Income Tax Disclosures</w:t>
      </w:r>
      <w:r>
        <w:rPr>
          <w:rFonts w:ascii="Times New Roman" w:cs="Times New Roman" w:eastAsia="Times New Roman" w:hAnsi="Times New Roman"/>
          <w:sz w:val="18"/>
          <w:szCs w:val="18"/>
          <w:color w:val="auto"/>
        </w:rPr>
        <w:t>. This new guidance requires additional disclosures related to effective tax rate reconciliation,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modified income tax-related disclosures. The ASU shall be applied on a prospective basis with retrospective application permitted, and is effective for annual periods beginning after December 15, 2024. The Company expects to adopt this new guidance for its fiscal period ending January 31, 2026. The Company expects that such adoption will only have an impact on its financial disclosures and does not believe it will have a material impact on its consolidated financial statements.</w:t>
      </w:r>
    </w:p>
    <w:p>
      <w:pPr>
        <w:spacing w:after="0" w:line="18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new guidance requires public entities to provide disaggregated disclosures,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of certain categories of expenses that are included in expense line items on the face of income statement. The ASU may be applied prospectively or retrospectively and is effective for fiscal years beginning after December 15, 2026 and for interim periods beginning after December 15, 2027. Early adoption is permitted. The Company is currently evaluating the impact of adoption of this new guidance on its consolidated financial statements and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new guidance simplifies the estimation of credit losses on current accounts receivable and current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transactions accounted for under Accounting Standard Codification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and allows all entities to elect a practical expedient to assume that the current conditions as of the balance sheet date will remain unchanged for the remaining life of the asset when developing a reasonable and supportable forecast as part of estimating expected credit losses on these assets. The new guidance is effective for fiscal years beginning after December 15, 2025, and interim periods within those fiscal years. Early adoption is permitted. The Company is currently evaluating the impact of adoption of this new guidance on its consolidated financial statements and disclosures.</w:t>
      </w:r>
    </w:p>
    <w:p>
      <w:pPr>
        <w:spacing w:after="0" w:line="11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 of Software Costs</w:t>
      </w:r>
      <w:r>
        <w:rPr>
          <w:rFonts w:ascii="Times New Roman" w:cs="Times New Roman" w:eastAsia="Times New Roman" w:hAnsi="Times New Roman"/>
          <w:sz w:val="18"/>
          <w:szCs w:val="18"/>
          <w:color w:val="auto"/>
        </w:rPr>
        <w:t>. This new guidance removes all references to project stages throughout ASC 350-40 and clarifies the threshold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begin capitalizing costs. The new guidance also specifies that the disclosures under ASC 360-10</w:t>
      </w:r>
      <w:r>
        <w:rPr>
          <w:rFonts w:ascii="Times New Roman" w:cs="Times New Roman" w:eastAsia="Times New Roman" w:hAnsi="Times New Roman"/>
          <w:sz w:val="18"/>
          <w:szCs w:val="18"/>
          <w:i w:val="1"/>
          <w:iCs w:val="1"/>
          <w:color w:val="auto"/>
        </w:rPr>
        <w:t>, Property, Plant, and Equipment — Overall</w:t>
      </w:r>
      <w:r>
        <w:rPr>
          <w:rFonts w:ascii="Times New Roman" w:cs="Times New Roman" w:eastAsia="Times New Roman" w:hAnsi="Times New Roman"/>
          <w:sz w:val="18"/>
          <w:szCs w:val="18"/>
          <w:color w:val="auto"/>
        </w:rPr>
        <w:t xml:space="preserve"> apply to capitalized software costs accounted for under </w:t>
      </w:r>
      <w:r>
        <w:rPr>
          <w:rFonts w:ascii="Times New Roman" w:cs="Times New Roman" w:eastAsia="Times New Roman" w:hAnsi="Times New Roman"/>
          <w:sz w:val="18"/>
          <w:szCs w:val="18"/>
          <w:i w:val="1"/>
          <w:iCs w:val="1"/>
          <w:color w:val="auto"/>
        </w:rPr>
        <w:t>Subtopic 350-40</w:t>
      </w:r>
      <w:r>
        <w:rPr>
          <w:rFonts w:ascii="Times New Roman" w:cs="Times New Roman" w:eastAsia="Times New Roman" w:hAnsi="Times New Roman"/>
          <w:sz w:val="18"/>
          <w:szCs w:val="18"/>
          <w:color w:val="auto"/>
        </w:rPr>
        <w:t>, regardless of how those costs are presented in the financial statements. The new guidance may be applied using a prospective, retrospective or modified transition approach, and it is effective for fiscal years beginning after December 15, 2027 and interim periods within those fiscal years. Early adoption is permitted. The Company early adopted this new guidance using a prospective transition approach and there was no material impact on its consolidated financial statements and disclosures.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340" w:firstLine="554"/>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money market funds, fixed deposits and marketable debt securities that are denominated in United States dollars. The marketable debt security portfolio consists of corporate bonds, asset-backed securities and U.S. government securities. All of the investments are classified as available-for-sale securities and reported at fair value in the condensed consolidated balance sheets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5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8"/>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center"/>
              <w:ind w:lef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55,138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-1285240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-1268095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-1285240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-1268095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-1285240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-1268095</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-1285240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-1268095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8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breakdown of unrealized losses as of October 31, 2025 and January 31, 2025, respectively, aggregated by investment category and length of time that individual securities have been in a continuous loss position: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24"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40" w:type="dxa"/>
            <w:vAlign w:val="bottom"/>
            <w:shd w:val="clear" w:color="auto" w:fill="CFF0FC"/>
          </w:tcPr>
          <w:p>
            <w:pPr>
              <w:spacing w:after="0"/>
              <w:rPr>
                <w:sz w:val="16"/>
                <w:szCs w:val="16"/>
                <w:color w:val="auto"/>
              </w:rPr>
            </w:pPr>
          </w:p>
        </w:tc>
        <w:tc>
          <w:tcPr>
            <w:tcW w:w="2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90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17,306</w:t>
            </w:r>
          </w:p>
        </w:tc>
        <w:tc>
          <w:tcPr>
            <w:tcW w:w="6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4"/>
        </w:trPr>
        <w:tc>
          <w:tcPr>
            <w:tcW w:w="3280" w:type="dxa"/>
            <w:vAlign w:val="bottom"/>
            <w:gridSpan w:val="2"/>
            <w:shd w:val="clear" w:color="auto" w:fill="CFF0FC"/>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shd w:val="clear" w:color="auto" w:fill="CFF0FC"/>
          </w:tcPr>
          <w:p>
            <w:pPr>
              <w:spacing w:after="0"/>
              <w:rPr>
                <w:sz w:val="18"/>
                <w:szCs w:val="18"/>
                <w:color w:val="auto"/>
              </w:rPr>
            </w:pPr>
          </w:p>
        </w:tc>
        <w:tc>
          <w:tcPr>
            <w:tcW w:w="96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280" w:type="dxa"/>
            <w:vAlign w:val="bottom"/>
            <w:gridSpan w:val="2"/>
            <w:vMerge w:val="continue"/>
            <w:shd w:val="clear" w:color="auto" w:fill="CFF0FC"/>
          </w:tcPr>
          <w:p>
            <w:pPr>
              <w:spacing w:after="0"/>
              <w:rPr>
                <w:sz w:val="18"/>
                <w:szCs w:val="18"/>
                <w:color w:val="auto"/>
              </w:rPr>
            </w:pPr>
          </w:p>
        </w:tc>
        <w:tc>
          <w:tcPr>
            <w:tcW w:w="960" w:type="dxa"/>
            <w:vAlign w:val="bottom"/>
            <w:gridSpan w:val="3"/>
            <w:vMerge w:val="continue"/>
            <w:shd w:val="clear" w:color="auto" w:fill="CFF0FC"/>
          </w:tcPr>
          <w:p>
            <w:pPr>
              <w:spacing w:after="0"/>
              <w:rPr>
                <w:sz w:val="18"/>
                <w:szCs w:val="18"/>
                <w:color w:val="auto"/>
              </w:rPr>
            </w:pPr>
          </w:p>
        </w:tc>
        <w:tc>
          <w:tcPr>
            <w:tcW w:w="660" w:type="dxa"/>
            <w:vAlign w:val="bottom"/>
            <w:gridSpan w:val="2"/>
            <w:vMerge w:val="continue"/>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5"/>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0"/>
                <w:szCs w:val="10"/>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9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8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8"/>
                <w:szCs w:val="18"/>
                <w:color w:val="auto"/>
              </w:rPr>
              <w:t>Total marketable debt securities at loss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51,632</w:t>
            </w:r>
          </w:p>
        </w:tc>
        <w:tc>
          <w:tcPr>
            <w:tcW w:w="140" w:type="dxa"/>
            <w:vAlign w:val="bottom"/>
          </w:tcPr>
          <w:p>
            <w:pPr>
              <w:spacing w:after="0"/>
              <w:rPr>
                <w:sz w:val="16"/>
                <w:szCs w:val="16"/>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9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62,928</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4"/>
        </w:trPr>
        <w:tc>
          <w:tcPr>
            <w:tcW w:w="32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position</w:t>
            </w:r>
          </w:p>
        </w:tc>
        <w:tc>
          <w:tcPr>
            <w:tcW w:w="1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3"/>
                <w:szCs w:val="13"/>
                <w:color w:val="auto"/>
              </w:rPr>
            </w:pPr>
          </w:p>
        </w:tc>
        <w:tc>
          <w:tcPr>
            <w:tcW w:w="1340" w:type="dxa"/>
            <w:vAlign w:val="bottom"/>
            <w:tcBorders>
              <w:bottom w:val="single" w:sz="8" w:color="auto"/>
            </w:tcBorders>
            <w:gridSpan w:val="5"/>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28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4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8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121,241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4240" w:type="dxa"/>
            <w:vAlign w:val="bottom"/>
            <w:gridSpan w:val="8"/>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128,098</w:t>
            </w:r>
          </w:p>
        </w:tc>
        <w:tc>
          <w:tcPr>
            <w:tcW w:w="4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15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-3470910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-3453765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-3470910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-3453765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-3470910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-3453765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-3470910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-3453765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-3470910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-3453765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-3470910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-3453765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-2399665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-2399665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-2399665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-2399665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-2399665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October 31, 2025 and January 31, 2025 were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6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8"/>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210"/>
        </w:trPr>
        <w:tc>
          <w:tcPr>
            <w:tcW w:w="6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35,405</w:t>
            </w:r>
          </w:p>
        </w:tc>
        <w:tc>
          <w:tcPr>
            <w:tcW w:w="80" w:type="dxa"/>
            <w:vAlign w:val="bottom"/>
            <w:shd w:val="clear" w:color="auto" w:fill="CFF0FC"/>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9"/>
              </w:rPr>
              <w:t>Due in 1</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74,087</w:t>
            </w:r>
          </w:p>
        </w:tc>
        <w:tc>
          <w:tcPr>
            <w:tcW w:w="80" w:type="dxa"/>
            <w:vAlign w:val="bottom"/>
          </w:tcPr>
          <w:p>
            <w:pPr>
              <w:spacing w:after="0"/>
              <w:rPr>
                <w:sz w:val="18"/>
                <w:szCs w:val="18"/>
                <w:color w:val="auto"/>
              </w:rPr>
            </w:pPr>
          </w:p>
        </w:tc>
      </w:tr>
      <w:tr>
        <w:trPr>
          <w:trHeight w:val="216"/>
        </w:trPr>
        <w:tc>
          <w:tcPr>
            <w:tcW w:w="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Due in 5</w:t>
            </w:r>
          </w:p>
        </w:tc>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- 15 years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8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(loss) in the condensed consolidated balance sheets. The credit-related losses were not material for the three and nine months ended October 31, 2025 and 2024, respectively.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fixed deposits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October 31, 2025 and January 31,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42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121,241</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8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77"/>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3"/>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and fixed deposits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42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-2253615</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-2236470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-2253615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-2236470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-2253615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-2236470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-2253615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-2236470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-1207770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-1207770</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-1207770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-1207770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at October 31,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jc w:val="right"/>
              <w:ind w:right="10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8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80" w:type="dxa"/>
            <w:vAlign w:val="bottom"/>
          </w:tcPr>
          <w:p>
            <w:pPr>
              <w:spacing w:after="0"/>
              <w:rPr>
                <w:sz w:val="18"/>
                <w:szCs w:val="18"/>
                <w:color w:val="auto"/>
              </w:rPr>
            </w:pPr>
          </w:p>
        </w:tc>
      </w:tr>
      <w:tr>
        <w:trPr>
          <w:trHeight w:val="249"/>
        </w:trPr>
        <w:tc>
          <w:tcPr>
            <w:tcW w:w="46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431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$1.2 million and $1.2 million for the three months ended October 31, 2025 and 2024, respectively, and was approximately $3.5 million and $3.6 million for the nine months ended October 31, 2025 and 2024, respectively. Property and equipment at October 31, 2025 and January 31, 2025 consisted of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4"/>
          </w:tcPr>
          <w:p>
            <w:pPr>
              <w:jc w:val="right"/>
              <w:ind w:right="932"/>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(30,409)</w:t>
            </w:r>
          </w:p>
        </w:tc>
      </w:tr>
      <w:tr>
        <w:trPr>
          <w:trHeight w:val="209"/>
        </w:trPr>
        <w:tc>
          <w:tcPr>
            <w:tcW w:w="48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10,725</w:t>
            </w: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80" w:type="dxa"/>
            <w:vAlign w:val="bottom"/>
            <w:tcBorders>
              <w:top w:val="single" w:sz="8" w:color="CFF0FC"/>
            </w:tcBorders>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-453390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in a business combination.</w:t>
      </w:r>
    </w:p>
    <w:p>
      <w:pPr>
        <w:spacing w:after="0" w:line="5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primarily consist of software licenses as well as developed technology, customer relationships and trade name that were acquired from business combinations.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October 31, 2025, approximately $3.5 million of software license liabilities were recorded in accrued and other current liabilities and approximately $0.4 million were recorded in other long-term liabilities in the condensed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October 31, 2025 and January 31, 2025 were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0"/>
                <w:szCs w:val="10"/>
                <w:color w:val="auto"/>
              </w:rPr>
            </w:pPr>
          </w:p>
        </w:tc>
        <w:tc>
          <w:tcPr>
            <w:tcW w:w="2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gridSpan w:val="3"/>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(26,750)</w:t>
            </w: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20,611</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(18,755)</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(5,867)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tcPr>
          <w:p>
            <w:pPr>
              <w:spacing w:after="0"/>
              <w:rPr>
                <w:sz w:val="21"/>
                <w:szCs w:val="21"/>
                <w:color w:val="auto"/>
              </w:rPr>
            </w:pPr>
          </w:p>
        </w:tc>
        <w:tc>
          <w:tcPr>
            <w:tcW w:w="2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(46,307)</w:t>
            </w:r>
          </w:p>
        </w:tc>
        <w:tc>
          <w:tcPr>
            <w:tcW w:w="1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81,951</w:t>
            </w:r>
          </w:p>
        </w:tc>
        <w:tc>
          <w:tcPr>
            <w:tcW w:w="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(34,672)</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47,279</w:t>
            </w:r>
          </w:p>
        </w:tc>
        <w:tc>
          <w:tcPr>
            <w:tcW w:w="10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-933450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-916305</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-933450</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-916305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-933450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-916305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514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-933450</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-916305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-933450</wp:posOffset>
            </wp:positionV>
            <wp:extent cx="59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-916305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firstLine="509"/>
        <w:spacing w:after="0" w:line="254" w:lineRule="auto"/>
        <w:rPr>
          <w:sz w:val="20"/>
          <w:szCs w:val="20"/>
          <w:color w:val="auto"/>
        </w:rPr>
      </w:pPr>
      <w:r>
        <w:rPr>
          <w:rFonts w:ascii="Times New Roman" w:cs="Times New Roman" w:eastAsia="Times New Roman" w:hAnsi="Times New Roman"/>
          <w:sz w:val="18"/>
          <w:szCs w:val="18"/>
          <w:color w:val="auto"/>
        </w:rPr>
        <w:t>The amortization expense associated with software licenses was approximately $3.2 million and $3.1 million for the three months ended October 31, 2025 and 2024, respectively, and was approximately $10.0 million and $9.1 million for the nine months ended October 31, 2025 and 2024, respectively. The amortization expense associated with acquisition-related intangible assets, including developed technology, customer relationships and trade name, was approximately $1.2 million and $1.2 million for the three months ended October 31, 2025 and 2024, respectively, and was approximately $3.6 million and $3.6 million for the nine months ended October 31, 2025 and 2024, respectively. As of October 31, 2025, the Company has not commenced amortization with respect to approximately $7.3 million of software licenses with alternative uses that are to be sold, leased or otherwise marketed as part of products. Once the associated products are available for general release to customers, the Company will commence amortization on a product-by-product basis over the remaining estimated economic life of the products. The expected future amortization expense related to the intangible assets as of October 31, 2025 is as follows: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380" w:type="dxa"/>
            <w:vAlign w:val="bottom"/>
            <w:vMerge w:val="restart"/>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380" w:type="dxa"/>
            <w:vAlign w:val="bottom"/>
            <w:vMerge w:val="continue"/>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(3 months remaining)</w:t>
            </w:r>
          </w:p>
        </w:tc>
        <w:tc>
          <w:tcPr>
            <w:tcW w:w="2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2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38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Goodwill and intangible assets are tested for impairment at least annually, in the fourth fiscal quarter, or more frequently if events or changes in circumstances indicate that they may be impaired. There were no goodwill and intangible asset impairments for the three and nine months ended October 31, 2025 and 2024, respectively.</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October 31,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25,386</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32,929</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deposit liability</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80,781</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100" w:firstLine="450"/>
        <w:spacing w:after="0" w:line="261" w:lineRule="auto"/>
        <w:rPr>
          <w:sz w:val="20"/>
          <w:szCs w:val="20"/>
          <w:color w:val="auto"/>
        </w:rPr>
      </w:pPr>
      <w:r>
        <w:rPr>
          <w:rFonts w:ascii="Times New Roman" w:cs="Times New Roman" w:eastAsia="Times New Roman" w:hAnsi="Times New Roman"/>
          <w:sz w:val="18"/>
          <w:szCs w:val="18"/>
          <w:color w:val="auto"/>
        </w:rPr>
        <w:t>The accrued employee compensation primarily consists of accrued payroll and accrued employee benefits, as well as employee stock purchase plan withholding. In the first quarter of fiscal year 2026, approximately $9.8 million of annual bonus was paid, of which $3.7 million was paid in cash and $6.1 million was settled with fully vested restricted stock units. The $13.5 million of development deposit liability represents a cash advance from a customer for funding a development project that is subject to certain refund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In December 2024, the Company entered into a new office lease for its headquarters in Santa Clara, California with a term of 104 months from September 1, 2025 to April 30, 2034 and an option to extend for an additional five years. The lease commencement date was established on September 1, 2025. Accordingly, an operating lease right-of-use (ROU) asset of approximately $10.0 million, net of $0.5 million of lease incentives and prepayments, and a corresponding $10.5 million lease liability was recorded in the condensed consolidated balance sheets as of the lease commencement date. The optional lease term is not recognized as part of the ROU asset and lease liability.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firstLine="469"/>
        <w:spacing w:after="0" w:line="266" w:lineRule="auto"/>
        <w:rPr>
          <w:sz w:val="20"/>
          <w:szCs w:val="20"/>
          <w:color w:val="auto"/>
        </w:rPr>
      </w:pPr>
      <w:r>
        <w:rPr>
          <w:rFonts w:ascii="Times New Roman" w:cs="Times New Roman" w:eastAsia="Times New Roman" w:hAnsi="Times New Roman"/>
          <w:sz w:val="18"/>
          <w:szCs w:val="18"/>
          <w:color w:val="auto"/>
        </w:rPr>
        <w:t>The operating lease expense was approximately $0.9 million and $0.9 million for the three months ended October 31, 2025 and 2024, respectively, and was approximately $2.7 million and $2.9 million for the nine months ended October 31, 2025 and 2024, respectively. The Company's short-term leases and finance leases were not material as of October 31, 2025 and January 31, 2025, respectively.</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180" w:type="dxa"/>
            <w:vAlign w:val="bottom"/>
          </w:tcPr>
          <w:p>
            <w:pPr>
              <w:spacing w:after="0"/>
              <w:rPr>
                <w:sz w:val="13"/>
                <w:szCs w:val="13"/>
                <w:color w:val="auto"/>
              </w:rPr>
            </w:pPr>
          </w:p>
        </w:tc>
        <w:tc>
          <w:tcPr>
            <w:tcW w:w="21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3"/>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operating leases included in operating cash</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flows</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assets obtained in exchange for lease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the weighted average remaining lease term is 7.06 years, and the weighted average discount rate is 7.96 percent. Future minimum lease payments for the lease liabilities are as follows: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4120" w:type="dxa"/>
            <w:vAlign w:val="bottom"/>
            <w:vMerge w:val="restart"/>
          </w:tcPr>
          <w:p>
            <w:pPr>
              <w:spacing w:after="0"/>
              <w:rPr>
                <w:sz w:val="15"/>
                <w:szCs w:val="15"/>
                <w:color w:val="auto"/>
              </w:rPr>
            </w:pP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41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80" w:type="dxa"/>
            <w:vAlign w:val="bottom"/>
            <w:tcBorders>
              <w:top w:val="single" w:sz="8" w:color="auto"/>
            </w:tcBorders>
          </w:tcPr>
          <w:p>
            <w:pPr>
              <w:jc w:val="center"/>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 (3 months remaining)</w:t>
            </w: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4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2030</w:t>
            </w:r>
          </w:p>
        </w:tc>
        <w:tc>
          <w:tcPr>
            <w:tcW w:w="4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shd w:val="clear" w:color="auto" w:fill="CFF0FC"/>
          </w:tcPr>
          <w:p>
            <w:pPr>
              <w:spacing w:after="0" w:line="20" w:lineRule="exact"/>
              <w:rPr>
                <w:sz w:val="1"/>
                <w:szCs w:val="1"/>
                <w:color w:val="auto"/>
              </w:rPr>
            </w:pPr>
          </w:p>
        </w:tc>
        <w:tc>
          <w:tcPr>
            <w:tcW w:w="4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Deferred Revenue</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Deferred revenue is primarily related to nonrecurring engineering (NRE) charges that are either invoiced or paid but for which the related performance obligations are not yet satisfied, as well as, for product shipments, a portion of a transaction price that exceeds the weighted average selling price for products sold to date under tiered-pricing contracts that contain material rights. During the nine months ended October 31, 2025 and 2024, the amounts recognized as revenue that were included in the deferred revenue balance at the end of prior fiscal years were approximately $8.8 million and $0.8 million, respectively.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2025, the amount of remaining unsatisfied performance obligations on contracts, primarily consisting of NRE project service agreements and product purchase orders with original contract duration of more than one year, was approximately $39.4 million, of which approximately 73% is expected to be recognized within the next 12 months. This does not include amounts from contracts that have an original expected contract duration of one year or less.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October 31, 2025 and January 31, 2025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3"/>
                <w:szCs w:val="13"/>
                <w:color w:val="auto"/>
              </w:rPr>
            </w:pPr>
          </w:p>
        </w:tc>
      </w:tr>
      <w:tr>
        <w:trPr>
          <w:trHeight w:val="142"/>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80" w:type="dxa"/>
            <w:vAlign w:val="bottom"/>
          </w:tcPr>
          <w:p>
            <w:pPr>
              <w:spacing w:after="0"/>
              <w:rPr>
                <w:sz w:val="12"/>
                <w:szCs w:val="12"/>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8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63" w:lineRule="exact"/>
        <w:rPr>
          <w:sz w:val="20"/>
          <w:szCs w:val="20"/>
          <w:color w:val="auto"/>
        </w:rPr>
      </w:pPr>
    </w:p>
    <w:p>
      <w:pPr>
        <w:ind w:left="520" w:right="9340" w:hanging="512"/>
        <w:spacing w:after="0" w:line="377" w:lineRule="auto"/>
        <w:tabs>
          <w:tab w:leader="none" w:pos="28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preference shares issued and outstanding as of October 31, 2025 and January 31, 2025, respectively.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2026, the Company added 524,549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38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February 1st of each fiscal year, or (iii) an amount determined by the Company’s Board of Directors or a duly authorized committee of the Board of Directors.</w:t>
      </w:r>
    </w:p>
    <w:p>
      <w:pPr>
        <w:spacing w:after="0" w:line="73"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and January 31, 2025, the following ordinary shares were reserved for future issuance under the Company’s equity plans and employee stock purchase plan:</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16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October 31, 2025</w:t>
            </w:r>
          </w:p>
        </w:tc>
        <w:tc>
          <w:tcPr>
            <w:tcW w:w="12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January 31, 2025</w:t>
            </w:r>
          </w:p>
        </w:tc>
        <w:tc>
          <w:tcPr>
            <w:tcW w:w="80" w:type="dxa"/>
            <w:vAlign w:val="bottom"/>
          </w:tcPr>
          <w:p>
            <w:pPr>
              <w:spacing w:after="0"/>
              <w:rPr>
                <w:sz w:val="12"/>
                <w:szCs w:val="12"/>
                <w:color w:val="auto"/>
              </w:rPr>
            </w:pPr>
          </w:p>
        </w:tc>
      </w:tr>
      <w:tr>
        <w:trPr>
          <w:trHeight w:val="191"/>
        </w:trPr>
        <w:tc>
          <w:tcPr>
            <w:tcW w:w="48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3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equity plans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4,069,245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4,991,570</w:t>
            </w:r>
          </w:p>
        </w:tc>
        <w:tc>
          <w:tcPr>
            <w:tcW w:w="80" w:type="dxa"/>
            <w:vAlign w:val="bottom"/>
            <w:shd w:val="clear" w:color="auto" w:fill="CFF0FC"/>
          </w:tcPr>
          <w:p>
            <w:pPr>
              <w:spacing w:after="0"/>
              <w:rPr>
                <w:sz w:val="20"/>
                <w:szCs w:val="20"/>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3,975,230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3,636,591</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40" w:firstLine="450"/>
        <w:spacing w:after="0" w:line="255" w:lineRule="auto"/>
        <w:rPr>
          <w:sz w:val="20"/>
          <w:szCs w:val="20"/>
          <w:color w:val="auto"/>
        </w:rPr>
      </w:pPr>
      <w:r>
        <w:rPr>
          <w:rFonts w:ascii="Times New Roman" w:cs="Times New Roman" w:eastAsia="Times New Roman" w:hAnsi="Times New Roman"/>
          <w:sz w:val="18"/>
          <w:szCs w:val="18"/>
          <w:color w:val="auto"/>
        </w:rPr>
        <w:t>On May 28, 2025, the Company's Board of Directors approved an extension of the Company's existing share repurchase program for an additional twelve months through June 30, 2026. During the nine months ended October 31, 2025, the Company repurchased a total of 24,152 shares for approximately $1.0 million in cash. As of October 31, 2025, there was approximately $48.0 million available for repurchases under the current repurchase program through June 30, 2026.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Cost of revenue</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4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6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r>
      <w:tr>
        <w:trPr>
          <w:trHeight w:val="173"/>
        </w:trPr>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31,</w:t>
            </w:r>
          </w:p>
        </w:tc>
        <w:tc>
          <w:tcPr>
            <w:tcW w:w="640" w:type="dxa"/>
            <w:vAlign w:val="bottom"/>
            <w:tcBorders>
              <w:bottom w:val="single" w:sz="8" w:color="auto"/>
            </w:tcBorders>
          </w:tcPr>
          <w:p>
            <w:pPr>
              <w:spacing w:after="0"/>
              <w:rPr>
                <w:sz w:val="15"/>
                <w:szCs w:val="15"/>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84"/>
        </w:trPr>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w:t>
            </w:r>
          </w:p>
        </w:tc>
        <w:tc>
          <w:tcPr>
            <w:tcW w:w="98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7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54,653</w:t>
            </w:r>
          </w:p>
        </w:tc>
      </w:tr>
      <w:tr>
        <w:trPr>
          <w:trHeight w:val="234"/>
        </w:trPr>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23,503</w:t>
            </w:r>
          </w:p>
        </w:tc>
      </w:tr>
      <w:tr>
        <w:trPr>
          <w:trHeight w:val="21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-719455</wp:posOffset>
            </wp:positionV>
            <wp:extent cx="498919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-445135</wp:posOffset>
            </wp:positionV>
            <wp:extent cx="498919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-162560</wp:posOffset>
            </wp:positionV>
            <wp:extent cx="498919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80" w:space="720"/>
            <w:col w:w="5540"/>
          </w:cols>
          <w:pgMar w:left="320" w:top="981" w:right="33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October 31, 2025, approximately $5.6 million of stock-based compensation expense was accrued in accrued and other current liabilities in the condensed consolidated balance sheets. Total unrecognized compensation cost related to unvested restricted stock units at October 31, 2025 was approximately $175.1 million and is expected to be recognized over a weighted-average period of 2.52 years. Total unrecognized compensation cost related to unvested stock options at October 31, 2025 was immaterial.</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employee stock purchase plan awards for the periods indicated:</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3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October</w:t>
            </w:r>
          </w:p>
        </w:tc>
        <w:tc>
          <w:tcPr>
            <w:tcW w:w="22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term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4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226,616</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4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(47,641)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(16,619)</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162,356</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2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October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162,343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-281940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October 31, 2025 was $85.23, as reported by The Nasdaq Global Select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activities for the period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2,645,379</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(874,684)</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(221,545)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October 31, 2025</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2,908,418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2025, the aggregate intrinsic value of unvested restricted stock units was $247.9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6"/>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60" w:type="dxa"/>
            <w:vAlign w:val="bottom"/>
          </w:tcPr>
          <w:p>
            <w:pPr>
              <w:spacing w:after="0"/>
              <w:rPr>
                <w:sz w:val="15"/>
                <w:szCs w:val="15"/>
                <w:color w:val="auto"/>
              </w:rPr>
            </w:pPr>
          </w:p>
        </w:tc>
        <w:tc>
          <w:tcPr>
            <w:tcW w:w="24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5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share and per share data)</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(15,107)</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(24,071)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(59,430)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(96,892)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42,866,916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41,479,459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42,544,622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41,128,068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ordinary shares - diluted</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42,866,916</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41,479,459</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42,544,622</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41,128,068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ordinary share: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8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-488315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-470535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-488315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-470535</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-488315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-470535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-470535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-187960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596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50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0" w:type="dxa"/>
            <w:vAlign w:val="bottom"/>
          </w:tcPr>
          <w:p>
            <w:pPr>
              <w:spacing w:after="0"/>
              <w:rPr>
                <w:sz w:val="15"/>
                <w:szCs w:val="15"/>
                <w:color w:val="auto"/>
              </w:rPr>
            </w:pPr>
          </w:p>
        </w:tc>
        <w:tc>
          <w:tcPr>
            <w:tcW w:w="26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47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190,382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79,517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205,214</w:t>
            </w:r>
          </w:p>
        </w:tc>
        <w:tc>
          <w:tcPr>
            <w:tcW w:w="12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1,530,417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2,272,057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988,392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2,028,574</w:t>
            </w:r>
          </w:p>
        </w:tc>
        <w:tc>
          <w:tcPr>
            <w:tcW w:w="12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22,054</w:t>
            </w: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14,036</w:t>
            </w:r>
          </w:p>
        </w:tc>
        <w:tc>
          <w:tcPr>
            <w:tcW w:w="20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2,477,648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1,081,945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2,245,300</w:t>
            </w:r>
          </w:p>
        </w:tc>
        <w:tc>
          <w:tcPr>
            <w:tcW w:w="1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-170815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4"/>
          </w:tcPr>
          <w:p>
            <w:pPr>
              <w:jc w:val="center"/>
              <w:ind w:right="597"/>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(14,174)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(23,419)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(57,599)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(94,735)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firstLine="509"/>
        <w:spacing w:after="0" w:line="277" w:lineRule="auto"/>
        <w:rPr>
          <w:sz w:val="20"/>
          <w:szCs w:val="20"/>
          <w:color w:val="auto"/>
        </w:rPr>
      </w:pPr>
      <w:r>
        <w:rPr>
          <w:rFonts w:ascii="Times New Roman" w:cs="Times New Roman" w:eastAsia="Times New Roman" w:hAnsi="Times New Roman"/>
          <w:sz w:val="17"/>
          <w:szCs w:val="17"/>
          <w:color w:val="auto"/>
        </w:rPr>
        <w:t>The Company recorded an expense for income taxes of $0.9 million and $1.8 million for the three and nine months ended October 31, 2025, respectively. The Company recorded an expense for income taxes of $0.7 million and $2.2 million for the three and nine months ended October 31, 2024, respectively. The increased income tax expense for the three months ended October 31, 2025 was primarily due to an increase in forecasted full-year profit. The decreased income tax expense for the nine months ended October 31, 2025 was primarily due to a decrease in the proportion of profits generated in the U.S. and reduction in U.S. tax expenses because of the One Big Beautiful Bill Act (OBBBA), partially offset by an increase in forecasted full-year profit.</w:t>
      </w:r>
    </w:p>
    <w:p>
      <w:pPr>
        <w:spacing w:after="0" w:line="1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OBBBA, which includes a broad range of tax reform provisions affecting businesses. The OBBBA includes numerous changes to existing tax law including extending or making permanent certain business and international tax measures initially established under the 2017 Tax Cuts and Jobs Act, which were set to expire. The Company is in the process of evaluating the financial statement impact of these provisions to future periods and does not expect the OBBBA to have a material impact on its consolidated financial statements.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Company’s fiscal years 2022 through 2025 are generally open and subject to potential examination by U.S. federal tax authorities. The Company’s fiscal years 2021 through 2025 are generally open and subject to potential examination by state tax authorities. The Company’s fiscal years 2018 to 2025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October 31, 2025, the gross amount of unrecognized tax benefits was approximately $22.0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At this time the Company is not able to reasonably estimate the amount of tax reserve that will reverse within the next 12 months.</w:t>
      </w:r>
    </w:p>
    <w:p>
      <w:pPr>
        <w:spacing w:after="0" w:line="399" w:lineRule="exact"/>
        <w:rPr>
          <w:sz w:val="20"/>
          <w:szCs w:val="20"/>
          <w:color w:val="auto"/>
        </w:rPr>
      </w:pPr>
    </w:p>
    <w:p>
      <w:pPr>
        <w:ind w:left="520" w:right="7860" w:hanging="512"/>
        <w:spacing w:after="0" w:line="532" w:lineRule="auto"/>
        <w:tabs>
          <w:tab w:leader="none" w:pos="28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 Manufacturer Commitments</w:t>
      </w:r>
    </w:p>
    <w:p>
      <w:pPr>
        <w:spacing w:after="0" w:line="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October 31, 2025 and January 31, 2025, total manufacturing purchase commitments were approximately $106.2 million and $56.4 million, respectively. On a quarterly basis, the Company also reviews and assesses the need for any expected loss liabilities for products that it does not expect to sell for which it has committed purchases from suppliers and records the liabilities in accrued and other current liabilities in the condensed consolidated balance sheets. There were no material loss liabilities recorded in the condensed consolidated balance sheets from adverse purchase commitments as of October 31, 2025 and January 31, 2025, respectively.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2025, the Company entered into a noncancelable on-premise internal-use software license agreement for product design. As of October 31, 2025, total cash payments for the license are approximately $5.3 million, of which $3.5 million will be paid within 12 months and the remaining $1.8 million will be paid within 12 to 24 months. The license term does not commence until November 1, 2025.</w:t>
      </w:r>
    </w:p>
    <w:p>
      <w:pPr>
        <w:spacing w:after="0" w:line="6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material changes to other commitments as compared to the other commitments described in the Company's Annual Report on Form 10-K for the 2025 fiscal year filed with the SEC on March 28, 2025.</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as of October 31, 2025, and no liabilities have been recorded for these obligations in the condensed consolidated balance sheets as of October 31, 2025 and January 31, 2025, respectively.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140" w:firstLine="562"/>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subject to commercial disputes, employment issues, intellectual property claims and litigation, in the ordinary course of its business. Although the ultimate disposition of asserted claims cannot be predicted with certainty, it is the Company’s belief that the outcome of any such claims, either individually or on a combined basis, will not have a material adverse effect on its consolidated financial position. The results of any litigation cannot be predicted with certainty, and regardless of the outcome, litigation can have an adverse impact on the Company because of defense and settlement costs, diversion of management resources, and other factors. As of October 31, 2025 and January 31, 2025, there were no accruals for contingent liabilities related to such matters recorded in the condensed consolidated balance sheets.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29" w:lineRule="exact"/>
        <w:rPr>
          <w:sz w:val="20"/>
          <w:szCs w:val="20"/>
          <w:color w:val="auto"/>
        </w:rPr>
      </w:pPr>
    </w:p>
    <w:p>
      <w:pPr>
        <w:ind w:right="20" w:firstLine="554"/>
        <w:spacing w:after="0" w:line="254" w:lineRule="auto"/>
        <w:rPr>
          <w:sz w:val="20"/>
          <w:szCs w:val="20"/>
          <w:color w:val="auto"/>
        </w:rPr>
      </w:pPr>
      <w:r>
        <w:rPr>
          <w:rFonts w:ascii="Times New Roman" w:cs="Times New Roman" w:eastAsia="Times New Roman" w:hAnsi="Times New Roman"/>
          <w:sz w:val="18"/>
          <w:szCs w:val="18"/>
          <w:color w:val="auto"/>
        </w:rPr>
        <w:t xml:space="preserve">The Company operates as a single operating and reportable segment and derives substantially all of its revenue from development and sales of low-power AI-based processing and video and image processing SoC solutions. In determination of a reportable segment, the Company considers the research and development deployed, the nature of production process, the distribution channels of SoCs, as well as the Company’s management structure. The Chief Executive Officer of the Company has been identified as the Chief Operating Decision Maker (the CODM) and manages the Company’s operations as a whole. The CODM uses net loss presented on a consolidated basis to evaluate the financial performance and allocate resources. The CODM also monitors budget versus actual results of the operating segment. The measure of reportable segment assets is reported within the condensed consolidated balance sheets as total assets. The accounting policies for the measurement of net loss and total assets of the reportable segment have been described in the Note 1, </w:t>
      </w:r>
      <w:r>
        <w:rPr>
          <w:rFonts w:ascii="Times New Roman" w:cs="Times New Roman" w:eastAsia="Times New Roman" w:hAnsi="Times New Roman"/>
          <w:sz w:val="18"/>
          <w:szCs w:val="18"/>
          <w:i w:val="1"/>
          <w:iCs w:val="1"/>
          <w:color w:val="auto"/>
        </w:rPr>
        <w:t xml:space="preserve">Organization and Summary of Significant Accounting Policies </w:t>
      </w:r>
      <w:r>
        <w:rPr>
          <w:rFonts w:ascii="Times New Roman" w:cs="Times New Roman" w:eastAsia="Times New Roman" w:hAnsi="Times New Roman"/>
          <w:sz w:val="18"/>
          <w:szCs w:val="18"/>
          <w:color w:val="auto"/>
        </w:rPr>
        <w:t>of the Notes to Consolidated Financial Statements included in the Company's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2025 fiscal year filed with the SEC on March 28, 2025.</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42"/>
        </w:trPr>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80" w:type="dxa"/>
            <w:vAlign w:val="bottom"/>
            <w:gridSpan w:val="3"/>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54,612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197,997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Taiwan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-1079500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-1079500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-1079500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-1079500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property and equipment were located in the United States, Taiwan, Europe and Asia Pacific region other than Taiwan. As of October 31, 2025, the net amount of fixed assets located in these regions was approximately $5.6 million, $3.8 million, $1.1 million and $0.2 million, respectively. As of January 31, 2025, the net amount of these fixed assets located in these regions was approximately $3.7 million, $4.0 million, $1.1 million and $0.3 million,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Additional Segment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included in the condensed consolidated net loss for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6"/>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53"/>
              <w:spacing w:after="0" w:line="124"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center"/>
              <w:ind w:right="733"/>
              <w:spacing w:after="0" w:line="124"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160" w:type="dxa"/>
            <w:vAlign w:val="bottom"/>
            <w:vMerge w:val="continue"/>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108,452</w:t>
            </w:r>
          </w:p>
        </w:tc>
        <w:tc>
          <w:tcPr>
            <w:tcW w:w="16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140" w:type="dxa"/>
            <w:vAlign w:val="bottom"/>
          </w:tcPr>
          <w:p>
            <w:pPr>
              <w:spacing w:after="0"/>
              <w:rPr>
                <w:sz w:val="20"/>
                <w:szCs w:val="20"/>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Less cost and expense:</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Employee-related</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96,353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Semiconductor development cost</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Tools &amp; equipment</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Facilities-related</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(a)</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(6,544)</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(24,071)</w:t>
            </w:r>
          </w:p>
        </w:tc>
        <w:tc>
          <w:tcPr>
            <w:tcW w:w="2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(59,430)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(96,892)</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480" w:hanging="3"/>
        <w:spacing w:after="0" w:line="282" w:lineRule="auto"/>
        <w:tabs>
          <w:tab w:leader="none" w:pos="7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segment items include amortization of intangible assets acquired from business combinations, non-operating (income) expenses, income tax provision (benefit) and other immaterial items.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October 31, 2025, the customer representing 10% or more of revenue was WT, which accounted for approximately 70.2% and 68.4% of total revenue, respectively. In the prior fiscal year, the customers representing 10% or more of revenue were WT and Chicony, which accounted for approximately 66.1% and 10.7% of total revenue for the three months ended October 31, 2024, respectively, and accounted for approximately 63.8% and 10.2% of total revenue for the nine months ended October 31, 2024, respectively. Accounts receivable with WT was approximately $24.7 million and $12.3 million as of October 31, 2025 and January 31, 2025,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10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2025 and management’s discussion and analysis of our financial condition and results of operations included in our Annual Report on Form 10-K for the 2025 fiscal year filed with the Securities and Exchange Commission, or SEC, on March 28, 2025.</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operating expenses, and cost recognition,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risks associated with the overall economy, including higher inflation and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artificial intelligence and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edge inference AI, and our latest SoCs integrate our state-of-the-art video processor technology together with our deep learning neural network processing technology, which we refer to as CVflow™. The CVflow-architecture supports a variety of AI algorithms, including object detection, classification and tracking, semantic and instance segmentation, image processing, stereo object detection, and terrain mapping. CVflow can process other sensor modalities including lidar and radar, and allows customers to differentiate their products by porting their own, or third-party, neural networks and/or classical AI algorithms to our CVflow-based SoCs. Our latest third generation CVflow technology enables us to address incremental and computationally intense AI applications for deep fusion, deep planning, vision-language models (VLMs) and large language models (LLMs), as well as efficiently process transformer AI networks.</w:t>
      </w:r>
    </w:p>
    <w:p>
      <w:pPr>
        <w:spacing w:after="0" w:line="8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Our SoC designs fully integrate AI functionality, high-definition, or HD, video processing, image processing, audio processing, and system functions onto a single chip, delivering exceptional video and image quality at high compression rates, differentiated functionality and low power consumption. These AI-based technologies allow us to address a broader range of markets and applications requiring AI video features, including IP security cameras, a variety of automotive cameras, consumer cameras, and industrial and robotic applications. We anticipate that our AI technology will also enable us to capture more content per electronic system and increase our average selling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human viewing, AI and radar detection functionalities. As a result, we believe that our future revenue growth, if any, will significantly depend upon our ability to expand within camera markets with our AI technology, particularly in the Internet of Things, or IoT, markets, as well as emerging markets such as AI-enabled security cameras, AI-based driving applications, including driver monitoring systems, advanced blind spot detection, object detection, and deep learning algorithms for HD mapping solutions,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capabilities, and as we target new markets.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original equipment manufacturers, or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12 to 18 months after a design win, but could be longer in certain markets, depending on the complexity of our customer’s product and other factors upon which we may have little or no influence. In general, design cycles will be longer in the OEM automotive and industrial and robotics markets than in the IoT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An IoT product typically has a life cycle of 12 to 24 months. We anticipate that product life cycles will typically be longer than 24 months in the OEM automotive and industrial and robotics markets, as new product introductions occur less frequently in these markets.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left="1540" w:right="8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$108.5 million and $289.8 million for the three and nine months ended October 31, 2025, respectively. This represented increases of 31.2% and 44.3%, respectively, as compared to the same periods in the prior fiscal year. The increases in revenue were primarily attributable to higher product unit shipments and an increased percentage of sales from higher average selling price AI inference processors as a result of high demand for our edge AI solutions.</w:t>
      </w:r>
    </w:p>
    <w:p>
      <w:pPr>
        <w:spacing w:after="0" w:line="71" w:lineRule="exact"/>
        <w:rPr>
          <w:rFonts w:ascii="Times New Roman" w:cs="Times New Roman" w:eastAsia="Times New Roman" w:hAnsi="Times New Roman"/>
          <w:sz w:val="18"/>
          <w:szCs w:val="18"/>
          <w:color w:val="auto"/>
        </w:rPr>
      </w:pPr>
    </w:p>
    <w:p>
      <w:pPr>
        <w:ind w:left="1540" w:right="80" w:hanging="514"/>
        <w:spacing w:after="0" w:line="25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operating losses of $16.2 million and $64.1 million for the three and nine months ended October 31, 2025, respectively, as compared to operating losses of $25.5 million and $101.2 million for the three and nine months ended October 31, 2024, respectively. The reductions in operating losses were primarily attributable to higher revenue and consequently, higher gross profit, partially offset by increases in operating expenses. The increased operating expenses primarily related to higher personnel and engineering-related costs, including chip development costs and tools and equipment expenses, as well as higher facility-related costs associated with relocating our US headquarters.</w:t>
      </w:r>
    </w:p>
    <w:p>
      <w:pPr>
        <w:spacing w:after="0" w:line="79" w:lineRule="exact"/>
        <w:rPr>
          <w:rFonts w:ascii="Times New Roman" w:cs="Times New Roman" w:eastAsia="Times New Roman" w:hAnsi="Times New Roman"/>
          <w:sz w:val="18"/>
          <w:szCs w:val="18"/>
          <w:color w:val="auto"/>
        </w:rPr>
      </w:pPr>
    </w:p>
    <w:p>
      <w:pPr>
        <w:ind w:left="1540" w:right="40" w:hanging="514"/>
        <w:spacing w:after="0" w:line="261"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$54.6 million for the nine months ended October 31, 2025, as compared to $8.4 million for the nine months ended October 31, 2024. The increase in cash flows from operating activities was primarily attributable to an increase in net profit adjusted for certain non-cash items, as well as increased liabilities associated with the timing of payments to our vendors.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23" w:name="page24"/>
    <w:bookmarkEnd w:id="23"/>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IoT, automotive, industrial and robotics markets. As a result, we believe that our ability to develop advanced AI and computer vision technologies,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IoT, automotive, industrial and robotics markets, is vital to our ability to generate revenue growth. As such, we closely monitor our design wins with our customers.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including advanced process technologies.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In addition, our ability to successfully develop new and enhanced solutions depends on our continuing ability to hire, train, motivate and retain highly skilled engineers, which is not ensured. Moreover, any reliability or quality problems with our solutions could harm our reputation, increase additional development and replacement costs, and prevent us from retaining existing customers and attracting new customers.</w:t>
      </w:r>
    </w:p>
    <w:p>
      <w:pPr>
        <w:spacing w:after="0" w:line="18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 and by product mix.</w:t>
      </w:r>
    </w:p>
    <w:p>
      <w:pPr>
        <w:spacing w:after="0" w:line="1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Markets</w:t>
      </w:r>
      <w:r>
        <w:rPr>
          <w:rFonts w:ascii="Times New Roman" w:cs="Times New Roman" w:eastAsia="Times New Roman" w:hAnsi="Times New Roman"/>
          <w:sz w:val="18"/>
          <w:szCs w:val="18"/>
          <w:color w:val="auto"/>
        </w:rPr>
        <w:t>. Historically, our revenue has been significantly concentrated in a small number of 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we developed technologies to provide solutions for new markets as they emerged. Since fiscal year 2018, the IoT markets and automotive markets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markets will continue to account for a significant percentage of our total revenue for the foreseeable future. Our concentration in a limited number of markets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4" w:name="page25"/>
    <w:bookmarkEnd w:id="24"/>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12 to 18 months following a design win; however, in some markets, lengthier product and development cycles are possible, depending on the scope and nature of the project, such as in the automotive market. An IoT product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Impact of Global Supply Chain Conditions on Our Business. </w:t>
      </w:r>
      <w:r>
        <w:rPr>
          <w:rFonts w:ascii="Times New Roman" w:cs="Times New Roman" w:eastAsia="Times New Roman" w:hAnsi="Times New Roman"/>
          <w:sz w:val="18"/>
          <w:szCs w:val="18"/>
          <w:color w:val="auto"/>
        </w:rPr>
        <w:t>The semiconductor industry faced significant global supply chain challenges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few years. Supply chain issues can impact our business as they relate to both our suppliers and our customers. Recent supply chain challenges have largely subsided but may recur in future periods with changes in the macro-economic environment, including potential retaliatory tariffs and restrictions on exports to foreign locations due to the recent imposition of tariffs by the U.S. Government on imports.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108,452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117,482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172,353</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236,448</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223,191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(25,510)</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(64,095)</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(14,174)</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(23,419)</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(57,599)</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-1302385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-1302385</wp:posOffset>
            </wp:positionV>
            <wp:extent cx="514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-1302385</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-736600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-736600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-736600</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-736600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-453390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-453390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-453390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-453390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00" w:type="dxa"/>
            <w:vAlign w:val="bottom"/>
          </w:tcPr>
          <w:p>
            <w:pPr>
              <w:spacing w:after="0"/>
              <w:rPr>
                <w:sz w:val="13"/>
                <w:szCs w:val="13"/>
                <w:color w:val="auto"/>
              </w:rPr>
            </w:pPr>
          </w:p>
        </w:tc>
      </w:tr>
      <w:tr>
        <w:trPr>
          <w:trHeight w:val="173"/>
        </w:trPr>
        <w:tc>
          <w:tcPr>
            <w:tcW w:w="3640" w:type="dxa"/>
            <w:vAlign w:val="bottom"/>
          </w:tcPr>
          <w:p>
            <w:pPr>
              <w:spacing w:after="0"/>
              <w:rPr>
                <w:sz w:val="15"/>
                <w:szCs w:val="15"/>
                <w:color w:val="auto"/>
              </w:rPr>
            </w:pPr>
          </w:p>
        </w:tc>
        <w:tc>
          <w:tcPr>
            <w:tcW w:w="12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80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3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r>
      <w:tr>
        <w:trPr>
          <w:trHeight w:val="216"/>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(14) </w:t>
            </w:r>
            <w:r>
              <w:rPr>
                <w:rFonts w:ascii="Times New Roman" w:cs="Times New Roman" w:eastAsia="Times New Roman" w:hAnsi="Times New Roman"/>
                <w:sz w:val="24"/>
                <w:szCs w:val="24"/>
                <w:color w:val="auto"/>
                <w:vertAlign w:val="subscript"/>
              </w:rPr>
              <w:t>%</w:t>
            </w:r>
          </w:p>
        </w:tc>
        <w:tc>
          <w:tcPr>
            <w:tcW w:w="220" w:type="dxa"/>
            <w:vAlign w:val="bottom"/>
          </w:tcPr>
          <w:p>
            <w:pPr>
              <w:spacing w:after="0"/>
              <w:rPr>
                <w:sz w:val="18"/>
                <w:szCs w:val="18"/>
                <w:color w:val="auto"/>
              </w:rPr>
            </w:pPr>
          </w:p>
        </w:tc>
        <w:tc>
          <w:tcPr>
            <w:tcW w:w="82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(29) </w:t>
            </w:r>
            <w:r>
              <w:rPr>
                <w:rFonts w:ascii="Times New Roman" w:cs="Times New Roman" w:eastAsia="Times New Roman" w:hAnsi="Times New Roman"/>
                <w:sz w:val="24"/>
                <w:szCs w:val="24"/>
                <w:color w:val="auto"/>
                <w:vertAlign w:val="subscript"/>
              </w:rPr>
              <w:t>%</w:t>
            </w:r>
          </w:p>
        </w:tc>
        <w:tc>
          <w:tcPr>
            <w:tcW w:w="106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24"/>
                <w:szCs w:val="24"/>
                <w:color w:val="auto"/>
                <w:vertAlign w:val="subscript"/>
              </w:rPr>
              <w:t>%</w:t>
            </w:r>
          </w:p>
        </w:tc>
        <w:tc>
          <w:tcPr>
            <w:tcW w:w="1060" w:type="dxa"/>
            <w:vAlign w:val="bottom"/>
            <w:gridSpan w:val="3"/>
          </w:tcPr>
          <w:p>
            <w:pPr>
              <w:jc w:val="right"/>
              <w:spacing w:after="0" w:line="210" w:lineRule="exact"/>
              <w:rPr>
                <w:sz w:val="20"/>
                <w:szCs w:val="20"/>
                <w:color w:val="auto"/>
              </w:rPr>
            </w:pPr>
            <w:r>
              <w:rPr>
                <w:rFonts w:ascii="Times New Roman" w:cs="Times New Roman" w:eastAsia="Times New Roman" w:hAnsi="Times New Roman"/>
                <w:sz w:val="14"/>
                <w:szCs w:val="14"/>
                <w:color w:val="auto"/>
              </w:rPr>
              <w:t xml:space="preserve">(48) </w:t>
            </w:r>
            <w:r>
              <w:rPr>
                <w:rFonts w:ascii="Times New Roman" w:cs="Times New Roman" w:eastAsia="Times New Roman" w:hAnsi="Times New Roman"/>
                <w:sz w:val="24"/>
                <w:szCs w:val="24"/>
                <w:color w:val="auto"/>
                <w:vertAlign w:val="subscript"/>
              </w:rPr>
              <w:t>%</w:t>
            </w: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-736600</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-736600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-736600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-736600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-453390</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-453390</wp:posOffset>
            </wp:positionV>
            <wp:extent cx="514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-453390</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514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sectPr>
      </w:pPr>
    </w:p>
    <w:bookmarkStart w:id="25" w:name="page26"/>
    <w:bookmarkEnd w:id="25"/>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low power AI-based processing and video and image processing SoC solutions to IoT OEMs, IoT ODMs, automotive OEMs or Tier-1 automotive suppliers, either directly or through our distributors. A substantial portion of our revenue from sales was made indirectly through one of our distributors, WT Microelectronics Co., Ltd., formerly Wintech Microelectronics Co., Ltd., or WT, which serves as our non-exclusive sales representative and fulfillment partner in Asia other than Japan, and to one ODM, Chicony Electronics Co., Ltd., or Chicony, which manufactures devices incorporating our solutions on behalf of multiple end-customers.</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average selling prices fluctuate based on the mix of our solutions sold in a period which reflects the impact of both changes in unit sales of existing solutions as well as the introduction and sales of new solutions. Our AI-based solutions generally have higher selling prices than our traditional video and image processing SoC solutions that do not enable AI functionality. Our solutions are typically characterized by a life cycle that begins with higher average selling prices and lower volumes, followed by broader market adoption, higher volumes and average selling prices that are lower than initial levels.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customer preferences have evolved in response to new technologies. As a result, the composition and timing of our revenue may change in future periods. We expect shifts in use of video capture to continue to change over time, as AI specialized use cases emerge and video capture continues to proliferate.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testing and manufacturing support operations, such as logistics, planning and quality assurance, as well as personnel costs (including stock-based compensation) related to project service agreements. Cost of revenue also includes indirect costs, such as inventory valuation reserves, adverse purchase commitment reserves, facility cost allocations, amortization of developed technology and software licenses, warranty and other general overhead costs.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primarily consists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the cost and depreciation of equipment, outside services as well as allocated depreciation and facility expenses. All research and development costs are expensed as incurred. We expect our research and development expense to generally increase in absolute dollars as we continue to enhance and expand our product features and offerings and increase headcount for new SoC development and development of AI technologies.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such as accounting, tax, or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AI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income and yields from our cash deposits and debt security investments, realized gains and losses from equity and debt security investments, subsidies and grants issued by governments, as well as gains and losses from foreign currency transactions and remeasurements.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locations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were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2025 and 2024</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182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4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6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80" w:type="dxa"/>
            <w:vAlign w:val="bottom"/>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2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108,452</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25,799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289,835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200,850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88,985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increased for the three and nine months ended October 31, 2025, as compared to the same periods in the prior fiscal year, primarily due to higher product unit shipments and an increased percentage of sales from higher average selling price AI inference processors as a result of high demand for our edge AI solutions.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00" w:type="dxa"/>
            <w:vAlign w:val="bottom"/>
          </w:tcPr>
          <w:p>
            <w:pPr>
              <w:spacing w:after="0"/>
              <w:rPr>
                <w:sz w:val="13"/>
                <w:szCs w:val="13"/>
                <w:color w:val="auto"/>
              </w:rPr>
            </w:pPr>
          </w:p>
        </w:tc>
        <w:tc>
          <w:tcPr>
            <w:tcW w:w="20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22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800" w:type="dxa"/>
            <w:vAlign w:val="bottom"/>
          </w:tcPr>
          <w:p>
            <w:pPr>
              <w:spacing w:after="0"/>
              <w:rPr>
                <w:sz w:val="15"/>
                <w:szCs w:val="15"/>
                <w:color w:val="auto"/>
              </w:rPr>
            </w:pPr>
          </w:p>
        </w:tc>
        <w:tc>
          <w:tcPr>
            <w:tcW w:w="12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Borders>
              <w:bottom w:val="single" w:sz="8" w:color="auto"/>
            </w:tcBorders>
            <w:gridSpan w:val="3"/>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120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2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vMerge w:val="continue"/>
          </w:tcPr>
          <w:p>
            <w:pPr>
              <w:spacing w:after="0"/>
              <w:rPr>
                <w:sz w:val="12"/>
                <w:szCs w:val="12"/>
                <w:color w:val="auto"/>
              </w:rPr>
            </w:pPr>
          </w:p>
        </w:tc>
        <w:tc>
          <w:tcPr>
            <w:tcW w:w="78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2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12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Gross margin decreased for the three and nine months ended October 31, 2025, as compared to the same periods in the prior fiscal year, primarily due to higher manufacturing costs associated with advanced process technologies, as well as a lower percentage of revenue generated from high margin nonrecurring engineering (NRE) project service.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Research and</w:t>
            </w: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61,451</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180,004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169,286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10,718</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nine months ended October 31, 2025, as compared to the same periods in the prior fiscal year, primarily due to approximately $1.9 million and $6.3 million, respectively, of additional engineering-related expenses associated with the progress and number of chips in development. The increases were also attributable to approximately $1.2 million and $4.6 million, respectively, of higher personnel costs, including stock-based compensation and employee benefits, as a result of an increase in headcount.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bottom w:val="single" w:sz="8" w:color="auto"/>
            </w:tcBorders>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19,383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56,444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53,905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nine months ended October 31, 2025, as compared to the same periods in the prior fiscal year, primarily due to approximately $2.0 million and $2.0 million, respectively, of higher personnel costs, including stock-based compensation and employee benefits. The increases were also attributable to approximately $0.3 million and $0.4 million, respectively, of higher outside professional service expenses for legal and administrative purposes.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60" w:type="dxa"/>
            <w:vAlign w:val="bottom"/>
          </w:tcPr>
          <w:p>
            <w:pPr>
              <w:spacing w:after="0"/>
              <w:rPr>
                <w:sz w:val="12"/>
                <w:szCs w:val="12"/>
                <w:color w:val="auto"/>
              </w:rPr>
            </w:pPr>
          </w:p>
        </w:tc>
        <w:tc>
          <w:tcPr>
            <w:tcW w:w="6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marginal decrease in other income, net, for the three and nine months ended October 31, 2025, as compared to the same periods in the prior fiscal year, was primarily due to lower interest income from our cash deposits and lower subsidies received from a foreign government, partially offset by higher yields from our debt security investments. For the nine months ended October 31, 2025, the decrease was also attributable to higher net losses from foreign currency transactions and remeasurements.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5"/>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Nine Months Ended October</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4"/>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Provision for income</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1,831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6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ind w:left="60"/>
              <w:spacing w:after="0"/>
              <w:rPr>
                <w:sz w:val="20"/>
                <w:szCs w:val="20"/>
                <w:color w:val="auto"/>
              </w:rPr>
            </w:pPr>
            <w:r>
              <w:rPr>
                <w:rFonts w:ascii="Arial" w:cs="Arial" w:eastAsia="Arial" w:hAnsi="Arial"/>
                <w:sz w:val="20"/>
                <w:szCs w:val="20"/>
                <w:color w:val="auto"/>
                <w:w w:val="8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(0.9)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the quarter.</w:t>
      </w:r>
    </w:p>
    <w:p>
      <w:pPr>
        <w:spacing w:after="0" w:line="162"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increased income tax expense for the three months ended October 31, 2025 was primarily due to an increase in forecasted full-year profit. The decreased income tax expense for the nine months ended October 31, 2025 was primarily due to a decrease in the proportion of profits generated in the U.S. and reduction in U.S. tax expenses because of the One Big Beautiful Bill Act (OBBBA), partially offset by an increase in forecasted full-year profit.</w:t>
      </w:r>
    </w:p>
    <w:p>
      <w:pPr>
        <w:spacing w:after="0" w:line="15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OBBBA, which includes a broad range of tax reform provisions affecting businesses. The OBBBA includes numerous changes to existing tax law including extending or making permanent certain business and international tax measures initially established under the 2017 Tax Cuts and Jobs Act, which were set to expire. We are in the process of evaluating the financial statement impact of these provisions to future periods, and do not expect the OBBBA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October 31, 2025, we had cash, cash equivalents and marketable debt securities of approximately $295.3 million. We invest in highly-liquid, short-term marketable debt securities and hold these investments as available-for-sale securities. Refer to Note 2 of the Notes to Condensed Consolidated Financial Statements for additional information.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54,621</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29,870</w:t>
            </w:r>
          </w:p>
        </w:tc>
        <w:tc>
          <w:tcPr>
            <w:tcW w:w="120" w:type="dxa"/>
            <w:vAlign w:val="bottom"/>
          </w:tcPr>
          <w:p>
            <w:pPr>
              <w:spacing w:after="0"/>
              <w:rPr>
                <w:sz w:val="16"/>
                <w:szCs w:val="16"/>
                <w:color w:val="auto"/>
              </w:rPr>
            </w:pPr>
          </w:p>
        </w:tc>
        <w:tc>
          <w:tcPr>
            <w:tcW w:w="5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(17,792)</w:t>
            </w:r>
          </w:p>
        </w:tc>
        <w:tc>
          <w:tcPr>
            <w:tcW w:w="0" w:type="dxa"/>
            <w:vAlign w:val="bottom"/>
          </w:tcPr>
          <w:p>
            <w:pPr>
              <w:spacing w:after="0"/>
              <w:rPr>
                <w:sz w:val="1"/>
                <w:szCs w:val="1"/>
                <w:color w:val="auto"/>
              </w:rPr>
            </w:pPr>
          </w:p>
        </w:tc>
      </w:tr>
      <w:tr>
        <w:trPr>
          <w:trHeight w:val="194"/>
        </w:trPr>
        <w:tc>
          <w:tcPr>
            <w:tcW w:w="4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cash</w:t>
            </w:r>
          </w:p>
        </w:tc>
        <w:tc>
          <w:tcPr>
            <w:tcW w:w="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-282575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-282575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nine months ended October 31, 2025, as compared to the same period in the prior fiscal year, primarily attributable to an increase in net profit adjusted for certain non-cash items, as well as increased liabilities associated with the timing of payments to our vendors.</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for the nine months ended October 31, 2025, as compared to the same period in the prior fiscal year, primarily attributable to approximately $9.4 million of additional net cash received from our debt security investments, partially offset by approximately $5.4 million higher payments for the purchase of capital assets and software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slightly for the nine months ended October 31, 2025, as compared to the same period in the prior fiscal year, primarily due to approximately $1.4 million less cash received from stock activities, $1.0 million of cash paid for the repurchase of our ordinary shares as well as an additional $0.1 million financing payment for the purchase of software licenses.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May 28, 2025, our Board of Directors approved an extension of the existing share repurchase program for an additional twelve months through June 30, 2026. Refer to Note 10 of the Notes to Condensed Consolidated Financial Statements for additional information.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balances will be sufficient to meet our anticipated cash requirements through at least the next 12 months. In the future, we may require more working capital to meet our operating and capital expenditure needs. If our available cash balances are insufficient to satisfy our future liquidity requirements, we may seek to sell equity or convertible debt securities or borrow funds commercially.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October 31, 2025, we had purchase obligations with our independent contract manufacturers of $106.2 million.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2025, we entered into a noncancelable on-premise internal-use software license agreement for product design. As of October 31, 2025, total cash payments for the license are approximately $5.3 million, of which $3.5 million will be paid within 12 months and the remaining $1.8 million will be paid within 12 to 24 months.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other material changes in our contractual obligations, commitments and contingencies from those disclosed in our Annual Report on Form 10-K for the fiscal year ended January 31, 2025. Please see Item 7, “Management’s Discussion and Analysis of Financial Condition and Results of Operations – Contractual Obligations, Commitments and Contingencies” in our Annual Report on Form 10-K for the fiscal year ended January 31, 2025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October 31, 2025,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2025 fiscal year filed with the SEC on March 28,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market risk as described in Part II, Item 7A. “Quantitative and Qualitative Disclosures About Market Risk” in our Annual Report on Form 10-K for the 2025 fiscal year filed with the SEC on March 28,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October 31, 2025,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October 31,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are not engaged in any material legal proceedings at this time. Refer to Note 14, Commitments and Contingencies of the Notes to Condensed Consolidated Financial Statements included in Part I, Item 1 of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54" w:lineRule="exact"/>
        <w:rPr>
          <w:sz w:val="20"/>
          <w:szCs w:val="20"/>
          <w:color w:val="auto"/>
        </w:rPr>
      </w:pPr>
    </w:p>
    <w:p>
      <w:pPr>
        <w:ind w:left="1020" w:right="6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original equipment manufacturer (OEM) and advanced driver assistance systems (ADAS) market, our revenue and financial condition could be harmed.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the global supply chain challenges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adversely impact our gross margins and lead to reduced revenues.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incorporate components supplied by multiple third parties, and a supply shortage or delay in delivery of these components could delay orders for our solutions by our customers.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inventory warehouse is located in Hong Kong and may be affected by political, social and economic conditions in Hong Kong.</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which could harm our business.</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semiconductor solutions in our target markets have typically decreased over time and will likely do so in the future, which could harm our revenue and gross margins.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any future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w:t>
      </w:r>
    </w:p>
    <w:p>
      <w:pPr>
        <w:spacing w:after="0" w:line="117" w:lineRule="exact"/>
        <w:rPr>
          <w:rFonts w:ascii="Times New Roman" w:cs="Times New Roman" w:eastAsia="Times New Roman" w:hAnsi="Times New Roman"/>
          <w:sz w:val="18"/>
          <w:szCs w:val="18"/>
          <w:color w:val="auto"/>
        </w:rPr>
      </w:pPr>
    </w:p>
    <w:p>
      <w:pPr>
        <w:ind w:left="503" w:right="36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transitioning to new wafer fabrication process technologies or achieving higher levels of design integration, which may result in reduced manufacturing yields, delays in product deliveries and increased costs.</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changing industry standards could make our video and image processing solutions obsolete, which would cause our operating results to suffer.</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tax risks, including relating to the complexity of calculating our tax provision, changes in effective tax rates, or unfavorable tax law changes.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117" w:lineRule="exact"/>
        <w:rPr>
          <w:rFonts w:ascii="Times New Roman" w:cs="Times New Roman" w:eastAsia="Times New Roman" w:hAnsi="Times New Roman"/>
          <w:sz w:val="18"/>
          <w:szCs w:val="18"/>
          <w:color w:val="auto"/>
        </w:rPr>
      </w:pPr>
    </w:p>
    <w:p>
      <w:pPr>
        <w:jc w:val="both"/>
        <w:ind w:left="503" w:right="500" w:hanging="503"/>
        <w:spacing w:after="0" w:line="266"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6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53" w:lineRule="exact"/>
        <w:rPr>
          <w:rFonts w:ascii="Times New Roman" w:cs="Times New Roman" w:eastAsia="Times New Roman" w:hAnsi="Times New Roman"/>
          <w:sz w:val="18"/>
          <w:szCs w:val="18"/>
          <w:color w:val="auto"/>
        </w:rPr>
      </w:pPr>
    </w:p>
    <w:p>
      <w:pPr>
        <w:ind w:left="503" w:right="3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may cause disruptions in our shipments, which may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vendors, service providers and contractors in the operation of our business.</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high inflation, recessionary concerns and trade restrictions, may impact our business and financial condition in ways that we currently cannot predict.</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 including China. In addition, our ability to sell certain products to certain China customers has been restricted.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w:t>
      </w:r>
    </w:p>
    <w:p>
      <w:pPr>
        <w:spacing w:after="0" w:line="117"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regulatory compliance requirements, including Section 404 of the Sarbanes-Oxley Act of 2002, which are costly to comply with, and our failure to comply with these requirements could harm our business and operating results.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32" w:name="page33"/>
    <w:bookmarkEnd w:id="32"/>
    <w:p>
      <w:pPr>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intellectual property could affect our customers, which could trigger our indemnification obligations to them and result in substantial expense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We also face certain competitive disadvantages in these markets relative to larger competitors that have significantly more resources and a longer history working with OEMs and ODMs in these markets. In addition, trade tensions and tariffs between the United States and China as well as potential new export restrictions may make it more difficult to secure future design wins with China customers.</w:t>
      </w:r>
    </w:p>
    <w:p>
      <w:pPr>
        <w:spacing w:after="0" w:line="19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customer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including the automotive OEM and ADAS market, our revenue and financial condition could be harmed.</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believe that our future revenue growth, if any, significantly depends on our ability to expand within the Internet of Things, or IoT, camera markets with our new artificial intelligence, or AI, computer vision SoC solutions, and penetrate, or further penetrate, the OEM automotive, robotics and industrial markets. Our AI computer vision SoC solutions have functionality that may also be applicable to other developing markets, such as processing of large language models (LLMs). Each of these markets presents distinct and substantial risks and, in many cases, requires us to develop new functionality or software to address the particular requirements of that market. If any of these markets do not develop as we currently anticipate, the technical requirements of these markets evolve in ways we do not anticipate, the development of such markets is delayed or impacted by factors outside of our control,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requires a substantial investment of our time and resources and we cannot assure you that we will secure design wins from these or other companies or that we will achieve meaningful revenue from the sales of our solutions into these markets. In addition, we face competition from larger competitors with greater resources and more history in these markets, which may put us at a competitive disadvantage to these larger competitors. If we fail to penetrate these or other new markets we are targeting, our financial condition would likely suffer. Moreover, if we are successful in achieving design wins in these new markets, it will likely take longer to generate revenue from such design wins than in our traditional markets.</w:t>
      </w:r>
    </w:p>
    <w:p>
      <w:pPr>
        <w:spacing w:after="0" w:line="193"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that meet market requirements on a timely basis, our ability to attract and retain customers could be impaired and our competitive position could be harmed.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we develop and introduce new solutions, we also face the risk that customers may not value or be willing to bear the cost of incorporating these newer solutions into their products, particularly if they believe their customers are satisfied with current solutions. In addition, delays in product development could impair our relationships with our customers and negatively impact sales of our solutions under development.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Impacts of the global supply chain challenges could adversely affect our business, financial condition, and results of operations.</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COVID-19 global pandemic, various restrictions were put in place causing a temporary decline in demand for certain items. As restrictions began easing across the world, an increase in demand for products containing semiconductor chips exacerbated bottlenecks in the supply chain, resulting in a global semiconductor supply shortage impacting our industry, which resulted in a lengthening of the manufacturing lead time for our products and impacting the normal forecasting and ordering patterns of our customers. To the extent customers faced supply chain issues with respect to other components needed to pair with our products in order to produce their end products, such customers delayed orders of our products or held inventory of our products for longer periods of time, resulting in a decline in our revenue. Customers may experience or cause similar delays in the future. With respect to our suppliers, we experienced supply constraints for certain chips from Samsung Electronics Corporation (Samsung) and we may experience similar issues in the future. While these supply chain challenges have largely subsided, we remain dependent on a global supply chain that can be affected by many factors, including macroeconomic conditions and geopolitical factors such as trade wars and tariffs, and we may face similar issues in the future.</w:t>
      </w:r>
    </w:p>
    <w:p>
      <w:pPr>
        <w:spacing w:after="0" w:line="184"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risks relating to the adoption, use or application of emerging technologies, including artificial intelligence, by our customers and in our business, could adversely impact our financial results and result in reputational harm and liability.</w:t>
      </w:r>
    </w:p>
    <w:p>
      <w:pPr>
        <w:spacing w:after="0" w:line="13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Many of our products support AI functionality implemented in our customers’ products, such as object detection, classification and tracking, image processing, and terrain mapping. Our latest generation of products also enable us to address computationally intense AI applications for deep fusion, deep planning, multi-modal vision-language models (VLMs), and large language models (LLMs) in edge devices. The adoption of AI solutions may not develop in the manner or in the time periods we anticipate and, as the markets for AI solutions are still developing, demand for these products may be unpredictable and vary significantly from one period to another. These factors may adversely impact demand for our AI related products. In addition, compliance with evolving government regulations worldwide related to AI may increase the costs related to the development of AI products and solutions and limit global adoption, which may also adversely impact demand for our AI related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Concerns relating to the responsible use of AI in our and our customers’ products may result in reputational and financial harm and liability.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financial harm or legal liability.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22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Silicon wafers constitute a material portion of our product cost and if we are unable to purchase wafers at favorable prices, our results of operations and financial condition will be adversely affected. The semiconductor industry recently experienced significant shortages of manufacturing capacity, which resulted in a lengthening of the manufacturing lead time for our products and which has at times harmed our revenue. While this capacity shortage has improved, we may experience capacity restraints again in the future. We have also experienced, during times of supply chain capacity shortages, customers placing orders for our products that exceed their actual demand, which may lead to us manufacturing a surplus of products and could have a negative impact on our results of operations and cash reserves and lead to us and our customers having excess inventory.</w:t>
      </w:r>
    </w:p>
    <w:p>
      <w:pPr>
        <w:spacing w:after="0" w:line="18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health and economic conditions in Hong Kong.</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our logistic partners. Hong Kong has experienced, and continues to experience, political unrest and social strife. The Bureau of Industry and Security, or BIS, of the U.S. Department of Commerce, or Commerce, imposes on Hong Kong the same stringent export and reexport controls applicable to China, including licensing requirements such as those applicable to SoCs and semiconductor end-uses.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addition, we could be forced to relocate our warehouse operations, either temporarily or permanently, to another potentially costlier location (or a location resulting in higher tax costs) or find alternative potentially costlier methods of shipping our finished SoCs to customers and logistic partners.</w:t>
      </w:r>
    </w:p>
    <w:p>
      <w:pPr>
        <w:spacing w:after="0" w:line="188"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automotive and IoT markets. The application of computer vision functionality in these markets is relatively new, and we may be unable to predict the timing or development of these markets with accuracy. For example, a slower than expected adoption rate for AI technology in automotive or IP security camera applications could slow the demand for our new solutions. Similarly, changes in the projected growth rate for ADAS or autonomous driving technology in the automotive market due to government regulations or changes in consumer preferences could negatively impact demand for our solutions. If our key target markets do not grow, grow slower, or do not develop in ways that we currently expect, demand for our SoCs may not materialize as expected, and our business and operating results could suffer.</w:t>
      </w:r>
    </w:p>
    <w:p>
      <w:pPr>
        <w:spacing w:after="0" w:line="185"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ind w:firstLine="509"/>
        <w:spacing w:after="0" w:line="255"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customers may seek to cancel, change or delay their product purchase commitments with little or no notice to us.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during fiscal year 2023, we increased our inventory levels. While these factors have subsided and our inventory conditions have generally returned to normal level, we may experience similar inventory level fluctuations in the future, including increased inventory levels.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changes in market conditions including reductions in market activity due to pandemics, adverse changes in our product order mix and fluctuating demand for our customers’ products. Even after an order is received, our customers may seek to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18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15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2025, the customer representing 10% or more of our revenue was WT Microelectronics Co., Ltd., or WT, which serves as our non-exclusive sales representative and fulfillment partner in Asia other than Japan, accounted for approximately 63% of total revenue. For the nine months ended October 31, 2025, the customer representing 10% or more of our revenue was WT, which accounted for approximately 68% of total revenue. We believe that revenue from our top 10 end customers, either directly or through a distributor or an ODM, accounted for approximately 59% of our total revenue in fiscal year 2025 and accounted for approximately 66% of our total revenue for the nine months ended October 31, 2025. In addition, our largest end customer in fiscal year 2026 to date has been Arashi Vision Inc. dba Insta360, or Arashi, for which we indirectly supply SoCs through WT to multiple ODMs that build products on behalf of Arashi. We believe that our operating results in the near term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lead to unanticipated revenue shortfalls and excess inventory and otherwise harm our financial condition and results of operations. Moreover, because several of our largest OEM customers have a dominant position in their markets, a loss of a significant customer may not be easily replaced.</w:t>
      </w:r>
    </w:p>
    <w:p>
      <w:pPr>
        <w:spacing w:after="0" w:line="191"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selling our SoC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12 to 18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of our products and our supply chain. This qualification process may take several months and qualification of a product by a customer does not assure any sales of the product to that customer. Even after successful qualification and sales of a product to a customer, a subsequent revision in our third-party contractors’ manufacturing or assembly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greater resources, longer histories in these markets and established relationships with OEMs and ODMs.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9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confidential information and that of our customers, suppliers and employees. Accidental or willful security breaches or incidents or other unauthorized access to our facilities or our information systems or the existence of computer viruses or other malicious code or security vulnerabilities in our data or software could expose us to a risk of loss, unavailability, misappropriation and other unauthorized processing of proprietary and confidential information. Our efforts to eliminate or alleviate cyber or other security problems, bugs, viruses, ransomware and other malicious software programs and security vulnerabilities could impose significant costs, may not be successful, and could result in interruptions and delays that may impede critical functions.</w:t>
      </w:r>
    </w:p>
    <w:p>
      <w:pPr>
        <w:spacing w:after="0" w:line="18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Security breaches and incidents, computer malware and computer hacking attacks have become more prevalent and sophisticated. These threats are constantly evolving, making it difficult to defend against or implement preventive measures, and we may face difficulties or delays in identifying and otherwise responding to any security breach or incident. Moreover, remote work by our personnel and remote access to our systems increase our cybersecurity risk profile. We expect to incur significant costs in an effort to detect and prevent security breaches and incidents, and any actual or perceived security breach or incident may require us to incur significant costs in notifying relevant persons and entities and may otherwise increase our costs and require us to expend substantial resources. Our policies and security measures cannot guarantee security, and our information technology (IT) infrastructure, including our networks and systems, may be vulnerable to security breaches and incidents, cyber-attacks, or fraud. Third parties have attempted, and will likely continue to attempt, to penetrate and/or infect our network and systems with malicious software and phishing attacks in an effort to gain access to our network and systems. Hackers or others may be able to penetrate our security controls, misappropriate or compromise our confidential information or that of third parties, deploy viruses, worms, ransomware or other malicious code, or cause damage or disruptions to our IT infrastructure. For portions of our IT infrastructure, we rely on offerings provided by third parties. These third-party offerings relate to, among other things, human resources, electronic communication services and some finance functions, and we are dependent on these third parties' security systems. These third parties are subject to similar, and in certain cases greater, security threats than we face. These third parties may also experience breaches, incidents, and attacks compromising or otherwise impacting their offerings, and their offerings may contain security vulnerabilities or malicious code, or otherwise detrimentally impact our systems. Any unauthorized access to, or other security breaches or incidents impacting, the systems of our service providers, or any computer viruses, ransomware or other malicious code in their data or software, could expose us to risks of unauthorized access to our IT infrastructure and loss, misappropriation, unavailability and other unauthorized processing of information. Security breaches and incidents may also result from non-technical means, such as employee or contractor malfeasance or negligence. Any security breach or incident or theft, misuse, loss, unavailability or other unauthorized processing of information, or the perception that any of these matters has occurred, could result in, among other things, damage to our reputation, allegations by our customers that we have not performed our contractual obligations, regulatory investigations and other proceedings, litigation and possible penalties, damages, and other liabilities, any of which could have a material adverse effect on our business, financial condition, our reputation, and our relationships with our customers and partners. We may also encounter or be subject to bugs, errors, or hacking or other events resulting in system interruptions or other disruptions, corruption or loss of data, an inability to accurately process or record transactions, and security or technical reliability issues. All of these could harm our ability to conduct core operating functions and could impact our internal control compliance efforts. Due to conflicts and geopolitical events, we and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260"/>
        <w:spacing w:after="0" w:line="282" w:lineRule="auto"/>
        <w:rPr>
          <w:sz w:val="20"/>
          <w:szCs w:val="20"/>
          <w:color w:val="auto"/>
        </w:rPr>
      </w:pPr>
      <w:r>
        <w:rPr>
          <w:rFonts w:ascii="Times New Roman" w:cs="Times New Roman" w:eastAsia="Times New Roman" w:hAnsi="Times New Roman"/>
          <w:sz w:val="18"/>
          <w:szCs w:val="18"/>
          <w:color w:val="auto"/>
        </w:rPr>
        <w:t>many third parties we work with are vulnerable to a heightened risk of cybersecurity attacks, and other means of causing security breaches and incidents from nation-state and affiliated actors.</w:t>
      </w:r>
    </w:p>
    <w:p>
      <w:pPr>
        <w:spacing w:after="0" w:line="162" w:lineRule="exact"/>
        <w:rPr>
          <w:sz w:val="20"/>
          <w:szCs w:val="20"/>
          <w:color w:val="auto"/>
        </w:rPr>
      </w:pPr>
    </w:p>
    <w:p>
      <w:pPr>
        <w:ind w:right="280" w:firstLine="509"/>
        <w:spacing w:after="0" w:line="289" w:lineRule="auto"/>
        <w:rPr>
          <w:sz w:val="20"/>
          <w:szCs w:val="20"/>
          <w:color w:val="auto"/>
        </w:rPr>
      </w:pPr>
      <w:r>
        <w:rPr>
          <w:rFonts w:ascii="Times New Roman" w:cs="Times New Roman" w:eastAsia="Times New Roman" w:hAnsi="Times New Roman"/>
          <w:sz w:val="17"/>
          <w:szCs w:val="17"/>
          <w:color w:val="auto"/>
        </w:rPr>
        <w:t>Additionally, we cannot be certain that our insurance coverage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these results could adversely affect our business, financial condition, and operating results.</w:t>
      </w:r>
    </w:p>
    <w:p>
      <w:pPr>
        <w:spacing w:after="0" w:line="15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approximately $226.1 million, $215.1 million and $204.9 million in fiscal years 2025, 2024 and 2023, respectively. For the nine months ended October 31, 2025, our research and development expense was approximately $180.0 million. In general, we expect to increase our research and development expenditures in future periods as compared to prior periods as part of our strategy of focusing on the development of innovative computer vision, video and image processing solutions with increased functionality, and as we target key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 In addition, the U.S. government recently introduced regulations that require notification of, or prohibit certain transactions with entities in China or with linkages to China, which could apply to certain intracompany activities between a U.S. based corporation and its China subsidiaries that support research and development activities, which could limit our ability to carry out certain research and development activities in China.</w:t>
      </w:r>
    </w:p>
    <w:p>
      <w:pPr>
        <w:spacing w:after="0" w:line="18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 which could harm our business.</w:t>
      </w:r>
    </w:p>
    <w:p>
      <w:pPr>
        <w:spacing w:after="0" w:line="15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believe our performance depends in large part on the talents and efforts of our senior management and other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senior executives and employees. Our continued ability to compete effectively, and to grow our business, depends on our ability to attract new employees and to retain and motivate our existing senior executives and employees.</w:t>
      </w:r>
    </w:p>
    <w:p>
      <w:pPr>
        <w:spacing w:after="0" w:line="184"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semiconductor solutions in our target markets have typically decreased over time and will likely do so in the future, which could harm our revenue and gross margins.</w:t>
      </w:r>
    </w:p>
    <w:p>
      <w:pPr>
        <w:spacing w:after="0" w:line="15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such as our new AI computer vision-based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We expect that we will have to address pricing pressures again in the future, particularly in markets experiencing consolidation, which could require us to reduce the prices of our SoC solutions and harm our operating results.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business has, at times,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any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future revenues and collection of accounts receivable. For the fiscal year ended January 31, 2025, the customer representing 10% or more of revenue was WT, which accounted for approximately 63% of total revenue. As of January 31, 2025, accounts receivable with WT was approximately $12.3 million. For the nine months ended October 31, 2025, the customer representing 10% or more of revenue was WT, which accounted for approximately 68% of total revenue. As of October 31, 2025, accounts receivable with WT was approximately $24.7 million.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and cash flows would be negatively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Cyclical downturns have been characterized by diminished product demand, production overcapacity, high inventory levels and accelerated erosion of average selling prices, which could harm our business and operating results. We are dependent on the availability of third-party foundry and assembly capacity to manufacture and assemble our SoC solutions. None of our third-party foundry or assembly contractors has provided assurances that adequate capacity will be available to us in the future. The semiconductor industry recently experienced significant shortages of capacity, which resulted in a lengthening of the manufacturing lead time for our products. Such capacity shortages could negatively impact our ability to meet our customers’ demand for our products and have an adverse impact on our revenue, results of operations and customer relationships. We have also experienced, during times of supply chain capacity shortage, customers placing orders for our products that exceed their actual demand, which may lead to us manufacturing a surplus of products and could have a negative impact on our results of operations and cash reserves. There are indications that the semiconductor industry may be facing shortages of capacity for certain components used by our customers and certain semiconductor assembly processes, which could have an adverse impact on demand for our products, increase our expenses, impact customer relationships and otherwise negatively impact our results of operations. Challenges may recur in future periods with changes in the macro-economic environment, including imposition of higher or additional tariffs by the U.S. Government on imports and new or additional restrictions on exports to foreign locations.</w:t>
      </w:r>
    </w:p>
    <w:p>
      <w:pPr>
        <w:spacing w:after="0" w:line="193" w:lineRule="exact"/>
        <w:rPr>
          <w:sz w:val="20"/>
          <w:szCs w:val="20"/>
          <w:color w:val="auto"/>
        </w:rPr>
      </w:pPr>
    </w:p>
    <w:p>
      <w:pPr>
        <w:jc w:val="both"/>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0" w:name="page41"/>
    <w:bookmarkEnd w:id="40"/>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 development costs and product recall, repair or replacement costs. These problems may also result in claims against us by our customers or others.</w:t>
      </w:r>
    </w:p>
    <w:p>
      <w:pPr>
        <w:spacing w:after="0" w:line="158"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may face difficulties, delays and increased expense as we transition our products to new processes, such as the 2nm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20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design our solutions to conform to video compression standards, including MPEG-2, H.264 Advanced Video Coding (AVC) and H.265 High Efficiency Video Coding (HEVC), set by industry standards setting bodies such as ITU-T Video Coding Experts Group and the ISO/IEC Moving Picture Experts Group. In addition, new or revised industry standards relating to AI technologies may impose additional requirements. Generally, our solutions comprise only a part of a camera device. All components of these devices must uniformly comply with industry standards in order to operate efficiently together.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w:t>
      </w:r>
    </w:p>
    <w:p>
      <w:pPr>
        <w:spacing w:after="0" w:line="18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5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 from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conflicts in Ukraine and the Middle East;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and/or additional tariffs;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1" w:name="page42"/>
    <w:bookmarkEnd w:id="41"/>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2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The risk of errors may be exacerbated by the significant number of tax law changes recently enacted in the United States and other jurisdictions. Restatements are generally costly and could adversely impact our results of operations or have a negative impact on the trading price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As a result, you should not rely on period-to-period comparisons of our operating results as an indication of our future performance. It is also possible that our normal seasonal patterns will be impacted by ongoing macroeconomic uncertainty, future pandemics or disease outbreaks, supply chain disruptions and semiconductor capacity shortages, including the buildup of inventory by customers in response to such shortages, and continued high inflation. In future periods, our forecasted or actual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2" w:name="page43"/>
    <w:bookmarkEnd w:id="42"/>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socioeconomic and political conditions in the countries where we operate or where our products are sold or used, including recent macroeconomic volatility, pandemics or widespread public health problems, U.S.-China relations and the conditions in Hong Kong; and</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recently experienced significant shortages of capacity, which resulted in a lengthening of the manufacturing lead time for our products and could be impacting the normal forecasting and ordering patterns of our customers. In recent periods, some customers have indicated they are reducing their inventory levels as lead times for semiconductor chips and other components used by customers shrink, which has reduced, and may continue to reduce, such customers’ demand for our products in future periods.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profitability and cash flows, or incur losses.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and home security and monitoring camera markets, and successfully penetrate new markets, such as the OEM automotive, robotics and industrial markets, with our new AI computer vision-based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1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customers located outside the United States, primarily in Asia and we anticipate that this will continue. Sales to customers in Asia accounted for approximately 85%, 79% and 79% of our total revenue in fiscal years 2025, 2024 and 2023, respectively. For the nine months ended October 31, 2025, sales to customers in Asia accounted for approximately 87% of total revenue.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320"/>
        <w:spacing w:after="0" w:line="282" w:lineRule="auto"/>
        <w:rPr>
          <w:sz w:val="20"/>
          <w:szCs w:val="20"/>
          <w:color w:val="auto"/>
        </w:rPr>
      </w:pPr>
      <w:r>
        <w:rPr>
          <w:rFonts w:ascii="Times New Roman" w:cs="Times New Roman" w:eastAsia="Times New Roman" w:hAnsi="Times New Roman"/>
          <w:sz w:val="18"/>
          <w:szCs w:val="18"/>
          <w:color w:val="auto"/>
        </w:rPr>
        <w:t>between the New Taiwan Dollar and the U.S. dollar, and between the Eurozone Euro and the U.S. dollar, have been volatile in the recent past and these currency fluctuations may make it difficult for us to predict our operating results.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or otherwise become illiquid, which could materially and adversely affect our financial results.</w:t>
      </w:r>
    </w:p>
    <w:p>
      <w:pPr>
        <w:spacing w:after="0" w:line="15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October 31, 2025, we had approximately $121.2 million invested in marketable debt securities. The marketable debt security investments primarily consisted of corporate bonds, asset-backed securities and U.S. government securities.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pandemics or widespread public health problems, the Eurozone crisis, the U.S. debt ceiling crisis, and imposition of tariffs, which affected various sectors of the financial markets and led to global credit and liquidity issues. We regularly maintain cash balances that are not insured or are in excess of the Federal Deposit Insurance Corporation’s (FDIC) insurance limit. If the global financial markets continue to experience volatility or deteriorate, our investment portfolio may be impacted and some or all of our investments may become illiquid or otherwise experience loss which could adversely impact our financial results and position. To the extent that we increase the amount of our security investments in the future, these risks would be exacerbated.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Sigurd Corporation or King Yuan Electronics Co., Ltd. under the supervision of our engineers. We depend on these third parties to supply us with material of a requested quantity in a timely manner that meets our standards for yield, cost and manufacturing quality.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19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200"/>
        <w:spacing w:after="0" w:line="282" w:lineRule="auto"/>
        <w:rPr>
          <w:sz w:val="20"/>
          <w:szCs w:val="20"/>
          <w:color w:val="auto"/>
        </w:rPr>
      </w:pPr>
      <w:r>
        <w:rPr>
          <w:rFonts w:ascii="Times New Roman" w:cs="Times New Roman" w:eastAsia="Times New Roman" w:hAnsi="Times New Roman"/>
          <w:sz w:val="18"/>
          <w:szCs w:val="18"/>
          <w:color w:val="auto"/>
        </w:rPr>
        <w:t>assembly and test subcontractors because of increased demand or the inability to obtain timely and adequate deliveries from our current vendors, we may not be able to do so cost-effectively, if at all.</w:t>
      </w:r>
    </w:p>
    <w:p>
      <w:pPr>
        <w:spacing w:after="0" w:line="15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We have experienced and may again experience in the future supply constraints at our primary foundry and assembly vendors resulting from industry wide supply chain challenges.</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We do not seek to maintain sufficient inventory to address a lengthy transition period because we believe it is uneconomical. As a result, we may not be able to meet customer needs during such a transition, which could result in a decline in our sales, negatively impact our financial results and damage our customer relationships.</w:t>
      </w:r>
    </w:p>
    <w:p>
      <w:pPr>
        <w:spacing w:after="0" w:line="179"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incorporate components supplied by multiple third parties, and a supply shortage or delay in delivery of these components could delay orders for our solutions by our customers.</w:t>
      </w:r>
    </w:p>
    <w:p>
      <w:pPr>
        <w:spacing w:after="0" w:line="15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products from various sources of supply, often involving several specialized components, including lenses, sensors, microcontrollers, power management integrated circuits (PMICs), Wi-Fi chips,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Similarly, our ability to generate design wins in some markets, such as the automotive OEM market, requires us to collaborate with third-party software suppliers in order to offer a complete solution to customers. Our inability to successfully collaborate with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third-party suppliers, or such suppliers’ inability to develop and deliver software, could harm our ability to achieve design wins and harm our business.</w:t>
      </w:r>
    </w:p>
    <w:p>
      <w:pPr>
        <w:spacing w:after="0" w:line="221"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WT, which serves as our non-exclusive sales representative and fulfillment partner in Asia other than Japan. Approximately 63%, 53% and 57% of our revenue was derived from sales through WT for the fiscal years ended January 31, 2025, 2024 and 2023, respectively, and approximately 68% of our revenue was derived from sales through WT for the nine months ended October 31, 2025. We anticipate that a significant portion of our revenue will continue to be derived from sales through WT in the foreseeable future. Our current agreement with WT is effective until January 2026, unless it is terminated earlier by either party for any or no reason with 60 days written notice or by failure of the breaching party to cure a material breach within 30 days following written notice of such material breach by the non-breaching party. Our agreement with WT will automatically renew for additional successive 12-month terms unless at least 60 days before the end of the then-current term either party provides written notice to the other party that it elects not to renew the agreement. Termination of the relationship with WT, either by us or by WT,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WT, or any successor or other distributors we do business with, may face issues obtaining credit, which could impair their ability to make timely payments to us.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and intellectual property to us for the development of our new products, and we may be unable to obtain the tools necessary to develop or enhance new or existing products.</w:t>
      </w:r>
    </w:p>
    <w:p>
      <w:pPr>
        <w:spacing w:after="0" w:line="15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We also rely upon third-party intellectual property to enable certain advanced features in our products. In the future, the design requirements necessary to meet consumer demands for more features and greater functionality from our solutions may exceed the capabilities of available intellectual property and software development tools. Unavailability of software development tools or intellectual property may result in our missing design cycles or losing design wins, either of which could result in a loss of market share or negatively impact our operating results.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We have had disruptions in the past due to natural disasters disrupting the operations of our suppliers and this could happen again.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high inflation, recessionary concerns and trade restrictions, may have an impact on our business and financial condition in ways that we currently cannot predict.</w:t>
      </w:r>
    </w:p>
    <w:p>
      <w:pPr>
        <w:spacing w:after="0" w:line="15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Customer demand for our solutions may be negatively impacted by weak economic conditions, high inflation or recessionary environments in the US and other nations. Inflation or other deteriorations in global economic conditions may impact our operating expenses and third parties may demand pricing accommodations, which could harm our ability to meet customer demands or collect revenue or otherwise harm our business and financial results.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General trade tensions between the United States and China have been escalating, which has, in our view, created and will perpetuate an uncertain business environment. Tariffs on Chinese-origin products increased and may do so further. The specific duty rates have fluctuated, with the United States imposing, revoking, and postponing various tariffs. Similarly, China has taken measures in response, including increased tariffs on U.S. products and the imposition of new export controls on rare earth metals, critical minerals, and other items. Though certain items have been exempted from some of these recent U.S. tariff actions, including computers, semiconductors and other consumer electronics, the risk of additional U.S. tariffs has materially increased in light of recent comments and new Section 232 investigations opened by the U.S. presidential administration.</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in 2022, the U.S. government announced new controls restricting the ability to send certain products and technology related to semiconductors, semiconductor manufacturing, advanced computing, supercomputing, and artificial intelligence to China, including Hong Kong, without an export license. In many cases, these licenses are subject to a policy of denial and will not be issued. These controls have continued to expand. While our current products are not restricted by these controls, such controls could impact our ability to export products to China in the future. It also is possible that the Chinese government will retaliate in ways that could impact our business. End-user and end-use restrictions continue to evolve and may change what we can provide to certain entities both in China and other countries.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negative impacts from existing tariffs and trade restrictions,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A large portion of our employee base is in China and impacts to our China offices could significantly harm our operations, make it difficult to support customers and negatively impact product development. The materialization of these risks could have a material adverse effect on our business and financial condition. Further, our business and performance are subject to economic conditions, and our suppliers, distributors, and customers may suffer their own financial and economic challenges.</w:t>
      </w:r>
    </w:p>
    <w:p>
      <w:pPr>
        <w:spacing w:after="0" w:line="1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U.S. government recently introduced regulations that require notification of or prohibit certain transactions by the Company with entities in China or with linkages to China. These regulations could apply to certain intracompany activities with our China subsidiary or other activities with entities in China or with linkages to China. These regulations could also limit the ability of others to transact certain business with the Company if those transactions involve or benefit, directly or indirectly our operations in China.</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Changes in U.S. trade policy could trigger retaliatory actions by Russia, its allies and other affected countries, including China, resulting in a trade war. These sanctions and restrictions have continued to increase as the conflict has further escalated, and the United States and other countries could impose wider sanctions and export restrictions and take other actions in the future that could impact our business. Furthermore, if the conflict between Russia and Ukraine continues, or if other countries, including the U.S., become further involved in the conflict, we could face significant adverse effects to our business and financial condition.</w:t>
      </w:r>
    </w:p>
    <w:p>
      <w:pPr>
        <w:spacing w:after="0" w:line="183"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business operations in Taiwan, including 364 employees as of October 31, 2025,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Several of our customers, including Hangzhou Hikvision Digital Technology Co., Ltd, or Hikvision, Zhejiang Dahua Technology Co., Ltd., or Dahua, and affiliates of Shenzhen Dajiang Baiwang Technology Co., Ltd., have been added to the BIS Entity List, which imposes limitations on the supply of U.S. controlled items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any of our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0"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right="9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data processing, privacy, data protection and cybersecurity.</w:t>
      </w:r>
    </w:p>
    <w:p>
      <w:pPr>
        <w:spacing w:after="0" w:line="15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legislative and regulatory framework for data processing, privacy, data protection and cybersecurity issues worldwide is rapidly evolving and is likely to remain uncertain for the foreseeable future. We collect, maintain, transfer and otherwise process personal information and other data as part of our business processes and activities. These actions are subject to a variety of U.S. and international laws and regulations, and oversight by various regulatory or other governmental bodies. Many foreign countries and governmental bodies, including China, the European Union and other relevant jurisdictions where we conduct business, have laws and regulations concerning these matters that are more restrictive than those in the U.S. For example, the European Union has adopted the General Data Protection Regulation, or GDPR, which imposed stringent data protection requirements and provided for substantial penalties for noncompliance, including the potential for fines of up to €20 million or 4% of the annual global revenues of the noncompliant entity, whichever is greater. The United Kingdom has adopted legislation that substantially implements the GDPR and provides for a similar penalty structure. Similarly, California has adopted the California Consumer Privacy Act of 2018, or CCPA, which took effect in 2020. The CCPA was modified by the California Privacy Rights Act of 2020, which became effective on January 1, 2023. Numerous other U.S. states have proposed, and in certain cases enacted privacy laws, many of which are similar to the CCPA. The U.S. Department of Justice has also issued regulations regarding certain bulk sensitive personal data transfers.</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2021, the National People’s Congress passed the Data Security Law of the People’s Republic of China (Data Security Law) and China’s Personal Information Protection Law (PIPL). The Data Security Law is the first comprehensive data security legislation in China and aims to regulate a wide range of issues in relation to the collection, storage, processing, use, provision, transaction and publication of any kind of data. The PIPL is the first national-level law comprehensively regulating issues in relation to personal information protection in China, and provides for substantial fines and other remedies. The Data Security Law contains provisions that allow substantial government oversight and includes fines for failure to obtain required approval from China’s cyber and data protection regulators for cross-border personal information-related data transfers.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Aspects of laws and regulations relating to data processing, privacy, data protection and cybersecurity, and their interpretation and enforcement, remain unclear, and these laws and regulations, as well as relevant industry standards or other actual or asserted obligations, may be interpreted or applied in a manner that is inconsistent with our practices or the features of our products or solutions. We may find it necessary to modify our products, solutions or practices and to incur substantial costs and expenses in an effort to comply. Further, in the event of any actual or alleged failure to comply with such laws, regulations, industry standards or other actual or asserted obligations, we could face fines, lawsuits, regulatory investigations, and other claims and penalties, and we could be required to fundamentally change our products or our business practices, which could have an adverse effect on our business. Any inability, or perceived inability, to adequately address data processing, privacy, data protection or cybersecurity concerns, or to comply with applicable laws, regulations, industry standards, or other actual or asserted obligations relating to these matters, even if unfounded, could result in additional cost and liability to us, inhibit sales, damage our reputation and adversely affect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Anti-corruption and anti-bribery laws have been enforced aggressively in recent years and are interpreted broadly to generally prohibit companies, their employees, agents, representatives, distributors, business partners, and third-party intermediaries from authorizing, offering, or providing, directly or indirectly, improper payments or benefits to recipients in the public or private sector. In many foreign countries, particularly in countries with developing economies, it may be a local custom that businesses operating in such countries engage in business practices that are prohibited by the FCPA or other applicable laws and regulations.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Although we implemented an anti-corruption compliance program, we cannot assure you that none of our employees, agents, representatives, distributors, business partners or third-party intermediaries will take actions in violation of our policies and applicable law, for which we may be ultimately held responsible. Any allegations or violation of the FCPA or other applicable anti-corruption laws could result in whistleblower complaints, investigations, enforcement actions, severe criminal or civil sanctions, fines, adverse media coverage, and suspension or debarment from U.S. government contracting, all of which could have an adverse effect on our reputation, business, financial condition, operating results and cash flows. Responding to any investigation or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ind w:right="5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15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these and similar laws and regulations could subject us to fines, penalties, civil or criminal sanctions, contract damage claims, and take-back of non-compliant products, which could harm our business, reputation and operating results. Similarly,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76"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Global Select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or effective tax rates or adverse outcomes resulting from examination of our tax returns could adversely affect our results.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0" w:name="page51"/>
    <w:bookmarkEnd w:id="50"/>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transfer pricing adjustments, re-organization or restructuring of our businesses, changes in our corporate structure, including the effect of acquisitions on our legal structure, by tax costs related to intercompany realignments, tax effects of share-based compensation, expiration of or lapses in tax incentives, or by changes in tax laws, regulations, accounting principles or interpretations thereof.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9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Changes in applicable laws could cause us to experience fluctuations in our tax obligations and effective tax rates and otherwise adversely affect our tax positions and/or our tax liabilities. For example, in December 2018, the Cayman Islands passed the International Tax Co-Operation (Economic Substance) Law, 2018, which requires Cayman Islands companies carrying on one or more relevant activities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been working on a Base Erosion and Profit Shifting Project and has been issuing guidelines and proposals covering a number of issues, including country-by-country reporting, permanent establishment rules, transfer pricing rules and tax treaties. Many of these changes have been or are in the process of being adopted by numerous countries and could materially and adversely affect our provision for income taxes. One proposal is a framework that ensures an effective global minimum tax rate of 15% on certain multinationals that meet a consolidated revenues threshold of EUR 750 million or equivalent annually (“Pillar Two”). The Company believes that its consolidated revenues have not exceeded the relevant annual threshold. In addition, the U.S. has withdrawn support for Pillar Two and has indicated that it may take action against countries with tax laws that disproportionately impact U.S. businesses, which may result in retaliatory taxes or other retaliatory actions against U.S. businesses. Additional changes to global tax laws are likely to occur, and such changes may adversely affect our effective tax rate, operating results, and cash flow.</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One Big Beautiful Bill Act (OBBBA) was enacted on July 4, 2025, and made a number of changes to existing tax law, including extending or making permanent certain business and international tax measures initially established under the Tax Cuts and Jobs Act of 2017 (TCJA), which were set to expire. The OBBBA requires complex computations to be performed that were initially introduced by the TCJA. The U.S. Treasury Department, the IRS, and other standard-setting bodies could interpret or issue guidance on how provisions of the OBBBA will be applied or otherwise administered that is different from our interpretation. We are in the process of evaluating the financial statement impact of these provisions to future periods, but do not expect the OBBBA to have a material impact on the consolidated financial statements. As we complete our analysis of the OBBBA, collect and prepare necessary data, and interpret any additional guidance, we may make adjustments to provisional amounts that we have recorded that may impact our provision for income taxes in the period in which the adjustments are made.</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For example, our income tax returns are subject to continuous examination by the Internal Revenue Service and other tax authorities. Any such audit, examination or review requires management’s time, diverts internal resources and, in the event of an unfavorable outcome, may result in additional tax liabilities or other adjustments to our historical results.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for any taxable year, either (a) at least 75% of our gross income is passive income or (b) at least 50% of the value of our assets (based on an average of the quarterly values of those assets during the taxable year) is attributable to assets that produce or are held for the production of passive income, in each case including a pro rata portion of the income and assets of each subsidiary in which we own, directly or indirectly, at least 25% by value of such subsidiary’s equity interests, we may be characterized as a passive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280"/>
        <w:spacing w:after="0" w:line="282" w:lineRule="auto"/>
        <w:rPr>
          <w:sz w:val="20"/>
          <w:szCs w:val="20"/>
          <w:color w:val="auto"/>
        </w:rPr>
      </w:pPr>
      <w:r>
        <w:rPr>
          <w:rFonts w:ascii="Times New Roman" w:cs="Times New Roman" w:eastAsia="Times New Roman" w:hAnsi="Times New Roman"/>
          <w:sz w:val="18"/>
          <w:szCs w:val="18"/>
          <w:color w:val="auto"/>
        </w:rPr>
        <w:t>foreign investment company, or PFIC, for U.S. federal income tax purposes. If we are treated as a PFIC for any taxable year during which a U.S. holder holds ordinary shares, certain adverse U.S. federal income tax consequences could apply for such U.S. holder.</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PFIC for our 2026 fiscal year. However, a separate determination must be made at the close of each taxable year as to whether we are a PFIC for that taxable year, and we cannot assure you that we will not be a PFIC for our 2027 fiscal year or any future taxable year.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U.S. federal income tax status, or that of our subsidiaries, could result in adverse tax consequences to our 10% or greater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for U.S. federal income tax purposes, a United States person owns, or is considered to own as a result of certain attribution rules, 10% or more of the voting power or value of the stock of a non-U.S. corporation, such person is “United States shareholder” of such corporation, and may be treated as a “United States shareholder” with respect to each non-U.S. corporation in our group that is a subsidiary of that corporation. A non-U.S. corporation is a controlled foreign corporation, or CFC, for U.S. federal income tax purposes if United States shareholders, as defined in the immediately preceding sentence, own directly, indirectly or constructively (through attribution), more than 50% of either the total combined voting power or total value of the stock of such corporation. Because our group includes one or more U.S. subsidiaries, certain of our non-U.S. subsidiaries will generally be treated as CFCs under certain “downward attribution” rules, even if we are not a CFC. The OBBBA modifies the downward attribution rules and limits income inclusion with respect to foreign corporations that are treated as CFCs by virtue of downward attribution to only United States shareholders who own directly or indirectly more than 50% of the foreign corporation, effective for taxable years of foreign corporations beginning after December 31, 2025. Any United States shareholder (as defined above) should consult their individual tax advisor regarding the potential application of these rules to their ownership interest</w:t>
      </w:r>
      <w:r>
        <w:rPr>
          <w:rFonts w:ascii="Times New Roman" w:cs="Times New Roman" w:eastAsia="Times New Roman" w:hAnsi="Times New Roman"/>
          <w:sz w:val="18"/>
          <w:szCs w:val="18"/>
          <w:b w:val="1"/>
          <w:bCs w:val="1"/>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159"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440"/>
        <w:spacing w:after="0" w:line="282" w:lineRule="auto"/>
        <w:rPr>
          <w:sz w:val="20"/>
          <w:szCs w:val="20"/>
          <w:color w:val="auto"/>
        </w:rPr>
      </w:pPr>
      <w:r>
        <w:rPr>
          <w:rFonts w:ascii="Times New Roman" w:cs="Times New Roman" w:eastAsia="Times New Roman" w:hAnsi="Times New Roman"/>
          <w:sz w:val="18"/>
          <w:szCs w:val="18"/>
          <w:color w:val="auto"/>
        </w:rPr>
        <w:t>against us. If we are unable to protect our proprietary rights or if third parties independently develop or gain access to our or similar technologies, our business, revenue, reputation and competitive position could be harmed.</w:t>
      </w:r>
    </w:p>
    <w:p>
      <w:pPr>
        <w:spacing w:after="0" w:line="158" w:lineRule="exact"/>
        <w:rPr>
          <w:sz w:val="20"/>
          <w:szCs w:val="20"/>
          <w:color w:val="auto"/>
        </w:rPr>
      </w:pPr>
    </w:p>
    <w:p>
      <w:pPr>
        <w:ind w:right="1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We and certain of our customers have received, and in the future may receive, communications from others alleging our infringement of their patents, trade secrets or other intellectual property rights. In addition, we and certain of our end customers have been the subject of lawsuits alleging infringement of intellectual property rights by our solutions or products incorporating our solutions, including the assertion that the alleged infringement may be attributable, at least in part, to our technology. Such lawsuits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5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15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3" w:name="page54"/>
    <w:bookmarkEnd w:id="5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market price of our ordinary shares has historically been highly volatile, and has been particularly volatile in recent years. For example, since February 1, 2020, the trading price of our common stock ranged from a low of $36.02 to a high of $227.59. The trading price of our ordinary shares is likely to remain volatile and could be subject to wide fluctuations in price in response to various factors, some of which are beyond our control. These factors include:</w:t>
      </w:r>
    </w:p>
    <w:p>
      <w:pPr>
        <w:spacing w:after="0" w:line="72"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failing to meet or exceed our guidance or investor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related to the banking industry or caused by pandemics and high inflation, and slow or negative market growth;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a substantial number of our ordinary shares by us, our officers, or our significant stockholders as well as the perception that such sales or purchases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ordinary shares, short seller reports, and related media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or repurchase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failure of securities analysts to maintain coverage of us.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4" w:name="page55"/>
    <w:bookmarkEnd w:id="54"/>
    <w:p>
      <w:pPr>
        <w:ind w:right="560"/>
        <w:spacing w:after="0" w:line="282" w:lineRule="auto"/>
        <w:rPr>
          <w:sz w:val="20"/>
          <w:szCs w:val="20"/>
          <w:color w:val="auto"/>
        </w:rPr>
      </w:pPr>
      <w:r>
        <w:rPr>
          <w:rFonts w:ascii="Times New Roman" w:cs="Times New Roman" w:eastAsia="Times New Roman" w:hAnsi="Times New Roman"/>
          <w:sz w:val="18"/>
          <w:szCs w:val="18"/>
          <w:color w:val="auto"/>
        </w:rPr>
        <w:t>class action litigation has often been instituted against these companies. This litigation, if instituted against us, could result in substantial costs and a diversion of our management’s attention and resources.</w:t>
      </w:r>
    </w:p>
    <w:p>
      <w:pPr>
        <w:spacing w:after="0" w:line="15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159"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15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220" w:firstLine="509"/>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pandemics, and regional health issues, earthquakes, natural disasters, and other negative impacts from climate change, power losses, telecommunications failures, terrorist attacks, wars, Internet failures and other events beyond our control. Our operations could also be disrupted by geopolitical conditions, particularly in Taiwan or China, where the majority of our employees are located. Any disruption in our services or operations could result in a reduction in revenue, delay product development and R&amp;D, or result in a claim for substantial damages against us, regardless of whether we are responsible for that failure. If remote or work from home conditions were to continue for an extended period of time,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climate change-related policies and regulations may have a long-term impact on our business.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Global climate change is causing, and is projected to continue to cause, an increase in the frequency and intensity of certain natural disasters. Additionally, adverse weather, such as drought, wildfires, severe storms, sea-level rise, flooding, heat waves and cold waves, may occur more frequently and/or with greater intensity. Such extreme events are driving changes in market dynamics, and local, national and international policies and regulations, which could result in disruptions to us, our suppliers, customers, and employees. These disruptions could make it more difficult and costly for us to deliver our products, obtain components or other supplies through our supply chain, maintain, or resume operations or perform other critical corporate functions, and could reduce customer demand for our products, which would harm our business.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repurchases of the Company’s ordinary shares during the first quarter of fiscal year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repurchased during the second and the third quarters of fiscal year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(i)</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(ii)</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2025 to February 28, 2025</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 2025 to March 31, 2025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24,152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-156845</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-156845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-156845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140" w:right="20" w:hanging="758"/>
        <w:spacing w:after="0" w:line="25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our Board of Directors approved an extension of the existing $50.0 million share repurchase program for an additional twelve months through June 30, 2026. The repurchase program does not obligate us to acquire any particular amount of ordinary shares, and it may be suspended at any time at our discretion. Shares may be repurchased through open market purchases, 10b5-1 plans or privately negotiated transactions. Repurchases are funded using our working capital and any repurchased shares are recorded as authorized but unissued shares. As of October 31, 2025, we had repurchased an aggregate amount of $2.0 million of our ordinary shares, and we had approximately $48.0 million available to repurchase shares under the program through June 30, 2026.</w:t>
      </w:r>
    </w:p>
    <w:p>
      <w:pPr>
        <w:spacing w:after="0" w:line="79" w:lineRule="exact"/>
        <w:rPr>
          <w:rFonts w:ascii="Times New Roman" w:cs="Times New Roman" w:eastAsia="Times New Roman" w:hAnsi="Times New Roman"/>
          <w:sz w:val="18"/>
          <w:szCs w:val="18"/>
          <w:color w:val="auto"/>
        </w:rPr>
      </w:pPr>
    </w:p>
    <w:p>
      <w:pPr>
        <w:ind w:left="1140" w:right="140" w:hanging="758"/>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is calculated by total cash utilized (excluding commission) divided by total shares repurchased during the period.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our fiscal quarter ending October 31, 2025, the following directors and officer adopted a “Rule 10b5-1 trading arrangement”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 Item 408, as follows:</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30, 2025, Christopher Paisley, a member of our board of directors, adopted a Rule 10b5-1 trading arrangement providing for the sale from time to time of up to an aggregate of 8,000 of our ordinary shares. The trading arrangement is intended to satisfy the affirmative defense in Rule 10b5-1(c). The duration of the trading arrangement is until September 30, 2026, or earlier if all transactions under the trading arrangement are completed.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October 8, 2025, Feng-Ming Fermi Wang, our Chief Executive Officer and a member of our board of directors, adopted a Rule 10b5-1 trading arrangement providing for the sale from time to time of up to an aggregate of 115,000 of our ordinary shares. The trading arrangement is intended to satisfy the affirmative defense in Rule 10b5-1(c). The duration of the trading arrangement is until December 31, 2026, or earlier if all transactions under the trading arrangement are completed.</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No other director or officer, as defined in Rule 16a-1(f), adopted or terminated a “Rule 10b5-1 trading arrangement” or a “non-Rule 10b5-1 trading arrangement,” each as defined in Regulation S-K Item 408, during the last fiscal quarter ended October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40" w:type="dxa"/>
            <w:vAlign w:val="bottom"/>
            <w:gridSpan w:val="10"/>
          </w:tcPr>
          <w:p>
            <w:pPr>
              <w:ind w:left="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8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94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Amended and Restated Memorandum of Association and Second Amended and Restated Articles of Association of the Registrant.</w:t>
              </w:r>
            </w:hyperlink>
          </w:p>
        </w:tc>
        <w:tc>
          <w:tcPr>
            <w:tcW w:w="20" w:type="dxa"/>
            <w:vAlign w:val="bottom"/>
            <w:tcBorders>
              <w:bottom w:val="single" w:sz="8" w:color="0000EE"/>
            </w:tcBorders>
          </w:tcPr>
          <w:p>
            <w:pPr>
              <w:spacing w:after="0"/>
              <w:rPr>
                <w:sz w:val="24"/>
                <w:szCs w:val="24"/>
                <w:color w:val="auto"/>
              </w:rPr>
            </w:pPr>
          </w:p>
        </w:tc>
        <w:tc>
          <w:tcPr>
            <w:tcW w:w="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10.1*</w:t>
            </w:r>
          </w:p>
        </w:tc>
        <w:tc>
          <w:tcPr>
            <w:tcW w:w="620" w:type="dxa"/>
            <w:vAlign w:val="bottom"/>
          </w:tcPr>
          <w:p>
            <w:pPr>
              <w:spacing w:after="0"/>
              <w:rPr>
                <w:sz w:val="24"/>
                <w:szCs w:val="24"/>
                <w:color w:val="auto"/>
              </w:rPr>
            </w:pPr>
          </w:p>
        </w:tc>
        <w:tc>
          <w:tcPr>
            <w:tcW w:w="9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of Amended and Restated Change of Control and Severance Agreement, entered into by Ambarella, Inc. with its Chief Financial</w:t>
            </w:r>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Officer.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10.2*</w:t>
            </w:r>
          </w:p>
        </w:tc>
        <w:tc>
          <w:tcPr>
            <w:tcW w:w="6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of Amended and Restated Change of Control and Severance Agreement, entered into by Ambarella, Inc. with executive officers other</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1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than the Chief Executive Officer, Chief Financial Officer and Chief Technology Officer.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40" w:type="dxa"/>
            <w:vAlign w:val="bottom"/>
            <w:tcBorders>
              <w:right w:val="single" w:sz="8" w:color="0000EE"/>
            </w:tcBorders>
            <w:gridSpan w:val="3"/>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 Under Rule 13a-14(a) and 15d-14(a) of the Securities Exchange Act of 1934, as</w:t>
            </w:r>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Under Rule 13a-14(a) and 15d-14(a) of the Securities Exchange Act of 1934, as</w:t>
            </w:r>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Required Under Rule 13a-14(b) of the Securities Exchange Act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of 1934, as amended, and 18 U.S.C. §1350.</w:t>
            </w:r>
          </w:p>
        </w:tc>
        <w:tc>
          <w:tcPr>
            <w:tcW w:w="20" w:type="dxa"/>
            <w:vAlign w:val="bottom"/>
            <w:tcBorders>
              <w:bottom w:val="single" w:sz="8" w:color="0000EE"/>
            </w:tcBorders>
          </w:tcPr>
          <w:p>
            <w:pPr>
              <w:spacing w:after="0"/>
              <w:rPr>
                <w:sz w:val="17"/>
                <w:szCs w:val="17"/>
                <w:color w:val="auto"/>
              </w:rPr>
            </w:pPr>
          </w:p>
        </w:tc>
        <w:tc>
          <w:tcPr>
            <w:tcW w:w="69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160" w:hanging="1132"/>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31, 2025,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1140" w:right="400" w:hanging="1132"/>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 and Exchange Commission on September 12, 2012.</w:t>
      </w:r>
    </w:p>
    <w:p>
      <w:pPr>
        <w:ind w:left="1140" w:hanging="113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9" w:lineRule="exact"/>
        <w:rPr>
          <w:sz w:val="20"/>
          <w:szCs w:val="20"/>
          <w:color w:val="auto"/>
        </w:rPr>
      </w:pPr>
    </w:p>
    <w:p>
      <w:pPr>
        <w:ind w:left="1140" w:hanging="113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w:t>
      </w:r>
    </w:p>
    <w:p>
      <w:pPr>
        <w:spacing w:after="0" w:line="9" w:lineRule="exact"/>
        <w:rPr>
          <w:rFonts w:ascii="Times New Roman" w:cs="Times New Roman" w:eastAsia="Times New Roman" w:hAnsi="Times New Roman"/>
          <w:sz w:val="18"/>
          <w:szCs w:val="18"/>
          <w:color w:val="auto"/>
        </w:rPr>
      </w:pPr>
    </w:p>
    <w:p>
      <w:pPr>
        <w:ind w:left="11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December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237" w:lineRule="exact"/>
        <w:rPr>
          <w:sz w:val="20"/>
          <w:szCs w:val="20"/>
          <w:color w:val="auto"/>
        </w:rPr>
      </w:pPr>
    </w:p>
    <w:p>
      <w:pPr>
        <w:spacing w:after="0"/>
        <w:tabs>
          <w:tab w:leader="none" w:pos="5760" w:val="left"/>
          <w:tab w:leader="none" w:pos="8080" w:val="left"/>
        </w:tabs>
        <w:rPr>
          <w:sz w:val="20"/>
          <w:szCs w:val="20"/>
          <w:color w:val="auto"/>
        </w:rPr>
      </w:pPr>
      <w:r>
        <w:rPr>
          <w:rFonts w:ascii="Times New Roman" w:cs="Times New Roman" w:eastAsia="Times New Roman" w:hAnsi="Times New Roman"/>
          <w:sz w:val="18"/>
          <w:szCs w:val="18"/>
          <w:color w:val="auto"/>
        </w:rPr>
        <w:t>Date: December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1457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04"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John A. Young</w:t>
      </w:r>
    </w:p>
    <w:p>
      <w:pPr>
        <w:spacing w:after="0" w:line="8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AMBARELLA,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OF CONTROL AND SEVERANCE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Change of Control Severance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by and between 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Ambarella,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effective as of __________,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757"/>
        <w:spacing w:after="0" w:line="251" w:lineRule="auto"/>
        <w:tabs>
          <w:tab w:leader="none" w:pos="101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of the Company.</w:t>
      </w:r>
    </w:p>
    <w:p>
      <w:pPr>
        <w:spacing w:after="0" w:line="168" w:lineRule="exact"/>
        <w:rPr>
          <w:rFonts w:ascii="Times New Roman" w:cs="Times New Roman" w:eastAsia="Times New Roman" w:hAnsi="Times New Roman"/>
          <w:sz w:val="21"/>
          <w:szCs w:val="21"/>
          <w:color w:val="auto"/>
        </w:rPr>
      </w:pPr>
    </w:p>
    <w:p>
      <w:pPr>
        <w:jc w:val="both"/>
        <w:ind w:firstLine="757"/>
        <w:spacing w:after="0" w:line="244"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believes that it is imperative to provide Executive with certain severance benefits upon Executive’s termination of employment in connection with a Change of Control. The Board further believes that it is imperative to provide Executive with certain severance benefits if the Company were to terminate Executive’s employment without cause during the term of this Agreement. These benefits will provide Executive with enhanced financial security and incentive and encouragement to remain with the Company notwithstanding the possibility of a Change of Control.</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capitalized terms used in the Agreement are defined in Section 7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0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NOW, THEREFORE, in consideration of the mutual covenants contained herein, the parties hereto agree as follows:</w:t>
      </w:r>
    </w:p>
    <w:p>
      <w:pPr>
        <w:spacing w:after="0" w:line="206" w:lineRule="exact"/>
        <w:rPr>
          <w:sz w:val="20"/>
          <w:szCs w:val="20"/>
          <w:color w:val="auto"/>
        </w:rPr>
      </w:pPr>
    </w:p>
    <w:p>
      <w:pPr>
        <w:jc w:val="both"/>
        <w:ind w:firstLine="757"/>
        <w:spacing w:after="0" w:line="239"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Notwithstanding the previous sentence, if Executive becomes entitled to benefits pursuant to Section 3 of this Agreement, the Agreement will terminate when all of the obligations of the parties hereto with respect to this Agreement have been satisfied.</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If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0" w:name="page61"/>
    <w:bookmarkEnd w:id="60"/>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employment terminates for any reason, Executive will not be entitled to any payments, benefits, damages, awards or compensation other than as provided by this Agreement, or pursuant to the Company’s policies in place at the time of the termination (to the extent applicable) and the payment of accrued but unpaid wages, as required by law, and any unreimbursed reimbursable expenses.</w:t>
      </w:r>
    </w:p>
    <w:p>
      <w:pPr>
        <w:spacing w:after="0" w:line="180" w:lineRule="exact"/>
        <w:rPr>
          <w:sz w:val="20"/>
          <w:szCs w:val="20"/>
          <w:color w:val="auto"/>
        </w:rPr>
      </w:pPr>
    </w:p>
    <w:p>
      <w:pPr>
        <w:ind w:left="1020" w:hanging="263"/>
        <w:spacing w:after="0"/>
        <w:tabs>
          <w:tab w:leader="none" w:pos="102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53" w:lineRule="auto"/>
        <w:tabs>
          <w:tab w:leader="none" w:pos="2036"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Apart From a Change of Control</w:t>
      </w:r>
      <w:r>
        <w:rPr>
          <w:rFonts w:ascii="Times New Roman" w:cs="Times New Roman" w:eastAsia="Times New Roman" w:hAnsi="Times New Roman"/>
          <w:sz w:val="21"/>
          <w:szCs w:val="21"/>
          <w:color w:val="auto"/>
        </w:rPr>
        <w:t>. If the Company terminates Executive’s employment with the Company without Cause, and such termination occurs either prior to three (3) months before or after twelve</w:t>
      </w:r>
    </w:p>
    <w:p>
      <w:pPr>
        <w:jc w:val="both"/>
        <w:ind w:firstLine="8"/>
        <w:spacing w:after="0" w:line="235" w:lineRule="auto"/>
        <w:tabs>
          <w:tab w:leader="none" w:pos="427"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a Change of Control, and Executive signs and does not revoke a release of claims with the Company as required by Section 4 and resigns as a member of the Board, if applicable, effective no later than thirty (30) days following Executive’s termination, then Executive will receive the following from the Company:</w:t>
      </w:r>
    </w:p>
    <w:p>
      <w:pPr>
        <w:spacing w:after="0" w:line="177" w:lineRule="exact"/>
        <w:rPr>
          <w:rFonts w:ascii="Times New Roman" w:cs="Times New Roman" w:eastAsia="Times New Roman" w:hAnsi="Times New Roman"/>
          <w:sz w:val="22"/>
          <w:szCs w:val="22"/>
          <w:color w:val="auto"/>
        </w:rPr>
      </w:pPr>
    </w:p>
    <w:p>
      <w:pPr>
        <w:jc w:val="both"/>
        <w:ind w:firstLine="2744"/>
        <w:spacing w:after="0" w:line="244" w:lineRule="auto"/>
        <w:tabs>
          <w:tab w:leader="none" w:pos="3055"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3" w:lineRule="exact"/>
        <w:rPr>
          <w:sz w:val="20"/>
          <w:szCs w:val="20"/>
          <w:color w:val="auto"/>
        </w:rPr>
      </w:pPr>
    </w:p>
    <w:p>
      <w:pPr>
        <w:jc w:val="both"/>
        <w:ind w:firstLine="2714"/>
        <w:spacing w:after="0" w:line="239" w:lineRule="auto"/>
        <w:tabs>
          <w:tab w:leader="none" w:pos="30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Executive is entitled to receive a lump sum payment equal to the sum of (x) 100% of Executive’s annual base salary as in effect immediately prior to Executive’s termination date and (y) the portion of Executive’s annual target bonus prorated monthly based on the number of months of completed service for the fiscal year in which the Executive’s employment terminates.</w:t>
      </w:r>
    </w:p>
    <w:p>
      <w:pPr>
        <w:spacing w:after="0" w:line="180" w:lineRule="exact"/>
        <w:rPr>
          <w:sz w:val="20"/>
          <w:szCs w:val="20"/>
          <w:color w:val="auto"/>
        </w:rPr>
      </w:pPr>
    </w:p>
    <w:p>
      <w:pPr>
        <w:jc w:val="both"/>
        <w:ind w:firstLine="2684"/>
        <w:spacing w:after="0" w:line="239" w:lineRule="auto"/>
        <w:tabs>
          <w:tab w:leader="none" w:pos="305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Executive’s outstanding equity awards will immediately vest as to that number of shares that would have otherwise vested during the twelve (12)-month period following the date of Executive’s termination; provided, however, that with respect to performance-based equity awards, this provision may be superseded by the applicable equity award agreement if so specified in such equity award agreement.</w:t>
      </w:r>
    </w:p>
    <w:p>
      <w:pPr>
        <w:spacing w:after="0" w:line="180" w:lineRule="exact"/>
        <w:rPr>
          <w:rFonts w:ascii="Times New Roman" w:cs="Times New Roman" w:eastAsia="Times New Roman" w:hAnsi="Times New Roman"/>
          <w:sz w:val="22"/>
          <w:szCs w:val="22"/>
          <w:color w:val="auto"/>
        </w:rPr>
      </w:pPr>
    </w:p>
    <w:p>
      <w:pPr>
        <w:jc w:val="both"/>
        <w:ind w:firstLine="2690"/>
        <w:spacing w:after="0" w:line="235" w:lineRule="auto"/>
        <w:tabs>
          <w:tab w:leader="none" w:pos="305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 Benefits</w:t>
      </w:r>
      <w:r>
        <w:rPr>
          <w:rFonts w:ascii="Times New Roman" w:cs="Times New Roman" w:eastAsia="Times New Roman" w:hAnsi="Times New Roman"/>
          <w:sz w:val="22"/>
          <w:szCs w:val="22"/>
          <w:color w:val="auto"/>
        </w:rPr>
        <w:t>. If (1) Executive constitutes a qualified beneficiary, as defined in Section 4980(B)(g)(1)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and (2) Executive elects continuation health coverage pursuant to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for Executive and Executive’s eligible dependents, within the time period prescribed pursuant to COBRA, the Company will pay the premiums for such health continuation coverage at the levels in effect immediately prior to Executive’s termination until the earlier of (A) twelve (12) months from the last date of Executive’s employment with the Company, (B) the date upon which Executive and/or Executive’s eligible dependents becomes covered under similar plans, or (C) the date upon which Executive and Executive’s eligible dependents are no longer eligible for coverage under COBRA.</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Resignation for Good Reason in Connection with a Change of Control</w:t>
      </w:r>
      <w:r>
        <w:rPr>
          <w:rFonts w:ascii="Times New Roman" w:cs="Times New Roman" w:eastAsia="Times New Roman" w:hAnsi="Times New Roman"/>
          <w:sz w:val="22"/>
          <w:szCs w:val="22"/>
          <w:color w:val="auto"/>
        </w:rPr>
        <w:t>. If the Company terminates Executive’s employment with the Company without Cause or if Executive resigns from such employment for Good Reason, and such</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termination occurs within the period beginning three (3) months before and ending twelve (12) months after a Change of Control, and Executive signs and does not revoke a release of claims with the Company as required by Section 4 and resigns as a member of the Board, if applicable, effective no later than thirty (30) days following Executive’s termination, then Executive will receive the following from the Company:</w:t>
      </w:r>
    </w:p>
    <w:p>
      <w:pPr>
        <w:spacing w:after="0" w:line="180" w:lineRule="exact"/>
        <w:rPr>
          <w:sz w:val="20"/>
          <w:szCs w:val="20"/>
          <w:color w:val="auto"/>
        </w:rPr>
      </w:pPr>
    </w:p>
    <w:p>
      <w:pPr>
        <w:jc w:val="both"/>
        <w:ind w:firstLine="2744"/>
        <w:spacing w:after="0" w:line="244" w:lineRule="auto"/>
        <w:tabs>
          <w:tab w:leader="none" w:pos="30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3" w:lineRule="exact"/>
        <w:rPr>
          <w:sz w:val="20"/>
          <w:szCs w:val="20"/>
          <w:color w:val="auto"/>
        </w:rPr>
      </w:pPr>
    </w:p>
    <w:p>
      <w:pPr>
        <w:jc w:val="both"/>
        <w:ind w:right="200" w:firstLine="2714"/>
        <w:spacing w:after="0" w:line="255" w:lineRule="auto"/>
        <w:tabs>
          <w:tab w:leader="none" w:pos="305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Payment</w:t>
      </w:r>
      <w:r>
        <w:rPr>
          <w:rFonts w:ascii="Times New Roman" w:cs="Times New Roman" w:eastAsia="Times New Roman" w:hAnsi="Times New Roman"/>
          <w:sz w:val="21"/>
          <w:szCs w:val="21"/>
          <w:color w:val="auto"/>
        </w:rPr>
        <w:t>. Executive is entitled to receive a lump sum payment equal to the sum of (x) 100% of Executive’s annual base salary as in effect immediately prior to Executive’s termination date or (if greater) at the level in effect immediately prior to the Change of Control and (y) the portion of Executive’s annual target bonus prorated monthly based on the number of months of completed service for the fiscal year in which the Executive’s employment terminates.</w:t>
      </w:r>
    </w:p>
    <w:p>
      <w:pPr>
        <w:spacing w:after="0" w:line="162" w:lineRule="exact"/>
        <w:rPr>
          <w:sz w:val="20"/>
          <w:szCs w:val="20"/>
          <w:color w:val="auto"/>
        </w:rPr>
      </w:pPr>
    </w:p>
    <w:p>
      <w:pPr>
        <w:jc w:val="both"/>
        <w:ind w:firstLine="2684"/>
        <w:spacing w:after="0" w:line="239" w:lineRule="auto"/>
        <w:tabs>
          <w:tab w:leader="none" w:pos="305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Executive’s outstanding equity awards will vest as to one hundred percent (100%) of the total number of shares subject to each of Executive's then outstanding equity awards; provided, however, that with respect to performance-based equity awards, this provision may be superseded by the applicable equity award agreement if so specified in such equity award agreement.</w:t>
      </w:r>
    </w:p>
    <w:p>
      <w:pPr>
        <w:spacing w:after="0" w:line="180" w:lineRule="exact"/>
        <w:rPr>
          <w:rFonts w:ascii="Times New Roman" w:cs="Times New Roman" w:eastAsia="Times New Roman" w:hAnsi="Times New Roman"/>
          <w:sz w:val="22"/>
          <w:szCs w:val="22"/>
          <w:color w:val="auto"/>
        </w:rPr>
      </w:pPr>
    </w:p>
    <w:p>
      <w:pPr>
        <w:jc w:val="both"/>
        <w:ind w:firstLine="2690"/>
        <w:spacing w:after="0" w:line="235" w:lineRule="auto"/>
        <w:tabs>
          <w:tab w:leader="none" w:pos="305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 Benefits</w:t>
      </w:r>
      <w:r>
        <w:rPr>
          <w:rFonts w:ascii="Times New Roman" w:cs="Times New Roman" w:eastAsia="Times New Roman" w:hAnsi="Times New Roman"/>
          <w:sz w:val="22"/>
          <w:szCs w:val="22"/>
          <w:color w:val="auto"/>
        </w:rPr>
        <w:t>. If (1) Executive constitutes a qualified beneficiary, as defined in Section 4980(B)(g)(1) of the Code and (2) Executive elects continuation health coverage pursuant to COBRA for Executive and Executive’s eligible dependents, within the time period prescribed pursuant to COBRA, the Company will pay the premiums for such health continuation coverage at the levels in effect immediately prior to Executive’s termination until the earlier of (A) (12) months from the last date of Executive’s employment with the Company, (B) the date upon which Executive and/or Executive’s eligible dependents becomes covered under similar plans, or (C) the date upon which Executive and Executive’s eligible dependents are no longer eligible for coverage under COBRA.</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Death</w:t>
      </w:r>
      <w:r>
        <w:rPr>
          <w:rFonts w:ascii="Times New Roman" w:cs="Times New Roman" w:eastAsia="Times New Roman" w:hAnsi="Times New Roman"/>
          <w:sz w:val="22"/>
          <w:szCs w:val="22"/>
          <w:color w:val="auto"/>
        </w:rPr>
        <w:t>. If the Company terminates Executive’s employment as a result of Executive’s Disability, or Executive’s employment terminates due to his or her death, and Executive (or, as applicable, Executive’s designated beneficiary, if living, or otherwise the personal representative of Executive’s estate) signs and does not revoke a release of claims with the Company as required by Section 4, then Executive (or, as applicable, Executive’s designated beneficiary, if living, or otherwise the personal representative of Executive’s estate) will receive the following from the Company:</w:t>
      </w:r>
    </w:p>
    <w:p>
      <w:pPr>
        <w:spacing w:after="0" w:line="181" w:lineRule="exact"/>
        <w:rPr>
          <w:sz w:val="20"/>
          <w:szCs w:val="20"/>
          <w:color w:val="auto"/>
        </w:rPr>
      </w:pPr>
    </w:p>
    <w:p>
      <w:pPr>
        <w:jc w:val="both"/>
        <w:ind w:firstLine="2744"/>
        <w:spacing w:after="0" w:line="239"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The Company will pay Executive (or, as applicable, Executive’s designated beneficiary, if living, or otherwise the personal representative of Executive’s estate) all accrued but unpaid vacation, expense reimbursements, wages, any earned (but yet unpaid) bonus or commission, and other benefits due to Executive under any Company-provided plans, policies, and arrangements.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5" w:lineRule="exact"/>
        <w:rPr>
          <w:sz w:val="20"/>
          <w:szCs w:val="20"/>
          <w:color w:val="auto"/>
        </w:rPr>
      </w:pPr>
    </w:p>
    <w:p>
      <w:pPr>
        <w:jc w:val="both"/>
        <w:ind w:firstLine="2714"/>
        <w:spacing w:after="0" w:line="244" w:lineRule="auto"/>
        <w:tabs>
          <w:tab w:leader="none" w:pos="3055" w:val="left"/>
        </w:tabs>
        <w:numPr>
          <w:ilvl w:val="3"/>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w:t>
      </w:r>
      <w:r>
        <w:rPr>
          <w:rFonts w:ascii="Times New Roman" w:cs="Times New Roman" w:eastAsia="Times New Roman" w:hAnsi="Times New Roman"/>
          <w:sz w:val="22"/>
          <w:szCs w:val="22"/>
          <w:color w:val="auto"/>
        </w:rPr>
        <w:t>. Executive (or, as applicable, Executive’s designated beneficiary, if living, or otherwise the personal representative of Executive’s estate) is entitled to receive a lump sum payment equal to 100% of Executive’s annual base salary as in effect immediately prior to Executive’s termination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Severance Payments</w:t>
      </w:r>
      <w:r>
        <w:rPr>
          <w:rFonts w:ascii="Times New Roman" w:cs="Times New Roman" w:eastAsia="Times New Roman" w:hAnsi="Times New Roman"/>
          <w:sz w:val="22"/>
          <w:szCs w:val="22"/>
          <w:color w:val="auto"/>
        </w:rPr>
        <w:t>. Unless otherwise required pursuant to Section 5 of this Agreement, the Company will pay the cash severance payments to which Executive is entitled under this Agreement in a lump sum as soon as practicable following the date of termination, provided, however, that such payment will be delayed to the extent required by Section 4 and/or Section 5 of this Agreement. Except to the extent payment is delayed pursuant to Section 5(b), all cash severance payments under this Agreement will be paid no later than the seventy-fourth (74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the date on which the termination occurs.</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w:t>
      </w:r>
    </w:p>
    <w:p>
      <w:pPr>
        <w:spacing w:after="0" w:line="25" w:lineRule="exact"/>
        <w:rPr>
          <w:rFonts w:ascii="Times New Roman" w:cs="Times New Roman" w:eastAsia="Times New Roman" w:hAnsi="Times New Roman"/>
          <w:sz w:val="21"/>
          <w:szCs w:val="21"/>
          <w:color w:val="auto"/>
        </w:rPr>
      </w:pPr>
    </w:p>
    <w:p>
      <w:pPr>
        <w:jc w:val="both"/>
        <w:ind w:firstLine="8"/>
        <w:spacing w:after="0" w:line="234" w:lineRule="auto"/>
        <w:tabs>
          <w:tab w:leader="none" w:pos="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voluntarily by Executive (other than for Good Reason in connection with a Change of Control)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7"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In the event of a termination of Executive’s employment as set forth in Section 3(a), 3(b) or 3(c) of this Agreement, the provisions of Section 3(a), 3(b) or 3(c), as applicable, are intended to be and are mutually exclusive of each other and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 If Executive should receive the benefits set forth in Section 9(d) of this Agreement, the benefits provided in Section 3(a)(iv) or Section 3(b)(iv) will be reduced by the number of months Executive received Company-paid COBRA continuation coverage under Section 9(d).</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 Agreement</w:t>
      </w:r>
      <w:r>
        <w:rPr>
          <w:rFonts w:ascii="Times New Roman" w:cs="Times New Roman" w:eastAsia="Times New Roman" w:hAnsi="Times New Roman"/>
          <w:sz w:val="21"/>
          <w:szCs w:val="21"/>
          <w:color w:val="auto"/>
        </w:rPr>
        <w:t>. The receipt of any severance or other benefits pursuant to Section 3 will be subject to Executive (or, as applicable, Executive’s designated beneficiary, if living, or otherwise the personal representative of Executive’s estate) signing and not revoking a Release Agreement, attached hereto as Exhibit A, B and C (but with such changes as the Company determines, in good faith, are appropriate to update for then-applicable law), as applicable based on the Executive’s age upon termination and whether such termination qualifies as a group termination under the Age Discrimination in Employment Act of 1967, and such release becoming effective and irrevocable within sixty (60) days of Executive’s termination or such earlier date as required by the release (such deadline, the “</w:t>
      </w:r>
      <w:r>
        <w:rPr>
          <w:rFonts w:ascii="Times New Roman" w:cs="Times New Roman" w:eastAsia="Times New Roman" w:hAnsi="Times New Roman"/>
          <w:sz w:val="21"/>
          <w:szCs w:val="21"/>
          <w:b w:val="1"/>
          <w:bCs w:val="1"/>
          <w:color w:val="auto"/>
        </w:rPr>
        <w:t>Release Deadline</w:t>
      </w:r>
      <w:r>
        <w:rPr>
          <w:rFonts w:ascii="Times New Roman" w:cs="Times New Roman" w:eastAsia="Times New Roman" w:hAnsi="Times New Roman"/>
          <w:sz w:val="21"/>
          <w:szCs w:val="21"/>
          <w:color w:val="auto"/>
        </w:rPr>
        <w:t>”). If the release of claims does not become effective and irrevocable by the Release Deadline, Executive will forfeit any rights to severance or benefits under this Agreement. In no event will severance payments or benefits be paid or provided until the release of claims becomes effective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and irrevocable. Notwithstanding anything in this Agreement to the contrary, in the event severance payments or benefits provided under this Agreement would be considered Deferred Compensation Separation Benefits (as defined below), then the following timing of payments will apply to such Deferred Compensation Separation Benefits, in each case subject to any delay in payment required by Section 409A (and provided the release becomes effective and irrevocable): (i) if the Release Deadline is on or before December 10 of the calendar year of Executive’s “separation from service” (within the meaning of Section 409A of the Code, and the final regulations and official guidance promulgated thereunder (together,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any portion of Executive’s severance payments or benefits provided under this Agreement that would be considered Deferred Compensation Separation Benefits will be paid on or before December 31 of that calendar year, or such later time as required by (A) the payment schedule applicable to each payment or benefit, or (B) if applicable, the six-month delay requirement of Section 409A (as set forth in Section 5 below); and (ii) if the Release Deadline is after December 10 of the calendar year of Executive’s “separation from service” (within the meaning of Section 409A), any portion of the severance payments or benefits provided under this Agreement that would be considered Deferred Compensation Separation Benefits will be paid as soon as practicable during the calendar year following the calendar year in which such separation of service occurs (but within the time limit prescribed by Section 3(d)) or such later time as required by (A) the payment schedule applicable to each payment or benefit, or</w:t>
      </w:r>
    </w:p>
    <w:p>
      <w:pPr>
        <w:spacing w:after="0" w:line="3"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six-month delay requirement of Section 409A (as set forth in Section 5 below).</w:t>
      </w:r>
    </w:p>
    <w:p>
      <w:pPr>
        <w:spacing w:after="0" w:line="182" w:lineRule="exact"/>
        <w:rPr>
          <w:rFonts w:ascii="Times New Roman" w:cs="Times New Roman" w:eastAsia="Times New Roman" w:hAnsi="Times New Roman"/>
          <w:sz w:val="22"/>
          <w:szCs w:val="22"/>
          <w:color w:val="auto"/>
        </w:rPr>
      </w:pPr>
    </w:p>
    <w:p>
      <w:pPr>
        <w:ind w:right="160" w:firstLine="1505"/>
        <w:spacing w:after="0" w:line="244" w:lineRule="auto"/>
        <w:tabs>
          <w:tab w:leader="none" w:pos="209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Requirement</w:t>
      </w:r>
      <w:r>
        <w:rPr>
          <w:rFonts w:ascii="Times New Roman" w:cs="Times New Roman" w:eastAsia="Times New Roman" w:hAnsi="Times New Roman"/>
          <w:sz w:val="22"/>
          <w:szCs w:val="22"/>
          <w:color w:val="auto"/>
        </w:rPr>
        <w:t>. Executive’s receipt of any payments or benefits under Section 3 will be subject to Executive continuing to comply with the terms of any confidential information agreement executed by Executive in favor of the Company and the provisions of this Agreement.</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Executive is a “specified employee” within the meaning of Section 409A at the time of Executive’s termination (other than due to death), then the severance payable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b w:val="1"/>
          <w:bCs w:val="1"/>
          <w:color w:val="auto"/>
        </w:rPr>
        <w:t>Deferred Compensation 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Benefits</w:t>
      </w:r>
      <w:r>
        <w:rPr>
          <w:rFonts w:ascii="Times New Roman" w:cs="Times New Roman" w:eastAsia="Times New Roman" w:hAnsi="Times New Roman"/>
          <w:sz w:val="22"/>
          <w:szCs w:val="22"/>
          <w:color w:val="auto"/>
        </w:rPr>
        <w:t>”) that are payable within the first six (6) months following Executive’s termination of employment, will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on the first payroll date that occurs on or after the date six (6) months and one (1) day following the date of Executive’s termination of employment. All subsequent Deferred Compensation Separation Benefits, if any, will be payable in accordance with the payment schedule applicable to each payment or benefit. Notwithstanding anything herein to the contrary, if Executive dies following his or her termination but prior to the six (6) month anniversary of his or her termination,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satisfies the requirements of the “short-term deferral” rule set forth in Section 1.409A-1(b)(4) of the Treasury Regulations shall not constitute Deferred Compensation Separation Benefits for purposes of clause (a) above.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paid under this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(a) above.</w:t>
      </w:r>
    </w:p>
    <w:p>
      <w:pPr>
        <w:spacing w:after="0" w:line="1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and other benefits provided for in this Agreement or otherwise payable to Executive (i) constitute “parachute payments” within the meaning of Section 280G of the Code, and (ii) but for this Section 6, would be subject to the excise tax imposed by Section 4999 of the Code, then such payments or benefits under Section 3 will be either:</w:t>
      </w:r>
    </w:p>
    <w:p>
      <w:pPr>
        <w:spacing w:after="0" w:line="180" w:lineRule="exact"/>
        <w:rPr>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benefits being subject to excise tax under Section 4999 of the Code,</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Unless the Company and Executive otherwise agree in writing, any determination required under this Section 6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Section 6,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w:t>
      </w:r>
    </w:p>
    <w:p>
      <w:pPr>
        <w:spacing w:after="0" w:line="9"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bear all costs the Accountants may incur in connection with any calculations contemplated by this Section</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28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reduction in payments and/or benefits required by this Section 6 shall occur in the following order: (1) reduction of cash payments; (2) reduction of vesting acceleration of equity awards; and (3) reduction of other benefits paid or provided to Executive. In the event that acceleration of vesting of equity awards is to be reduced, such acceleration of vesting shall be cancelled in the order that results in the highest after-tax payment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the Executive after taking into account the excise tax, as determined by the Accountants; provided that in the event that there are multiple scenarios that result in the highest after-tax payment, then such reduction will occur in the reverse order of the date of grant for such equity awards (i.e., the vesting of the most recently granted stock awards will be reduced first). If two or more equity awards are granted on the same date, each equity award will be reduced on a pro-rata basis. In no event will Executive exercise any discretion with respect to the ordering of any reduction of payments or benefits pursuant to this Section 6.</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2" w:lineRule="exact"/>
        <w:rPr>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Termination by the Company of the Executive’s employment for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will mean:</w:t>
      </w:r>
    </w:p>
    <w:p>
      <w:pPr>
        <w:spacing w:after="0" w:line="210" w:lineRule="exact"/>
        <w:rPr>
          <w:rFonts w:ascii="Times New Roman" w:cs="Times New Roman" w:eastAsia="Times New Roman" w:hAnsi="Times New Roman"/>
          <w:sz w:val="22"/>
          <w:szCs w:val="22"/>
          <w:color w:val="auto"/>
        </w:rPr>
      </w:pPr>
    </w:p>
    <w:p>
      <w:pPr>
        <w:jc w:val="both"/>
        <w:ind w:firstLine="2744"/>
        <w:spacing w:after="0" w:line="244" w:lineRule="auto"/>
        <w:tabs>
          <w:tab w:leader="none" w:pos="305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and continued failure to substantially perform the duties of Executive’s position, other than failure resulting from Executive’s complete or partial incapacity due to physical or mental illness or impairment;</w:t>
      </w:r>
    </w:p>
    <w:p>
      <w:pPr>
        <w:spacing w:after="0" w:line="173" w:lineRule="exact"/>
        <w:rPr>
          <w:sz w:val="20"/>
          <w:szCs w:val="20"/>
          <w:color w:val="auto"/>
        </w:rPr>
      </w:pPr>
    </w:p>
    <w:p>
      <w:pPr>
        <w:jc w:val="both"/>
        <w:ind w:firstLine="2714"/>
        <w:spacing w:after="0" w:line="244" w:lineRule="auto"/>
        <w:tabs>
          <w:tab w:leader="none" w:pos="305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and continued failure to substantially perform the specific and lawful directives of the Board, as reasonably determined by the Board, other than failure resulting from Executive’s complete or partial incapacity due to physical or mental illness or impairment;</w:t>
      </w:r>
    </w:p>
    <w:p>
      <w:pPr>
        <w:spacing w:after="0" w:line="173" w:lineRule="exact"/>
        <w:rPr>
          <w:sz w:val="20"/>
          <w:szCs w:val="20"/>
          <w:color w:val="auto"/>
        </w:rPr>
      </w:pPr>
    </w:p>
    <w:p>
      <w:pPr>
        <w:ind w:right="20" w:firstLine="2684"/>
        <w:spacing w:after="0" w:line="258" w:lineRule="auto"/>
        <w:tabs>
          <w:tab w:leader="none" w:pos="30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commission of an act of fraud or dishonesty resulting in, or that is likely to result in, material economic or financial injury to the Company; or</w:t>
      </w:r>
    </w:p>
    <w:p>
      <w:pPr>
        <w:spacing w:after="0" w:line="158" w:lineRule="exact"/>
        <w:rPr>
          <w:rFonts w:ascii="Times New Roman" w:cs="Times New Roman" w:eastAsia="Times New Roman" w:hAnsi="Times New Roman"/>
          <w:sz w:val="22"/>
          <w:szCs w:val="22"/>
          <w:color w:val="auto"/>
        </w:rPr>
      </w:pPr>
    </w:p>
    <w:p>
      <w:pPr>
        <w:ind w:right="20" w:firstLine="2690"/>
        <w:spacing w:after="0" w:line="258" w:lineRule="auto"/>
        <w:tabs>
          <w:tab w:leader="none" w:pos="305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engagement in illegal conduct which was or is reasonably likely to be materially injurious to the Company.</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For purposes of this Section 7(a), no act, or failure to act, on Executive’s part shall be deemed “willful” unless done, or omitted to be done, by Executive not in good faith. In the event of any alleged breach pursuant to (i) or (ii) of this Section 7(a), the Company will first give Executive written notice which specifically identifies the manner in which the Board believes that the Executive’s conduct constitutes the alleged performance breach to enable Executive to correct the deficiency within a reasonable time period, which will not be less than thirty (30) days, before the Company can proceed with a termination for Cause under either (i) or (ii) of this Section 7(a). In the event of any alleged conduct described in (iii) or (iv) of this Section 7(a), the Company will deliver to Executive written notice which sets forth the Board’s finding that Executive engaged in such conduct and specifying the particulars thereof. In the event of a Change of Control pursuant to which the Company is not the surviving entity, then on and after such Change of Control, all determinations and actions required to be taken by the Board under this Section 7(a) shall be made or taken by the board of directors of the surviving entity, or if the surviving entity is a subsidiary, then by the board of directors of the ultimate parent corporation of the surviving entity.</w:t>
      </w:r>
    </w:p>
    <w:p>
      <w:pPr>
        <w:spacing w:after="0" w:line="183" w:lineRule="exact"/>
        <w:rPr>
          <w:sz w:val="20"/>
          <w:szCs w:val="20"/>
          <w:color w:val="auto"/>
        </w:rPr>
      </w:pPr>
    </w:p>
    <w:p>
      <w:pPr>
        <w:ind w:right="20" w:firstLine="1505"/>
        <w:spacing w:after="0" w:line="262" w:lineRule="auto"/>
        <w:tabs>
          <w:tab w:leader="none" w:pos="203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will be deemed to occur upon the earliest to occur after the date of this Agreement of any of the following events: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5" w:lineRule="exact"/>
        <w:rPr>
          <w:sz w:val="20"/>
          <w:szCs w:val="20"/>
          <w:color w:val="auto"/>
        </w:rPr>
      </w:pPr>
    </w:p>
    <w:p>
      <w:pPr>
        <w:jc w:val="both"/>
        <w:ind w:firstLine="2744"/>
        <w:spacing w:after="0" w:line="235" w:lineRule="auto"/>
        <w:tabs>
          <w:tab w:leader="none" w:pos="305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one person, or more than one person acting as a group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 gross fair market value means the value of the assets of the Company, or the value of the assets being disposed of, determined without regard to any liabilities associated with such assets;</w:t>
      </w:r>
    </w:p>
    <w:p>
      <w:pPr>
        <w:spacing w:after="0" w:line="183" w:lineRule="exact"/>
        <w:rPr>
          <w:sz w:val="20"/>
          <w:szCs w:val="20"/>
          <w:color w:val="auto"/>
        </w:rPr>
      </w:pPr>
    </w:p>
    <w:p>
      <w:pPr>
        <w:jc w:val="both"/>
        <w:ind w:firstLine="2714"/>
        <w:spacing w:after="0" w:line="238" w:lineRule="auto"/>
        <w:tabs>
          <w:tab w:leader="none" w:pos="30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of Control;</w:t>
      </w:r>
    </w:p>
    <w:p>
      <w:pPr>
        <w:spacing w:after="0" w:line="177" w:lineRule="exact"/>
        <w:rPr>
          <w:sz w:val="20"/>
          <w:szCs w:val="20"/>
          <w:color w:val="auto"/>
        </w:rPr>
      </w:pPr>
    </w:p>
    <w:p>
      <w:pPr>
        <w:jc w:val="both"/>
        <w:ind w:firstLine="2684"/>
        <w:spacing w:after="0" w:line="236" w:lineRule="auto"/>
        <w:tabs>
          <w:tab w:leader="none" w:pos="30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A change in the effective control of the Company which occurs on the date that a majority of members of the Board is replaced during any twenty-four (24) month period by directors whose appointment or election is not approved by a majority of the members of the Board prior to the date of the appointment or election. For purposes of this subsection (iii), if any Person is considered to be in effective control of the Company, the acquisition of additional control of the Company by the same Person will not be considered a Change of Control; or</w:t>
      </w:r>
    </w:p>
    <w:p>
      <w:pPr>
        <w:spacing w:after="0" w:line="181" w:lineRule="exact"/>
        <w:rPr>
          <w:rFonts w:ascii="Times New Roman" w:cs="Times New Roman" w:eastAsia="Times New Roman" w:hAnsi="Times New Roman"/>
          <w:sz w:val="22"/>
          <w:szCs w:val="22"/>
          <w:color w:val="auto"/>
        </w:rPr>
      </w:pPr>
    </w:p>
    <w:p>
      <w:pPr>
        <w:ind w:right="20" w:firstLine="2690"/>
        <w:spacing w:after="0" w:line="236" w:lineRule="auto"/>
        <w:tabs>
          <w:tab w:leader="none" w:pos="30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1"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58"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Notwithstanding the foregoing provisions of this definition, a transaction will not be deemed a Change of Control unless the transaction qualifies as a change in control event within the meaning of Section 409A.</w:t>
      </w:r>
    </w:p>
    <w:p>
      <w:pPr>
        <w:spacing w:after="0" w:line="154" w:lineRule="exact"/>
        <w:rPr>
          <w:sz w:val="20"/>
          <w:szCs w:val="20"/>
          <w:color w:val="auto"/>
        </w:rPr>
      </w:pPr>
    </w:p>
    <w:p>
      <w:pPr>
        <w:ind w:left="2040" w:hanging="535"/>
        <w:spacing w:after="0"/>
        <w:tabs>
          <w:tab w:leader="none" w:pos="20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For the purpose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shall have the meaning set forth in 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409A.</w:t>
      </w:r>
    </w:p>
    <w:p>
      <w:pPr>
        <w:spacing w:after="0" w:line="182" w:lineRule="exact"/>
        <w:rPr>
          <w:sz w:val="20"/>
          <w:szCs w:val="20"/>
          <w:color w:val="auto"/>
        </w:rPr>
      </w:pPr>
    </w:p>
    <w:p>
      <w:pPr>
        <w:ind w:firstLine="1505"/>
        <w:spacing w:after="0" w:line="258" w:lineRule="auto"/>
        <w:tabs>
          <w:tab w:leader="none" w:pos="203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The Executive is entitled to terminate employment for Good Reason. For the purpose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will mean Executive’s termination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employment within ninety (90) days following the expiration of any cure period (discussed below) following the occurrence of one or more of the following, without Executive’s express written consent:</w:t>
      </w:r>
    </w:p>
    <w:p>
      <w:pPr>
        <w:spacing w:after="0" w:line="158" w:lineRule="exact"/>
        <w:rPr>
          <w:sz w:val="20"/>
          <w:szCs w:val="20"/>
          <w:color w:val="auto"/>
        </w:rPr>
      </w:pPr>
    </w:p>
    <w:p>
      <w:pPr>
        <w:ind w:firstLine="2744"/>
        <w:spacing w:after="0" w:line="258" w:lineRule="auto"/>
        <w:tabs>
          <w:tab w:leader="none" w:pos="30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of Executive’s base salary or annual target bonus in effect immediately prior to such reduction (provided that a reduction of 10% or more shall be deemed material);</w:t>
      </w:r>
    </w:p>
    <w:p>
      <w:pPr>
        <w:spacing w:after="0" w:line="158" w:lineRule="exact"/>
        <w:rPr>
          <w:sz w:val="20"/>
          <w:szCs w:val="20"/>
          <w:color w:val="auto"/>
        </w:rPr>
      </w:pPr>
    </w:p>
    <w:p>
      <w:pPr>
        <w:jc w:val="both"/>
        <w:ind w:firstLine="2714"/>
        <w:spacing w:after="0" w:line="244" w:lineRule="auto"/>
        <w:tabs>
          <w:tab w:leader="none" w:pos="305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of Executive’s material health or welfare benefits (including without limitation benefits under any of the Company’s life insurance, medical, health and accident, disability, or other benefit plans) in effect immediately prior to such reduction;</w:t>
      </w:r>
    </w:p>
    <w:p>
      <w:pPr>
        <w:spacing w:after="0" w:line="173" w:lineRule="exact"/>
        <w:rPr>
          <w:sz w:val="20"/>
          <w:szCs w:val="20"/>
          <w:color w:val="auto"/>
        </w:rPr>
      </w:pPr>
    </w:p>
    <w:p>
      <w:pPr>
        <w:jc w:val="both"/>
        <w:ind w:firstLine="2684"/>
        <w:spacing w:after="0" w:line="236" w:lineRule="auto"/>
        <w:tabs>
          <w:tab w:leader="none" w:pos="30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(A) the relocation of the Company’s offices at which Executive is principally employed immediately prior to the Change of Control (“Principal Location”), or (B) the Company’s requiring the Executive to be based anywhere other than the Executive’s Principal Location, except for required travel on the Company’s business to an extent substantially consistent with the Executive’s business travel obligations prior to the Change of Control; provided that, in the case of either (A) or (B), the relocation is to a location more than thirty (30) miles from the Executive’s Principal Location (unless such relocation does not increase Executive’s commuting distance);</w:t>
      </w:r>
    </w:p>
    <w:p>
      <w:pPr>
        <w:spacing w:after="0" w:line="181" w:lineRule="exact"/>
        <w:rPr>
          <w:rFonts w:ascii="Times New Roman" w:cs="Times New Roman" w:eastAsia="Times New Roman" w:hAnsi="Times New Roman"/>
          <w:sz w:val="22"/>
          <w:szCs w:val="22"/>
          <w:color w:val="auto"/>
        </w:rPr>
      </w:pPr>
    </w:p>
    <w:p>
      <w:pPr>
        <w:jc w:val="both"/>
        <w:ind w:firstLine="2690"/>
        <w:spacing w:after="0" w:line="235" w:lineRule="auto"/>
        <w:tabs>
          <w:tab w:leader="none" w:pos="30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failure of the Company to continue in effect any material compensation or benefit plan or practice in which Executive is eligible to participate in immediately prior to the effective date of the Change of Control (other than any equity based plan), unless an equitable arrangement (embodied in an ongoing substitute or alternative plan) has been made with respect to such plan, or the Company’s failure to continue Executive’s participation therein (or in such substitute or alternative plan) on a basis not materially less favorable, both in terms of the amount of benefits provided and the level of Executive’s participation relative to other participants, as existed immediately prior to the effective date of the Change of Control;</w:t>
      </w:r>
    </w:p>
    <w:p>
      <w:pPr>
        <w:spacing w:after="0" w:line="183" w:lineRule="exact"/>
        <w:rPr>
          <w:sz w:val="20"/>
          <w:szCs w:val="20"/>
          <w:color w:val="auto"/>
        </w:rPr>
      </w:pPr>
    </w:p>
    <w:p>
      <w:pPr>
        <w:ind w:firstLine="2720"/>
        <w:spacing w:after="0" w:line="258" w:lineRule="auto"/>
        <w:tabs>
          <w:tab w:leader="none" w:pos="305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obtain a satisfactory agreement from any successor to assume and agree to perform this Agreement, as contemplated in Section 8 hereof; or</w:t>
      </w:r>
    </w:p>
    <w:p>
      <w:pPr>
        <w:spacing w:after="0" w:line="158" w:lineRule="exact"/>
        <w:rPr>
          <w:sz w:val="20"/>
          <w:szCs w:val="20"/>
          <w:color w:val="auto"/>
        </w:rPr>
      </w:pPr>
    </w:p>
    <w:p>
      <w:pPr>
        <w:jc w:val="both"/>
        <w:ind w:firstLine="2690"/>
        <w:spacing w:after="0" w:line="244" w:lineRule="auto"/>
        <w:tabs>
          <w:tab w:leader="none" w:pos="305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responsibilities, title or reporting structure relative to Executive’s authority, duties, responsibilities, title or reporting structure in effect immediately prior to such reduction.</w:t>
      </w:r>
    </w:p>
    <w:p>
      <w:pPr>
        <w:spacing w:after="0" w:line="17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cure period of thirty (30) days following the date of such notice, and the Company fails to cure such acts or omissions within such cure period.</w:t>
      </w:r>
    </w:p>
    <w:p>
      <w:pPr>
        <w:spacing w:after="0" w:line="176" w:lineRule="exact"/>
        <w:rPr>
          <w:sz w:val="20"/>
          <w:szCs w:val="20"/>
          <w:color w:val="auto"/>
        </w:rPr>
      </w:pPr>
    </w:p>
    <w:p>
      <w:pPr>
        <w:jc w:val="both"/>
        <w:ind w:firstLine="1505"/>
        <w:spacing w:after="0" w:line="246" w:lineRule="auto"/>
        <w:tabs>
          <w:tab w:leader="none" w:pos="203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Limit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Section 409A Limit</w:t>
      </w:r>
      <w:r>
        <w:rPr>
          <w:rFonts w:ascii="Times New Roman" w:cs="Times New Roman" w:eastAsia="Times New Roman" w:hAnsi="Times New Roman"/>
          <w:sz w:val="22"/>
          <w:szCs w:val="22"/>
          <w:color w:val="auto"/>
        </w:rPr>
        <w:t>” will mean the lesser of two (2) times: (i) Executive’s annualized compensation based upon the annual rate of pay paid to Executive during Executive’s taxable year preceding Executive’s taxable year of Executive’s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8(a) or which becomes bound by the terms of this Agreement by operation of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Arbitration.</w:t>
      </w:r>
    </w:p>
    <w:p>
      <w:pPr>
        <w:spacing w:after="0" w:line="206" w:lineRule="exact"/>
        <w:rPr>
          <w:sz w:val="20"/>
          <w:szCs w:val="20"/>
          <w:color w:val="auto"/>
        </w:rPr>
      </w:pPr>
    </w:p>
    <w:p>
      <w:pPr>
        <w:jc w:val="both"/>
        <w:ind w:firstLine="1505"/>
        <w:spacing w:after="0" w:line="232" w:lineRule="auto"/>
        <w:tabs>
          <w:tab w:leader="none" w:pos="203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Executive each agree that any and all disputes arising out of the terms of this Agreement, Executive’s employment by the Company, Executive’s service as an officer or director of the Company, or Executive’s compensation and benefits, their interpretation and any of the matters herein released, will be subject to binding arbitration under the arbitration rules set forth in the Federal Arbitration Act (9 U.S.C. Sec. 1 et seq) (the “FAA”). 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their individual capacity, and not as a plaintiff, representative, or class member in any purported class or collective action, lawsuit, or proceeding. Executive agrees that any claims Executive may bring pursuant to the Private Attorneys General Act (“PAGA”) on behalf of the Labor and Workforce Development Agency must be arbitrated only in Executive’s individual capacity without any joinder or representation of any California Labor Code violations that were or could be asserted by or on behalf of any other persons. Disputes that the Company and Executive agree to arbitrate, and thereby agree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and Executive further understand that this Agreement to arbitrate also applies to any disputes that the Company may have with Executive. However, claims for workers’ compensation benefits and unemployment insurance (or any other claims where mandatory arbitration is prohibited by law) are not covered by this arbitration agreement, and such claims may be presented by the Executive to the appropriate court or government agency.</w:t>
      </w:r>
    </w:p>
    <w:p>
      <w:pPr>
        <w:spacing w:after="0" w:line="180" w:lineRule="exact"/>
        <w:rPr>
          <w:sz w:val="20"/>
          <w:szCs w:val="20"/>
          <w:color w:val="auto"/>
        </w:rPr>
      </w:pPr>
    </w:p>
    <w:p>
      <w:pPr>
        <w:jc w:val="both"/>
        <w:ind w:firstLine="1505"/>
        <w:spacing w:after="0" w:line="244" w:lineRule="auto"/>
        <w:tabs>
          <w:tab w:leader="none" w:pos="203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w:t>
      </w:r>
      <w:r>
        <w:rPr>
          <w:rFonts w:ascii="Times New Roman" w:cs="Times New Roman" w:eastAsia="Times New Roman" w:hAnsi="Times New Roman"/>
          <w:sz w:val="21"/>
          <w:szCs w:val="21"/>
          <w:color w:val="auto"/>
        </w:rPr>
        <w:t>. The Company and Executive agree that any arbitration will be administered by Judicial Arbitration &amp; Mediation Services, Inc.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 pursuant to its Employment Arbitration Rules &amp; Procedures (the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Employment Rules</w:t>
      </w:r>
      <w:r>
        <w:rPr>
          <w:rFonts w:ascii="Times New Roman" w:cs="Times New Roman" w:eastAsia="Times New Roman" w:hAnsi="Times New Roman"/>
          <w:sz w:val="21"/>
          <w:szCs w:val="21"/>
          <w:color w:val="auto"/>
        </w:rPr>
        <w:t>”), which are available at http://www.jamsadr.com/rules-employment-arbitration/ and from the Company. If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JAMS Rules cannot be enforced as to the arbitration, then the parties agree that they will arbitrate this dispute utilizing the JAMS Comprehensive Arbitration Rules and Procedures or such rules as the arbitration may deem most appropriate for the dispute (the rules under which the arbitration is administered, whether the JAMS Employment Rules or otherwise, herein referred to as the “</w:t>
      </w:r>
      <w:r>
        <w:rPr>
          <w:rFonts w:ascii="Times New Roman" w:cs="Times New Roman" w:eastAsia="Times New Roman" w:hAnsi="Times New Roman"/>
          <w:sz w:val="21"/>
          <w:szCs w:val="21"/>
          <w:b w:val="1"/>
          <w:bCs w:val="1"/>
          <w:color w:val="auto"/>
        </w:rPr>
        <w:t>JAMS Rules</w:t>
      </w:r>
      <w:r>
        <w:rPr>
          <w:rFonts w:ascii="Times New Roman" w:cs="Times New Roman" w:eastAsia="Times New Roman" w:hAnsi="Times New Roman"/>
          <w:sz w:val="21"/>
          <w:szCs w:val="21"/>
          <w:color w:val="auto"/>
        </w:rPr>
        <w:t>”. The Arbitrator will have the power to decide any motions brought by any party to the arbitration, including motions for summary judgment and/or adjudication, and motions to dismiss and demurrers,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Arbitrator or JAMS except that Executive will pay any filing fees associated with any arbitration that Executive initiates, but only so much of the filing fees as Executive would have instead paid had he or she filed a complaint in a court of law. Subject to the FAA’s exclusive application to the enforcement of this agreement to arbitrate, the Arbitrator will administer and conduct any arbitration in accordance with California law, including the California Code of Civil Procedure, and the Arbitrator will apply substantive and procedural California law to any dispute or claim, without reference to rules of conflict of law. To the extent that the JAMS Rules conflict with California law, California law will take precedence. The decision of the Arbitrator will be in writing. Any arbitration under this Agreement will be conducted in Santa Clara County, California.</w:t>
      </w:r>
    </w:p>
    <w:p>
      <w:pPr>
        <w:spacing w:after="0" w:line="173"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Except as provided by the FAA and this Agreement, arbitration will be the sole, exclusive, and final remedy for any dispute between Executive and the Company. Accordingly, except as provided for by the FAA and this Agreement, neither Executive nor the Company will be permitted to pursue court action regarding claims that are subject to arbitration.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Healthcare Coverage in Event of Dispute</w:t>
      </w:r>
      <w:r>
        <w:rPr>
          <w:rFonts w:ascii="Times New Roman" w:cs="Times New Roman" w:eastAsia="Times New Roman" w:hAnsi="Times New Roman"/>
          <w:sz w:val="22"/>
          <w:szCs w:val="22"/>
          <w:color w:val="auto"/>
        </w:rPr>
        <w:t>. In the event that any dispute between Executive and the Company becomes subject to arbitration pursuant to this Section 9, and provided that (1) Executive constitutes a qualified beneficiary, as defined in Section 4980(B)(g)(1) of the Code; and (2) Executive elects continuation coverage pursuant to COBRA, within the time period prescribed pursuant to COBRA, the Company will pay the premiums for such health continuation coverage at the levels in effect immediately prior to Executive’s termination until the earlier of (A) the resolution of the arbitration dispute or (B) the date upon which the Company would no longer be required to provide such continuation coverage pursuant to Section 3.</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Relief</w:t>
      </w:r>
      <w:r>
        <w:rPr>
          <w:rFonts w:ascii="Times New Roman" w:cs="Times New Roman" w:eastAsia="Times New Roman" w:hAnsi="Times New Roman"/>
          <w:sz w:val="22"/>
          <w:szCs w:val="22"/>
          <w:color w:val="auto"/>
        </w:rPr>
        <w:t>. Executive understands that this Agreement does not prohibit him or her from pursuing any administrative claim with a local, state, or federal administrative body or government agency that is authorized to enforce or administer laws related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to employment, including, but not limited to, the Department of Fair Employment and Housing, the Equal Employment Opportunity Commission, the National Labor Relations Board, or the Workers’ Compensation Board. This Agreement does, however, preclude Executive from pursuing court action regarding any such claim, except as permitted by law.</w:t>
      </w:r>
    </w:p>
    <w:p>
      <w:pPr>
        <w:spacing w:after="0" w:line="173" w:lineRule="exact"/>
        <w:rPr>
          <w:sz w:val="20"/>
          <w:szCs w:val="20"/>
          <w:color w:val="auto"/>
        </w:rPr>
      </w:pPr>
    </w:p>
    <w:p>
      <w:pPr>
        <w:jc w:val="both"/>
        <w:ind w:firstLine="1505"/>
        <w:spacing w:after="0" w:line="236" w:lineRule="auto"/>
        <w:tabs>
          <w:tab w:leader="none" w:pos="203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Nature of Agreement</w:t>
      </w:r>
      <w:r>
        <w:rPr>
          <w:rFonts w:ascii="Times New Roman" w:cs="Times New Roman" w:eastAsia="Times New Roman" w:hAnsi="Times New Roman"/>
          <w:sz w:val="22"/>
          <w:szCs w:val="22"/>
          <w:color w:val="auto"/>
        </w:rPr>
        <w:t xml:space="preserve">. Each of the Company and Executive acknowledges and agrees that such party is executing this Agreement voluntarily and without any duress or undue influence by anyone. Executive further acknowledges and agrees that he or she has carefully read this Agreement and has asked any questions needed for him or her to understand the terms, consequences, and binding effect of this Agreement and fully understands it, including that </w:t>
      </w:r>
      <w:r>
        <w:rPr>
          <w:rFonts w:ascii="Times New Roman" w:cs="Times New Roman" w:eastAsia="Times New Roman" w:hAnsi="Times New Roman"/>
          <w:sz w:val="22"/>
          <w:szCs w:val="22"/>
          <w:b w:val="1"/>
          <w:bCs w:val="1"/>
          <w:i w:val="1"/>
          <w:iCs w:val="1"/>
          <w:color w:val="auto"/>
        </w:rPr>
        <w:t>Executive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waiving his or her right to a jury trial</w:t>
      </w:r>
      <w:r>
        <w:rPr>
          <w:rFonts w:ascii="Times New Roman" w:cs="Times New Roman" w:eastAsia="Times New Roman" w:hAnsi="Times New Roman"/>
          <w:sz w:val="22"/>
          <w:szCs w:val="22"/>
          <w:color w:val="auto"/>
        </w:rPr>
        <w:t>. Finally, Executive agrees that he or she has been provided an opportunity to seek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advice of an attorney of his or her choice before signing this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20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76" w:lineRule="exact"/>
        <w:rPr>
          <w:rFonts w:ascii="Times New Roman" w:cs="Times New Roman" w:eastAsia="Times New Roman" w:hAnsi="Times New Roman"/>
          <w:sz w:val="22"/>
          <w:szCs w:val="22"/>
          <w:color w:val="auto"/>
        </w:rPr>
      </w:pPr>
    </w:p>
    <w:p>
      <w:pPr>
        <w:jc w:val="both"/>
        <w:ind w:firstLine="1505"/>
        <w:spacing w:after="0" w:line="247" w:lineRule="auto"/>
        <w:tabs>
          <w:tab w:leader="none" w:pos="203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the Company or by Executive, as applicable, to include in the notice any fact or circumstance which contributes to a showing of Cause or Good Reason, as applicable, will not waive any right of the Company or Executive, as applicable, hereunder or preclude the Company or Executive, as applicable, from asserting such fact or circumstance in enforcing its, his or her rights hereunder.</w:t>
      </w:r>
    </w:p>
    <w:p>
      <w:pPr>
        <w:spacing w:after="0" w:line="17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agrees that for a period of twelve (12) months immediately following termination, Executive shall not directly or indirectly solicit any of the Company’s employees to leave their employment at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505"/>
        <w:spacing w:after="0" w:line="282" w:lineRule="auto"/>
        <w:tabs>
          <w:tab w:leader="none" w:pos="203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 this Agreement, nor will any such payment be reduced by any earnings that Executive may receive from any other source.</w:t>
      </w:r>
    </w:p>
    <w:p>
      <w:pPr>
        <w:spacing w:after="0" w:line="134"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3" w:lineRule="exact"/>
        <w:rPr>
          <w:sz w:val="20"/>
          <w:szCs w:val="20"/>
          <w:color w:val="auto"/>
        </w:rPr>
      </w:pPr>
    </w:p>
    <w:p>
      <w:pPr>
        <w:ind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its exhibits,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The validity, interpretation, construction and performance of this Agreement will be governed by the laws of the State of California without regard to principles of its conflict of laws.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pursuant to this Agreement will be subject to withholding of applicable income, employment and other taxes.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8"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w:t>
      </w:r>
      <w:r>
        <w:rPr>
          <w:rFonts w:ascii="Times New Roman" w:cs="Times New Roman" w:eastAsia="Times New Roman" w:hAnsi="Times New Roman"/>
          <w:sz w:val="21"/>
          <w:szCs w:val="21"/>
          <w:color w:val="auto"/>
        </w:rPr>
        <w:t>. Executive understands that nothing in this Agreement limits or prohibits Executive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including disclosing documents or other information as permitted by law. In addition, Executive understands that nothing in this Agreement, including any definition of Company confidential information (or similar term) in any confidential information agreement referenced in Section 4(b) above,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Executive is not permitted to disclose the Company’s attorney-client privileged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communications or attorney work product. In addition, Executive hereby acknowledges that the Company has provided Executive with notice in compliance with the Defend Trade Secrets Act of 2016 regarding immunity from liability for limited disclosures of trade secrets. Finally, Executive understands that nothing in this Agreement, including any definition of Company confidential information (or similar term) in any confidential information agreement referenced in Section 4(b) above,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1"/>
          <w:szCs w:val="21"/>
          <w:color w:val="auto"/>
        </w:rPr>
        <w:t>AMBARELLA,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6459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6" w:lineRule="exact"/>
        <w:rPr>
          <w:sz w:val="20"/>
          <w:szCs w:val="20"/>
          <w:color w:val="auto"/>
        </w:rPr>
      </w:pPr>
    </w:p>
    <w:p>
      <w:pPr>
        <w:ind w:left="4500"/>
        <w:spacing w:after="0"/>
        <w:tabs>
          <w:tab w:leader="none" w:pos="57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-13970</wp:posOffset>
            </wp:positionV>
            <wp:extent cx="19202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wp:posOffset>
            </wp:positionV>
            <wp:extent cx="16459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6" w:lineRule="exact"/>
        <w:rPr>
          <w:sz w:val="20"/>
          <w:szCs w:val="20"/>
          <w:color w:val="auto"/>
        </w:rPr>
      </w:pPr>
    </w:p>
    <w:p>
      <w:pPr>
        <w:ind w:left="3680"/>
        <w:spacing w:after="0"/>
        <w:tabs>
          <w:tab w:leader="none" w:pos="4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19202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7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74" w:name="page75"/>
    <w:bookmarkEnd w:id="7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2"/>
          <w:szCs w:val="22"/>
          <w:color w:val="auto"/>
        </w:rPr>
        <w:t xml:space="preserve">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For Employee 40 Years Old or Older in Group Termination</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my Change in Control Severance Benefits Agreement (the “Agreement”) with Ambarella, Inc. (the “Company”).</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hereby confirm my obligations under the Company’s Agreement Regarding Confidential Information and Proprietary Developments.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the federal Age Discrimination in Employment Act of 1967 (as amended) (“ADEA”), and the California Fair Employment and Housing Act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nothing in this paragraph shall be construed in any way to release the Company from its obligation to indemnify me pursuant to a written agreement between me and the Company or applicable law.</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jc w:val="both"/>
        <w:spacing w:after="0" w:line="244" w:lineRule="auto"/>
        <w:rPr>
          <w:sz w:val="20"/>
          <w:szCs w:val="20"/>
          <w:color w:val="auto"/>
        </w:rPr>
      </w:pPr>
      <w:r>
        <w:rPr>
          <w:rFonts w:ascii="Times New Roman" w:cs="Times New Roman" w:eastAsia="Times New Roman" w:hAnsi="Times New Roman"/>
          <w:sz w:val="22"/>
          <w:szCs w:val="22"/>
          <w:color w:val="auto"/>
        </w:rPr>
        <w:t>government agency that is authorized to enforce or administer laws related to employment, against the Company (with the understanding that any such filing or participation does not give me the right to recover any monetary damages against the Company; my release of claims herein bars me from recovering such monetary relief from the Company).</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 or claims that arise after the date I sign this Release; (b) I should consult with an attorney prior to signing this Release (although I may choose voluntarily not to do so); (c) I have forty-five (45) days to consider this Release (although I may choose voluntarily to sign it sooner); (d) I have seven (7) days following the date I sign this Release to revoke the ADEA Waiver 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general 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2"/>
          <w:szCs w:val="22"/>
          <w:color w:val="auto"/>
        </w:rPr>
        <w:t>I hereby expressly waive and relinquish all rights and benefits under that section and any law of any jurisdiction of similar effect with respect to my release of any claims hereunder, including but not limited to my release of unknown claims.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acknowledge that to become effective, I must sign and return this Release to the Company so that it is received not later than forty-five (45) days following the date it is provided to me.</w:t>
      </w:r>
    </w:p>
    <w:p>
      <w:pPr>
        <w:spacing w:after="0" w:line="3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-13970</wp:posOffset>
            </wp:positionV>
            <wp:extent cx="1905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-13970</wp:posOffset>
            </wp:positionV>
            <wp:extent cx="23241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ind w:left="33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-13970</wp:posOffset>
            </wp:positionV>
            <wp:extent cx="1828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485775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77" w:name="page78"/>
    <w:bookmarkEnd w:id="77"/>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For Employee 40 Years Old or Older in Individual Termination</w:t>
      </w:r>
    </w:p>
    <w:p>
      <w:pPr>
        <w:spacing w:after="0" w:line="20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my Change in Control Severance Benefits Agreement (the “Agreement”) with Ambarella, Inc. (the “Company”).</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hereby confirm my obligations under the Company’s Agreement Regarding Confidential Information and Proprietary Developments.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the federal Age Discrimination in Employment Act of 1967 (as amended) (“ADEA”), and the California Fair Employment and Housing Act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nothing in this paragraph shall be construed in any way to release the Company from its obligation to indemnify me pursuant to a written agreement between me and the Company or applicable law.</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 or claims that arise after the date I sign this Release; (b) I should consult with an attorney prior to signing this Release (although I may choose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voluntarily not to do so); (c) I have twenty-one (21) days to consider this Release (although I may choose voluntarily to sign it sooner); (d) I have seven (7) days following the date I sign this Release to revoke the ADEA Waiver 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me the right to recover any monetary damages against the Company; my release of claims herein bars me from recovering such monetary relief from the Company).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general release does not extend to claims which the creditor does not know or suspect to exist in his or her favor at the time of executing the release, which if known by him or her must have materially affected his settlement with the debtor.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 hereby expressly waive and relinquish all rights and benefits under that section and any law of any jurisdiction of similar effect with respect to my release of any claims hereunder, including but not limited to my release of unknown claims.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acknowledge that to become effective, I must sign and return this Release to the Company so that it is received not later than twenty-one (21) days following the date it is provided to me.</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-13970</wp:posOffset>
            </wp:positionV>
            <wp:extent cx="1905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3722370</wp:posOffset>
            </wp:positionH>
            <wp:positionV relativeFrom="paragraph">
              <wp:posOffset>-13970</wp:posOffset>
            </wp:positionV>
            <wp:extent cx="2324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-13970</wp:posOffset>
            </wp:positionV>
            <wp:extent cx="1828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182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RELEASE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For Employee Under 40 Years Old in Individual or Group Termination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 understand and agree completely to the terms set forth in my Change in Control Severance Benefits Agreement (the “Agreement”) with Ambarella, Inc. (the “Company”).</w:t>
      </w:r>
    </w:p>
    <w:p>
      <w:pPr>
        <w:spacing w:after="0" w:line="15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hereby confirm my obligations under the Company’s Agreement Regarding Confidential Information and Proprietary Developments.</w:t>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and the California Fair Employment and Housing Act (as amended); (f) any claim for any loss, cost, damage, or expense arising out of any dispute over the nonwithholding or other tax treatment of any of the proceeds I receive as a result of the Agreement; and</w:t>
      </w:r>
    </w:p>
    <w:p>
      <w:pPr>
        <w:spacing w:after="0" w:line="3" w:lineRule="exact"/>
        <w:rPr>
          <w:sz w:val="20"/>
          <w:szCs w:val="20"/>
          <w:color w:val="auto"/>
        </w:rPr>
      </w:pPr>
    </w:p>
    <w:p>
      <w:pPr>
        <w:jc w:val="both"/>
        <w:ind w:firstLine="8"/>
        <w:spacing w:after="0" w:line="235" w:lineRule="auto"/>
        <w:tabs>
          <w:tab w:leader="none" w:pos="31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claims for attorneys’ fees and costs;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nothing in this paragraph shall be construed in any way to release the Company from its obligation to indemnify me pursuant to a written agreement between me and the Company or applicable law.</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(with the understanding that any such filing or participation does not give me the right to recover any monetary damages against the Company; my release of claims herein bars me from recovering such monetary relief from the Company).</w:t>
      </w:r>
    </w:p>
    <w:p>
      <w:pPr>
        <w:spacing w:after="0" w:line="15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I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general 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2"/>
          <w:szCs w:val="22"/>
          <w:color w:val="auto"/>
        </w:rPr>
        <w:t>I hereby expressly waive and relinquish all rights and benefits under that section and any law of any jurisdiction of similar effect with respect to my release of any claims hereunder, including but not limited to my release of unknown claims.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 acknowledge that to become effective,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39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-13970</wp:posOffset>
            </wp:positionV>
            <wp:extent cx="2590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259080" cy="8255"/>
                    </a:xfrm>
                    <a:prstGeom prst="rect">
                      <a:avLst/>
                    </a:prstGeom>
                    <a:noFill/>
                  </pic:spPr>
                </pic:pic>
              </a:graphicData>
            </a:graphic>
          </wp:anchor>
        </w:drawing>
      </w:r>
    </w:p>
    <w:p>
      <w:pPr>
        <w:spacing w:after="0" w:line="18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1550670</wp:posOffset>
            </wp:positionH>
            <wp:positionV relativeFrom="paragraph">
              <wp:posOffset>-13970</wp:posOffset>
            </wp:positionV>
            <wp:extent cx="266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-13970</wp:posOffset>
            </wp:positionV>
            <wp:extent cx="2514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AMBARELLA, INC.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CHANGE OF CONTROL AND SEVERANCE AGREEMENT</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This Amended and Restated Change of Control Severance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and entered into by and between __________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and Ambarella,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effective as of _____________, 2025 (the “</w:t>
      </w:r>
      <w:r>
        <w:rPr>
          <w:rFonts w:ascii="Times New Roman" w:cs="Times New Roman" w:eastAsia="Times New Roman" w:hAnsi="Times New Roman"/>
          <w:sz w:val="21"/>
          <w:szCs w:val="21"/>
          <w:b w:val="1"/>
          <w:bCs w:val="1"/>
          <w:color w:val="auto"/>
        </w:rPr>
        <w:t>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18" w:lineRule="exact"/>
        <w:rPr>
          <w:sz w:val="20"/>
          <w:szCs w:val="20"/>
          <w:color w:val="auto"/>
        </w:rPr>
      </w:pPr>
    </w:p>
    <w:p>
      <w:pPr>
        <w:jc w:val="both"/>
        <w:ind w:firstLine="757"/>
        <w:spacing w:after="0" w:line="248"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expected that the Company from time to time will consider the possibility of an acquisition by another company or other change of control.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of the Company.</w:t>
      </w:r>
    </w:p>
    <w:p>
      <w:pPr>
        <w:spacing w:after="0" w:line="183" w:lineRule="exact"/>
        <w:rPr>
          <w:rFonts w:ascii="Times New Roman" w:cs="Times New Roman" w:eastAsia="Times New Roman" w:hAnsi="Times New Roman"/>
          <w:sz w:val="21"/>
          <w:szCs w:val="21"/>
          <w:color w:val="auto"/>
        </w:rPr>
      </w:pPr>
    </w:p>
    <w:p>
      <w:pPr>
        <w:jc w:val="both"/>
        <w:ind w:firstLine="757"/>
        <w:spacing w:after="0" w:line="255"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75" w:lineRule="exact"/>
        <w:rPr>
          <w:rFonts w:ascii="Times New Roman" w:cs="Times New Roman" w:eastAsia="Times New Roman" w:hAnsi="Times New Roman"/>
          <w:sz w:val="21"/>
          <w:szCs w:val="21"/>
          <w:color w:val="auto"/>
        </w:rPr>
      </w:pPr>
    </w:p>
    <w:p>
      <w:pPr>
        <w:jc w:val="both"/>
        <w:ind w:firstLine="757"/>
        <w:spacing w:after="0" w:line="248"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believes that it is imperative to provide Executive with certain severance benefits upon Executive’s termination of employment in connection with a Change of Control. The Board further believes that it is imperative to provide Executive with certain severance benefits if the Company were to terminate Executive’s employment without cause during the term of this Agreement. These benefits will provide Executive with enhanced financial security and incentive and encouragement to remain with the Company notwithstanding the possibility of a Change of Control.</w:t>
      </w:r>
    </w:p>
    <w:p>
      <w:pPr>
        <w:spacing w:after="0" w:line="183"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capitalized terms used in the Agreement are defined in Section 7 below.</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AGREEMENT</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herein, the parties hereto agree as follows:</w:t>
      </w:r>
    </w:p>
    <w:p>
      <w:pPr>
        <w:spacing w:after="0" w:line="218" w:lineRule="exact"/>
        <w:rPr>
          <w:sz w:val="20"/>
          <w:szCs w:val="20"/>
          <w:color w:val="auto"/>
        </w:rPr>
      </w:pPr>
    </w:p>
    <w:p>
      <w:pPr>
        <w:jc w:val="both"/>
        <w:ind w:firstLine="757"/>
        <w:spacing w:after="0" w:line="255"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This Agreement will continue indefinitely until terminated by written consent of the parties hereto. Notwithstanding the previous sentence, if Executive becomes entitled to benefits pursuant to Section 3 of this Agreement, the Agreement will terminate when all of the obligations of the parties hereto with respect to this Agreement have been satisfied.</w:t>
      </w:r>
    </w:p>
    <w:p>
      <w:pPr>
        <w:spacing w:after="0" w:line="175" w:lineRule="exact"/>
        <w:rPr>
          <w:rFonts w:ascii="Times New Roman" w:cs="Times New Roman" w:eastAsia="Times New Roman" w:hAnsi="Times New Roman"/>
          <w:sz w:val="21"/>
          <w:szCs w:val="21"/>
          <w:color w:val="auto"/>
        </w:rPr>
      </w:pPr>
    </w:p>
    <w:p>
      <w:pPr>
        <w:jc w:val="both"/>
        <w:ind w:firstLine="757"/>
        <w:spacing w:after="0" w:line="248" w:lineRule="auto"/>
        <w:tabs>
          <w:tab w:leader="none" w:pos="101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The Company and Executive acknowledge that Executive’s employment is and will continue to be at-will, as defined under applicable law. If Executive’s employment terminates for any reason, Executive will not be entitled to any payments, benefits, damages, awards or compensation other than as provided by this Agreement, or pursuant to the Company’s policies in place at the time of the termination (to the extent applicable) and the payment of accrued but unpaid wages, as required by law, and any unreimbursed reimbursable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hanging="263"/>
        <w:spacing w:after="0"/>
        <w:tabs>
          <w:tab w:leader="none" w:pos="10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Apart From a Change of Control</w:t>
      </w:r>
      <w:r>
        <w:rPr>
          <w:rFonts w:ascii="Times New Roman" w:cs="Times New Roman" w:eastAsia="Times New Roman" w:hAnsi="Times New Roman"/>
          <w:sz w:val="21"/>
          <w:szCs w:val="21"/>
          <w:color w:val="auto"/>
        </w:rPr>
        <w:t>. If the Company terminates Executive’s employment with the Company without Cause, and such termination occurs either prior to three (3) months before or after twelve (12) months following a Change of Control, and Executive signs and does not revoke a release of claims with the Company as required by Section 4 and resigns as a member of the Board, if applicable, effective no later than thirty (30) days following Executive’s termination, then Executive will receive the following from the Company:</w:t>
      </w:r>
    </w:p>
    <w:p>
      <w:pPr>
        <w:spacing w:after="0" w:line="183" w:lineRule="exact"/>
        <w:rPr>
          <w:rFonts w:ascii="Times New Roman" w:cs="Times New Roman" w:eastAsia="Times New Roman" w:hAnsi="Times New Roman"/>
          <w:sz w:val="21"/>
          <w:szCs w:val="21"/>
          <w:color w:val="auto"/>
        </w:rPr>
      </w:pPr>
    </w:p>
    <w:p>
      <w:pPr>
        <w:jc w:val="both"/>
        <w:ind w:firstLine="2748"/>
        <w:spacing w:after="0" w:line="255" w:lineRule="auto"/>
        <w:tabs>
          <w:tab w:leader="none" w:pos="3055"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Compensation</w:t>
      </w:r>
      <w:r>
        <w:rPr>
          <w:rFonts w:ascii="Times New Roman" w:cs="Times New Roman" w:eastAsia="Times New Roman" w:hAnsi="Times New Roman"/>
          <w:sz w:val="21"/>
          <w:szCs w:val="21"/>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5" w:lineRule="exact"/>
        <w:rPr>
          <w:sz w:val="20"/>
          <w:szCs w:val="20"/>
          <w:color w:val="auto"/>
        </w:rPr>
      </w:pPr>
    </w:p>
    <w:p>
      <w:pPr>
        <w:jc w:val="both"/>
        <w:ind w:firstLine="2719"/>
        <w:spacing w:after="0" w:line="251" w:lineRule="auto"/>
        <w:tabs>
          <w:tab w:leader="none" w:pos="30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Payment</w:t>
      </w:r>
      <w:r>
        <w:rPr>
          <w:rFonts w:ascii="Times New Roman" w:cs="Times New Roman" w:eastAsia="Times New Roman" w:hAnsi="Times New Roman"/>
          <w:sz w:val="21"/>
          <w:szCs w:val="21"/>
          <w:color w:val="auto"/>
        </w:rPr>
        <w:t>. Executive is entitled to receive a lump sum payment equal to the sum of (x) 50% of Executive’s annual base salary as in effect immediately prior to Executive’s termination date and (y) the portion of Executive’s annual target bonus prorated monthly based on the number of months of service completed for the fiscal year in which the Executive’s employment terminates.</w:t>
      </w:r>
    </w:p>
    <w:p>
      <w:pPr>
        <w:spacing w:after="0" w:line="178" w:lineRule="exact"/>
        <w:rPr>
          <w:sz w:val="20"/>
          <w:szCs w:val="20"/>
          <w:color w:val="auto"/>
        </w:rPr>
      </w:pPr>
    </w:p>
    <w:p>
      <w:pPr>
        <w:jc w:val="both"/>
        <w:ind w:firstLine="2690"/>
        <w:spacing w:after="0" w:line="246" w:lineRule="auto"/>
        <w:tabs>
          <w:tab w:leader="none" w:pos="305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If Executive has been employed by the Company for less than twelve (12) months, Executive will not receive any accelerated vesting of his or her outstanding equity awards, except as may be set forth in Executive’s individual equity award agreements or the terms of the Company’s equity award plans. If Executive has been employed by the Company for at least twelve (12) months, Executive’s outstanding equity awards will immediately vest as to that number of shares that would have otherwise vested during the six (6)-month period following the date of Executive’s termination; provided, however, that with respect to performance-based equity awards, this provision may be superseded by the applicable equity award agreement if so specified in such equity award agreement.</w:t>
      </w:r>
    </w:p>
    <w:p>
      <w:pPr>
        <w:spacing w:after="0" w:line="184" w:lineRule="exact"/>
        <w:rPr>
          <w:rFonts w:ascii="Times New Roman" w:cs="Times New Roman" w:eastAsia="Times New Roman" w:hAnsi="Times New Roman"/>
          <w:sz w:val="21"/>
          <w:szCs w:val="21"/>
          <w:color w:val="auto"/>
        </w:rPr>
      </w:pPr>
    </w:p>
    <w:p>
      <w:pPr>
        <w:jc w:val="both"/>
        <w:ind w:firstLine="2696"/>
        <w:spacing w:after="0" w:line="245" w:lineRule="auto"/>
        <w:tabs>
          <w:tab w:leader="none" w:pos="305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 Benefits</w:t>
      </w:r>
      <w:r>
        <w:rPr>
          <w:rFonts w:ascii="Times New Roman" w:cs="Times New Roman" w:eastAsia="Times New Roman" w:hAnsi="Times New Roman"/>
          <w:sz w:val="21"/>
          <w:szCs w:val="21"/>
          <w:color w:val="auto"/>
        </w:rPr>
        <w:t>. If (1) Executive constitutes a qualified beneficiary, as defined in Section 4980(B)(g)(1)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(2) Executive elects continuation health coverage pursuant to the Consolidated Omnibus Budget Reconciliation Act of 1985, as amended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for Executive and Executive’s eligible dependents, within the time period prescribed pursuant to COBRA, the Company will pay the premiums for such health continuation coverage at the levels in effect immediately prior to Executive’s termination until the earlier of (A) six (6) months from the last date of Executive’s employment with the Company, or (B) the date upon which Executive and/or Executive’s eligible dependents becomes covered under similar plans, or (C) the date upon which Executive and Executive’s eligible dependents are no longer eligible for coverage under COBRA.</w:t>
      </w:r>
    </w:p>
    <w:p>
      <w:pPr>
        <w:spacing w:after="0" w:line="187"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or Resignation for Good Reason in Connection with a Change of Control</w:t>
      </w:r>
      <w:r>
        <w:rPr>
          <w:rFonts w:ascii="Times New Roman" w:cs="Times New Roman" w:eastAsia="Times New Roman" w:hAnsi="Times New Roman"/>
          <w:sz w:val="21"/>
          <w:szCs w:val="21"/>
          <w:color w:val="auto"/>
        </w:rPr>
        <w:t>. If the Company terminates Executive’s employment with the Company without Cause or if Executive resigns from such employment for Good Reason, and such termination occurs within the period beginning three (3) months before and ending twelve (12) months after a Change of Control, and Executive signs and does not revoke a release of claims with the Company as required by Section 4 and resigns as a member of the Board, if applicable, effective no later than thirty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3"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Executive’s termination, then Executive will receive the following from the Company:</w:t>
      </w:r>
    </w:p>
    <w:p>
      <w:pPr>
        <w:spacing w:after="0" w:line="217" w:lineRule="exact"/>
        <w:rPr>
          <w:rFonts w:ascii="Times New Roman" w:cs="Times New Roman" w:eastAsia="Times New Roman" w:hAnsi="Times New Roman"/>
          <w:sz w:val="21"/>
          <w:szCs w:val="21"/>
          <w:color w:val="auto"/>
        </w:rPr>
      </w:pPr>
    </w:p>
    <w:p>
      <w:pPr>
        <w:jc w:val="both"/>
        <w:ind w:firstLine="2748"/>
        <w:spacing w:after="0" w:line="255" w:lineRule="auto"/>
        <w:tabs>
          <w:tab w:leader="none" w:pos="3055"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Compensation</w:t>
      </w:r>
      <w:r>
        <w:rPr>
          <w:rFonts w:ascii="Times New Roman" w:cs="Times New Roman" w:eastAsia="Times New Roman" w:hAnsi="Times New Roman"/>
          <w:sz w:val="21"/>
          <w:szCs w:val="21"/>
          <w:color w:val="auto"/>
        </w:rPr>
        <w:t>. The Company will pay Executive all accrued but unpaid vacation, expense reimbursements, wages, any earned (but yet unpaid) bonus or commission, and other benefits due to Executive under any Company-provided plans, policies, and arrangements.</w:t>
      </w:r>
    </w:p>
    <w:p>
      <w:pPr>
        <w:spacing w:after="0" w:line="175" w:lineRule="exact"/>
        <w:rPr>
          <w:sz w:val="20"/>
          <w:szCs w:val="20"/>
          <w:color w:val="auto"/>
        </w:rPr>
      </w:pPr>
    </w:p>
    <w:p>
      <w:pPr>
        <w:jc w:val="both"/>
        <w:ind w:firstLine="2719"/>
        <w:spacing w:after="0" w:line="251" w:lineRule="auto"/>
        <w:tabs>
          <w:tab w:leader="none" w:pos="305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Payment</w:t>
      </w:r>
      <w:r>
        <w:rPr>
          <w:rFonts w:ascii="Times New Roman" w:cs="Times New Roman" w:eastAsia="Times New Roman" w:hAnsi="Times New Roman"/>
          <w:sz w:val="21"/>
          <w:szCs w:val="21"/>
          <w:color w:val="auto"/>
        </w:rPr>
        <w:t>. Executive is entitled to receive a lump sum payment equal to the sum of (x) 100% of Executive’s annual base salary as in effect immediately prior to Executive’s termination date or (if greater) at the level in effect immediately prior to the Change of Control and (y) the portion of Executive’s annual target bonus prorated monthly based on the number of months of completed service for the fiscal year which Executive’s employment terminates.</w:t>
      </w:r>
    </w:p>
    <w:p>
      <w:pPr>
        <w:spacing w:after="0" w:line="178" w:lineRule="exact"/>
        <w:rPr>
          <w:sz w:val="20"/>
          <w:szCs w:val="20"/>
          <w:color w:val="auto"/>
        </w:rPr>
      </w:pPr>
    </w:p>
    <w:p>
      <w:pPr>
        <w:jc w:val="both"/>
        <w:ind w:firstLine="2690"/>
        <w:spacing w:after="0" w:line="246" w:lineRule="auto"/>
        <w:tabs>
          <w:tab w:leader="none" w:pos="305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Awards</w:t>
      </w:r>
      <w:r>
        <w:rPr>
          <w:rFonts w:ascii="Times New Roman" w:cs="Times New Roman" w:eastAsia="Times New Roman" w:hAnsi="Times New Roman"/>
          <w:sz w:val="21"/>
          <w:szCs w:val="21"/>
          <w:color w:val="auto"/>
        </w:rPr>
        <w:t>. If the Change of Control occurs before the one (1)-year anniversary of Executive’s employment commencement date, then Executive’s outstanding equity awards will immediately vest as to that number of shares that would have otherwise vested during the twelve (12)-month period following the date of Executive’s termination. If the Change of Control occurs on or after the one (1)-year anniversary of Executive’s employment commencement date, then Executive’s outstanding equity awards will vest as to fifty percent (50%) of the total number of shares subject to each of Executive's then outstanding equity awards. Notwithstanding the foregoing, with respect to performance-based equity awards, the provisions of this Section 3(b)(iii) may be superseded by the applicable equity award agreement if so specified in such equity award agreement.</w:t>
      </w:r>
    </w:p>
    <w:p>
      <w:pPr>
        <w:spacing w:after="0" w:line="184" w:lineRule="exact"/>
        <w:rPr>
          <w:rFonts w:ascii="Times New Roman" w:cs="Times New Roman" w:eastAsia="Times New Roman" w:hAnsi="Times New Roman"/>
          <w:sz w:val="21"/>
          <w:szCs w:val="21"/>
          <w:color w:val="auto"/>
        </w:rPr>
      </w:pPr>
    </w:p>
    <w:p>
      <w:pPr>
        <w:jc w:val="both"/>
        <w:ind w:firstLine="2696"/>
        <w:spacing w:after="0" w:line="246" w:lineRule="auto"/>
        <w:tabs>
          <w:tab w:leader="none" w:pos="305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 Benefits</w:t>
      </w:r>
      <w:r>
        <w:rPr>
          <w:rFonts w:ascii="Times New Roman" w:cs="Times New Roman" w:eastAsia="Times New Roman" w:hAnsi="Times New Roman"/>
          <w:sz w:val="21"/>
          <w:szCs w:val="21"/>
          <w:color w:val="auto"/>
        </w:rPr>
        <w:t>. If (1) Executive constitutes a qualified beneficiary, as defined in Section 4980(B)(g)(1) of the Code and (2) Executive elects continuation health coverage pursuant to COBRA for Executive and Executive’s eligible dependents, within the time period prescribed pursuant to COBRA, the Company will pay the premiums for such health continuation coverage at the levels in effect immediately prior to Executive’s termination until the earlier of (A) (12) months from the last date of Executive’s employment with the Company, or (B) the date upon which Executive and/or Executive’s eligible dependents becomes covered under similar plans, or (C) the date upon which Executive and Executive’s eligible dependents are no longer eligible for coverage under COBRA.</w:t>
      </w:r>
    </w:p>
    <w:p>
      <w:pPr>
        <w:spacing w:after="0" w:line="184"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 Death</w:t>
      </w:r>
      <w:r>
        <w:rPr>
          <w:rFonts w:ascii="Times New Roman" w:cs="Times New Roman" w:eastAsia="Times New Roman" w:hAnsi="Times New Roman"/>
          <w:sz w:val="21"/>
          <w:szCs w:val="21"/>
          <w:color w:val="auto"/>
        </w:rPr>
        <w:t>. If the Company terminates Executive’s employment as a result of Executive’s Disability, or Executive’s employment terminates due to his or her death, and Executive (or, as applicable, Executive’s designated beneficiary, if living, or otherwise the personal representative of Executive’s estate) signs and does not revoke a release of claims with the Company as required by Section 4, then Executive (or, as applicable, Executive’s designated beneficiary, if living, or otherwise the personal representative of Executive’s estate) will receive the following from the Company:</w:t>
      </w:r>
    </w:p>
    <w:p>
      <w:pPr>
        <w:spacing w:after="0" w:line="183" w:lineRule="exact"/>
        <w:rPr>
          <w:sz w:val="20"/>
          <w:szCs w:val="20"/>
          <w:color w:val="auto"/>
        </w:rPr>
      </w:pPr>
    </w:p>
    <w:p>
      <w:pPr>
        <w:jc w:val="both"/>
        <w:ind w:firstLine="2748"/>
        <w:spacing w:after="0" w:line="251" w:lineRule="auto"/>
        <w:tabs>
          <w:tab w:leader="none" w:pos="305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Compensation</w:t>
      </w:r>
      <w:r>
        <w:rPr>
          <w:rFonts w:ascii="Times New Roman" w:cs="Times New Roman" w:eastAsia="Times New Roman" w:hAnsi="Times New Roman"/>
          <w:sz w:val="21"/>
          <w:szCs w:val="21"/>
          <w:color w:val="auto"/>
        </w:rPr>
        <w:t>. The Company will pay Executive (or, as applicable, Executive’s designated beneficiary, if living, or otherwise the personal representative of Executive’s estate) all accrued but unpaid vacation, expense reimbursements, wages, any earned (but yet unpaid) bonus or commission, and other benefits due to Executive under any Company-provided plans, policies, and arrangements.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3" w:lineRule="exact"/>
        <w:rPr>
          <w:sz w:val="20"/>
          <w:szCs w:val="20"/>
          <w:color w:val="auto"/>
        </w:rPr>
      </w:pPr>
    </w:p>
    <w:p>
      <w:pPr>
        <w:jc w:val="both"/>
        <w:ind w:firstLine="2719"/>
        <w:spacing w:after="0" w:line="247" w:lineRule="auto"/>
        <w:tabs>
          <w:tab w:leader="none" w:pos="3055"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Payment</w:t>
      </w:r>
      <w:r>
        <w:rPr>
          <w:rFonts w:ascii="Times New Roman" w:cs="Times New Roman" w:eastAsia="Times New Roman" w:hAnsi="Times New Roman"/>
          <w:sz w:val="21"/>
          <w:szCs w:val="21"/>
          <w:color w:val="auto"/>
        </w:rPr>
        <w:t>. Executive (or, as applicable, Executive’s designated beneficiary, if living, or otherwise the personal representative of Executive’s estate) is entitled to receive a lump sum payment equal to either (A) 100% of Executive’s annual base salary as in effect immediately prior to Executive’s termination date, if such termination occurs within the period beginning three (3) months before and ending twelve (12) months after a Change of Control, or (B) 50% of Executive’s annual base salary as in effect immediately prior to Executive’s termination date, if such termination occurs either prior to three (3) months before or after twelve (12) months following a Change of Control.</w:t>
      </w:r>
    </w:p>
    <w:p>
      <w:pPr>
        <w:spacing w:after="0" w:line="182"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Severance Payments</w:t>
      </w:r>
      <w:r>
        <w:rPr>
          <w:rFonts w:ascii="Times New Roman" w:cs="Times New Roman" w:eastAsia="Times New Roman" w:hAnsi="Times New Roman"/>
          <w:sz w:val="21"/>
          <w:szCs w:val="21"/>
          <w:color w:val="auto"/>
        </w:rPr>
        <w:t>. Unless otherwise required pursuant to Section 5 of this Agreement, the Company will pay the cash severance payments to which Executive is entitled under this Agreement in a lump sum as soon as practicable following the date of termination, provided, however, that such payment will be delayed to the extent required by Section 4 and/or Section 5 of this Agreement. Except to the extent payment is delayed pursuant to Section 5(b), all cash severance payments under this Agreement will be paid no later than the seventy-fourth (74</w:t>
      </w:r>
      <w:r>
        <w:rPr>
          <w:rFonts w:ascii="Times New Roman" w:cs="Times New Roman" w:eastAsia="Times New Roman" w:hAnsi="Times New Roman"/>
          <w:sz w:val="13"/>
          <w:szCs w:val="13"/>
          <w:color w:val="auto"/>
        </w:rPr>
        <w:t>th</w:t>
      </w:r>
      <w:r>
        <w:rPr>
          <w:rFonts w:ascii="Times New Roman" w:cs="Times New Roman" w:eastAsia="Times New Roman" w:hAnsi="Times New Roman"/>
          <w:sz w:val="21"/>
          <w:szCs w:val="21"/>
          <w:color w:val="auto"/>
        </w:rPr>
        <w:t>) day following the date on which the termination occurs.</w:t>
      </w:r>
    </w:p>
    <w:p>
      <w:pPr>
        <w:spacing w:after="0" w:line="183" w:lineRule="exact"/>
        <w:rPr>
          <w:rFonts w:ascii="Times New Roman" w:cs="Times New Roman" w:eastAsia="Times New Roman" w:hAnsi="Times New Roman"/>
          <w:sz w:val="21"/>
          <w:szCs w:val="21"/>
          <w:color w:val="auto"/>
        </w:rPr>
      </w:pPr>
    </w:p>
    <w:p>
      <w:pPr>
        <w:jc w:val="both"/>
        <w:ind w:firstLine="1505"/>
        <w:spacing w:after="0" w:line="251" w:lineRule="auto"/>
        <w:tabs>
          <w:tab w:leader="none" w:pos="2036"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terminates (i) voluntarily by Executive (other than for Good Reason in connection with a Change of Control)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7" w:lineRule="exact"/>
        <w:rPr>
          <w:rFonts w:ascii="Times New Roman" w:cs="Times New Roman" w:eastAsia="Times New Roman" w:hAnsi="Times New Roman"/>
          <w:sz w:val="21"/>
          <w:szCs w:val="21"/>
          <w:color w:val="auto"/>
        </w:rPr>
      </w:pPr>
    </w:p>
    <w:p>
      <w:pPr>
        <w:jc w:val="both"/>
        <w:ind w:firstLine="1505"/>
        <w:spacing w:after="0" w:line="245" w:lineRule="auto"/>
        <w:tabs>
          <w:tab w:leader="none" w:pos="2036"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Exclusive Remedy</w:t>
      </w:r>
      <w:r>
        <w:rPr>
          <w:rFonts w:ascii="Times New Roman" w:cs="Times New Roman" w:eastAsia="Times New Roman" w:hAnsi="Times New Roman"/>
          <w:sz w:val="21"/>
          <w:szCs w:val="21"/>
          <w:color w:val="auto"/>
        </w:rPr>
        <w:t>. In the event of a termination of Executive’s employment as set forth in Section 3(a), 3(b) or 3(c) of this Agreement, the provisions of Section 3(a), 3(b) or 3(c), as applicable, are intended to be and are mutually exclusive of each other and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 If Executive should receive the benefits set forth in Section 9(d) of this Agreement, the benefits provided in Section 3(a)(iv) or Section 3(b)(iv) will be reduced by the number of months Executive received Company-paid COBRA continuation coverage under Section 9(d).</w:t>
      </w:r>
    </w:p>
    <w:p>
      <w:pPr>
        <w:spacing w:after="0" w:line="18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Receipt of Severance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505"/>
        <w:spacing w:after="0" w:line="245" w:lineRule="auto"/>
        <w:tabs>
          <w:tab w:leader="none" w:pos="2036"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 of Claims Agreement</w:t>
      </w:r>
      <w:r>
        <w:rPr>
          <w:rFonts w:ascii="Times New Roman" w:cs="Times New Roman" w:eastAsia="Times New Roman" w:hAnsi="Times New Roman"/>
          <w:sz w:val="21"/>
          <w:szCs w:val="21"/>
          <w:color w:val="auto"/>
        </w:rPr>
        <w:t>. The receipt of any severance or other benefits pursuant to Section 3 will be subject to Executive (or, as applicable, Executive’s designated beneficiary, if living, or otherwise the personal representative of Executive’s estate) signing and not revoking a Release Agreement, attached hereto as Exhibit A, B and C (but with such changes as the Company determines, in good faith, are appropriate to update for then-applicable law), as applicable based on the Executive’s age upon termination and whether such termination qualifies as a group termination under the Age Discrimination in Employment Act of 1967, and such release becoming effective and irrevocable within sixty (60) days of Executive’s termination or such earlier date as required by the release (such deadline, the “</w:t>
      </w:r>
      <w:r>
        <w:rPr>
          <w:rFonts w:ascii="Times New Roman" w:cs="Times New Roman" w:eastAsia="Times New Roman" w:hAnsi="Times New Roman"/>
          <w:sz w:val="21"/>
          <w:szCs w:val="21"/>
          <w:b w:val="1"/>
          <w:bCs w:val="1"/>
          <w:color w:val="auto"/>
        </w:rPr>
        <w:t>Release Deadline</w:t>
      </w:r>
      <w:r>
        <w:rPr>
          <w:rFonts w:ascii="Times New Roman" w:cs="Times New Roman" w:eastAsia="Times New Roman" w:hAnsi="Times New Roman"/>
          <w:sz w:val="21"/>
          <w:szCs w:val="21"/>
          <w:color w:val="auto"/>
        </w:rPr>
        <w:t>”). If the release of claims does not become effective and irrevocable by the Release Deadline, Executive will forfeit any rights to severance or benefits under this Agreement. In no event will severance payments or benefits be paid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or provided until the release of claims becomes effective and irrevocable. Notwithstanding anything in this Agreement to the contrary, in the event severance payments or benefits provided under this Agreement would be considered Deferred Compensation Separation Benefits (as defined below), then the following timing of payments will apply to such Deferred Compensation Separation Benefits, in each case subject to any delay in payment required by Section 409A (and provided the release becomes effective and irrevocable): (i) if the Release Deadline is on or before December 10 of the calendar year of Executive’s “separation from service” (within the meaning of Section 409A of the Code, and the final regulations and official guidance promulgated thereunder (together,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any portion of Executive’s severance payments or benefits provided under this Agreement that would be considered Deferred Compensation Separation Benefits will be paid on or before December 31 of that calendar year, or such later time as required by (A) the payment schedule applicable to each payment or benefit, or (B) if applicable, the six-month delay requirement of Section 409A (as set forth in Section 5 below); and (ii) if the Release Deadline is after December 20 of the calendar year of Executive’s “separation from service” (within the meaning of Section 409A), any portion of the severance payments or benefits provided under this Agreement that would be considered Deferred Compensation Separation Benefits will be paid as soon as practicable during the calendar year following the calendar year in which such separation of service occurs (but within the time limit prescribed by Section 3(d)) or such later time as required by (A) the payment schedule applicable to each payment or benefit, or (B) if applicable, the six-month delay requirement of Section 409A (as set forth in Section 5 below).</w:t>
      </w:r>
    </w:p>
    <w:p>
      <w:pPr>
        <w:spacing w:after="0" w:line="193" w:lineRule="exact"/>
        <w:rPr>
          <w:sz w:val="20"/>
          <w:szCs w:val="20"/>
          <w:color w:val="auto"/>
        </w:rPr>
      </w:pPr>
    </w:p>
    <w:p>
      <w:pPr>
        <w:jc w:val="both"/>
        <w:ind w:right="640" w:firstLine="1505"/>
        <w:spacing w:after="0" w:line="255" w:lineRule="auto"/>
        <w:tabs>
          <w:tab w:leader="none" w:pos="2088"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Requirement</w:t>
      </w:r>
      <w:r>
        <w:rPr>
          <w:rFonts w:ascii="Times New Roman" w:cs="Times New Roman" w:eastAsia="Times New Roman" w:hAnsi="Times New Roman"/>
          <w:sz w:val="21"/>
          <w:szCs w:val="21"/>
          <w:color w:val="auto"/>
        </w:rPr>
        <w:t>. Executive’s receipt of any payments or benefits under Section 3 will be subject to Executive continuing to comply with the terms of any confidential information agreement executed by Executive in favor of the Company and the provisions of this Agreement.</w:t>
      </w:r>
    </w:p>
    <w:p>
      <w:pPr>
        <w:spacing w:after="0" w:line="175"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505"/>
        <w:spacing w:after="0" w:line="243" w:lineRule="auto"/>
        <w:tabs>
          <w:tab w:leader="none" w:pos="203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if Executive is a “specified employee” within the meaning of Section 409A at the time of Executive’s termination (other than due to death), then the severance payable to Executive, if any, pursuant to this Agreement, when considered together with any other severance payments or separation benefits that are considered deferred compensation under Section 409A (together, the “</w:t>
      </w:r>
      <w:r>
        <w:rPr>
          <w:rFonts w:ascii="Times New Roman" w:cs="Times New Roman" w:eastAsia="Times New Roman" w:hAnsi="Times New Roman"/>
          <w:sz w:val="21"/>
          <w:szCs w:val="21"/>
          <w:b w:val="1"/>
          <w:bCs w:val="1"/>
          <w:color w:val="auto"/>
        </w:rPr>
        <w:t>Deferred Compensation Separation Benefits</w:t>
      </w:r>
      <w:r>
        <w:rPr>
          <w:rFonts w:ascii="Times New Roman" w:cs="Times New Roman" w:eastAsia="Times New Roman" w:hAnsi="Times New Roman"/>
          <w:sz w:val="21"/>
          <w:szCs w:val="21"/>
          <w:color w:val="auto"/>
        </w:rPr>
        <w:t>”) that are payable within the first six (6) months following Executive’s termination of employment, will become payable on the first payroll date that occurs on or after the date six (6) months and one (1) day following the date of Executive’s termination of employment. All subsequent Deferred Compensation Separation Benefits, if any, will be payable in accordance with the payment schedule applicable to each payment or benefit. Notwithstanding anything herein to the contrary, if Executive dies following his or her termination but prior to the six (6) month anniversary of his or her termination, then any payments delayed in accordance with this paragraph will be payable in a lump sum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196"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Agreement that satisfies the requirements of the “short-term deferral” rule set forth in Section 1.409A-1(b)(4) of the Treasury Regulations shall not constitute Deferred Compensation Separation Benefits for purposes of clause (a) above.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3" w:lineRule="exact"/>
        <w:rPr>
          <w:sz w:val="20"/>
          <w:szCs w:val="20"/>
          <w:color w:val="auto"/>
        </w:rPr>
      </w:pPr>
    </w:p>
    <w:p>
      <w:pPr>
        <w:jc w:val="both"/>
        <w:ind w:firstLine="1505"/>
        <w:spacing w:after="0" w:line="255" w:lineRule="auto"/>
        <w:tabs>
          <w:tab w:leader="none" w:pos="203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amount paid under this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(a) above.</w:t>
      </w:r>
    </w:p>
    <w:p>
      <w:pPr>
        <w:spacing w:after="0" w:line="175"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3" w:lineRule="exact"/>
        <w:rPr>
          <w:rFonts w:ascii="Times New Roman" w:cs="Times New Roman" w:eastAsia="Times New Roman" w:hAnsi="Times New Roman"/>
          <w:sz w:val="21"/>
          <w:szCs w:val="21"/>
          <w:color w:val="auto"/>
        </w:rPr>
      </w:pPr>
    </w:p>
    <w:p>
      <w:pPr>
        <w:jc w:val="both"/>
        <w:ind w:firstLine="757"/>
        <w:spacing w:after="0" w:line="274" w:lineRule="auto"/>
        <w:tabs>
          <w:tab w:leader="none" w:pos="101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Payments</w:t>
      </w:r>
      <w:r>
        <w:rPr>
          <w:rFonts w:ascii="Times New Roman" w:cs="Times New Roman" w:eastAsia="Times New Roman" w:hAnsi="Times New Roman"/>
          <w:sz w:val="20"/>
          <w:szCs w:val="20"/>
          <w:color w:val="auto"/>
        </w:rPr>
        <w:t>. In the event that the severance and other benefits provided for in this Agreement or otherwise payable to Executive (i) constitute “parachute payments” within the meaning of Section 280G of the Code, and (ii) but for this Section 6, would be subject to the excise tax imposed by Section 4999 of the Code, then the severance benefits under Section 3 will be either:</w:t>
      </w:r>
    </w:p>
    <w:p>
      <w:pPr>
        <w:spacing w:after="0" w:line="157"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in full, or</w:t>
      </w:r>
    </w:p>
    <w:p>
      <w:pPr>
        <w:spacing w:after="0" w:line="217" w:lineRule="exact"/>
        <w:rPr>
          <w:rFonts w:ascii="Times New Roman" w:cs="Times New Roman" w:eastAsia="Times New Roman" w:hAnsi="Times New Roman"/>
          <w:sz w:val="21"/>
          <w:szCs w:val="21"/>
          <w:color w:val="auto"/>
        </w:rPr>
      </w:pPr>
    </w:p>
    <w:p>
      <w:pPr>
        <w:ind w:left="2260" w:hanging="755"/>
        <w:spacing w:after="0" w:line="270" w:lineRule="auto"/>
        <w:tabs>
          <w:tab w:leader="none" w:pos="226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delivered as to such lesser extent which would result in no portion of such benefits being subject to excise tax under Section 4999 of the Code,</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Unless the Company and Executive otherwise agree in writing, any determination required under this Section 6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21"/>
          <w:szCs w:val="21"/>
          <w:b w:val="1"/>
          <w:bCs w:val="1"/>
          <w:color w:val="auto"/>
        </w:rPr>
        <w:t>Accountants</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Section 6,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6. The Company will bear all costs the Accountants may incur in connection with any calculations contemplated by this Section 6. Any reduction in payments and/or benefits required by this Section 6 shall occur in the following order: (1) reduction of cash payments; (2) reduction of vesting acceleration of equity awards; and (3) reduction of other benefits paid or provided to Executive. In the event that acceleration of vesting of equity awards is to be reduced, such acceleration of vesting shall be cancelled in the order that results in the highest after-tax payment to the Executive after taking into account the excise tax, as determined by the Accountants; provided that in the event that there are multiple scenarios that result in the highest after-tax payment, then such reduction will occur in the reverse order of the date of grant for such equity awards (i.e., the vesting of the most recently granted stock awards will be reduced first). If two or more equity awards are granted on the same date, each equity award will be reduced on a pro-rata basis. In no event will Executive exercise any discretion with respect to the ordering of any reduction of payments or benefits pursuant to this Section 6.</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3"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Terms</w:t>
      </w:r>
      <w:r>
        <w:rPr>
          <w:rFonts w:ascii="Times New Roman" w:cs="Times New Roman" w:eastAsia="Times New Roman" w:hAnsi="Times New Roman"/>
          <w:sz w:val="21"/>
          <w:szCs w:val="21"/>
          <w:color w:val="auto"/>
        </w:rPr>
        <w:t>. The following terms referred to in this Agreement will have the following meanings:</w:t>
      </w:r>
    </w:p>
    <w:p>
      <w:pPr>
        <w:spacing w:after="0" w:line="215"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Termination by the Company of the Executive’s employment for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will mean:</w:t>
      </w:r>
    </w:p>
    <w:p>
      <w:pPr>
        <w:spacing w:after="0" w:line="219" w:lineRule="exact"/>
        <w:rPr>
          <w:rFonts w:ascii="Times New Roman" w:cs="Times New Roman" w:eastAsia="Times New Roman" w:hAnsi="Times New Roman"/>
          <w:sz w:val="21"/>
          <w:szCs w:val="21"/>
          <w:color w:val="auto"/>
        </w:rPr>
      </w:pPr>
    </w:p>
    <w:p>
      <w:pPr>
        <w:ind w:firstLine="2748"/>
        <w:spacing w:after="0" w:line="270" w:lineRule="auto"/>
        <w:tabs>
          <w:tab w:leader="none" w:pos="3055"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and continued failure to substantially perform the duties of Executive’s position, other than failure resulting from Executive’s complete or partial incapacity due to physical or mental illness or impairment;</w:t>
      </w:r>
    </w:p>
    <w:p>
      <w:pPr>
        <w:spacing w:after="0" w:line="159" w:lineRule="exact"/>
        <w:rPr>
          <w:sz w:val="20"/>
          <w:szCs w:val="20"/>
          <w:color w:val="auto"/>
        </w:rPr>
      </w:pPr>
    </w:p>
    <w:p>
      <w:pPr>
        <w:jc w:val="both"/>
        <w:ind w:firstLine="2719"/>
        <w:spacing w:after="0" w:line="255" w:lineRule="auto"/>
        <w:tabs>
          <w:tab w:leader="none" w:pos="305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and continued failure to substantially perform the specific and lawful directives of the Board, as reasonably determined by the Board, other than failure resulting from Executive’s complete or partial incapacity due to physical or mental illness or impairment;</w:t>
      </w:r>
    </w:p>
    <w:p>
      <w:pPr>
        <w:spacing w:after="0" w:line="175" w:lineRule="exact"/>
        <w:rPr>
          <w:sz w:val="20"/>
          <w:szCs w:val="20"/>
          <w:color w:val="auto"/>
        </w:rPr>
      </w:pPr>
    </w:p>
    <w:p>
      <w:pPr>
        <w:ind w:firstLine="2690"/>
        <w:spacing w:after="0" w:line="270" w:lineRule="auto"/>
        <w:tabs>
          <w:tab w:leader="none" w:pos="305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commission of an act of fraud or dishonesty resulting in, or that is likely to result in, material economic or financial injury to the Company; or</w:t>
      </w:r>
    </w:p>
    <w:p>
      <w:pPr>
        <w:spacing w:after="0" w:line="158" w:lineRule="exact"/>
        <w:rPr>
          <w:rFonts w:ascii="Times New Roman" w:cs="Times New Roman" w:eastAsia="Times New Roman" w:hAnsi="Times New Roman"/>
          <w:sz w:val="21"/>
          <w:szCs w:val="21"/>
          <w:color w:val="auto"/>
        </w:rPr>
      </w:pPr>
    </w:p>
    <w:p>
      <w:pPr>
        <w:ind w:left="3060" w:hanging="364"/>
        <w:spacing w:after="0"/>
        <w:tabs>
          <w:tab w:leader="none" w:pos="30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willful engagement in illegal conduct which was or is reasonably likely to be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injurious to the Company.</w:t>
      </w:r>
    </w:p>
    <w:p>
      <w:pPr>
        <w:spacing w:after="0" w:line="19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0"/>
          <w:szCs w:val="20"/>
          <w:color w:val="auto"/>
        </w:rPr>
        <w:t>For purposes of this Section 7(a), no act, or failure to act, on Executive’s part shall be deemed “willful” unless done, or omitted to be done, by Executive not in good faith. In the event of any alleged breach pursuant to (i) or (ii) of this Section 7(a), the Company will first give Executive written notice which specifically identifies the manner in which the Board believes that the Executive’s conduct constitutes the alleged performance breach to enable Executive to correct the deficiency within a reasonable time period, which will not be less than thirty (30) days, before the Company can proceed with a termination for Cause under either (i) or</w:t>
      </w:r>
    </w:p>
    <w:p>
      <w:pPr>
        <w:spacing w:after="0" w:line="3" w:lineRule="exact"/>
        <w:rPr>
          <w:sz w:val="20"/>
          <w:szCs w:val="20"/>
          <w:color w:val="auto"/>
        </w:rPr>
      </w:pPr>
    </w:p>
    <w:p>
      <w:pPr>
        <w:jc w:val="both"/>
        <w:ind w:firstLine="8"/>
        <w:spacing w:after="0" w:line="242" w:lineRule="auto"/>
        <w:tabs>
          <w:tab w:leader="none" w:pos="313"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this Section 7(a). In the event of any alleged conduct described in (iii) or (iv) of this Section 7(a), the Company will deliver to Executive written notice which sets forth the Board’s finding that Executive engaged in such conduct and specifying the particulars thereof. In the event of a Change of Control pursuant to which the Company is not the surviving entity, then on and after such Change of Control, all determinations and actions required to be taken by the Board under this Section 7(a) shall be made or taken by the board of directors of the surviving entity, or if the surviving entity is a subsidiary, then by the board of directors of the ultimate parent corporation of the surviving entity.</w:t>
      </w:r>
    </w:p>
    <w:p>
      <w:pPr>
        <w:spacing w:after="0" w:line="187" w:lineRule="exact"/>
        <w:rPr>
          <w:rFonts w:ascii="Times New Roman" w:cs="Times New Roman" w:eastAsia="Times New Roman" w:hAnsi="Times New Roman"/>
          <w:sz w:val="21"/>
          <w:szCs w:val="21"/>
          <w:color w:val="auto"/>
        </w:rPr>
      </w:pPr>
    </w:p>
    <w:p>
      <w:pPr>
        <w:ind w:firstLine="1505"/>
        <w:spacing w:after="0" w:line="272" w:lineRule="auto"/>
        <w:tabs>
          <w:tab w:leader="none" w:pos="203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of Control</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will be deemed to occur upon the earliest to occur after the date of this Agreement of any of the following events:</w:t>
      </w:r>
    </w:p>
    <w:p>
      <w:pPr>
        <w:spacing w:after="0" w:line="156" w:lineRule="exact"/>
        <w:rPr>
          <w:rFonts w:ascii="Times New Roman" w:cs="Times New Roman" w:eastAsia="Times New Roman" w:hAnsi="Times New Roman"/>
          <w:sz w:val="21"/>
          <w:szCs w:val="21"/>
          <w:color w:val="auto"/>
        </w:rPr>
      </w:pPr>
    </w:p>
    <w:p>
      <w:pPr>
        <w:jc w:val="both"/>
        <w:ind w:firstLine="2748"/>
        <w:spacing w:after="0" w:line="246" w:lineRule="auto"/>
        <w:tabs>
          <w:tab w:leader="none" w:pos="3055" w:val="left"/>
        </w:tabs>
        <w:numPr>
          <w:ilvl w:val="2"/>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a Substantial Portion of the Company’s Assets</w:t>
      </w:r>
      <w:r>
        <w:rPr>
          <w:rFonts w:ascii="Times New Roman" w:cs="Times New Roman" w:eastAsia="Times New Roman" w:hAnsi="Times New Roman"/>
          <w:sz w:val="21"/>
          <w:szCs w:val="21"/>
          <w:color w:val="auto"/>
        </w:rPr>
        <w:t>. A change in the ownership of a substantial portion of the Company’s assets which occurs on the date that any one person, or more than one person acting as a group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 gross fair market value means the value of the assets of the Company, or the value of the assets being disposed of, determined without regard to any liabilities associated with such assets;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3" w:lineRule="exact"/>
        <w:rPr>
          <w:sz w:val="20"/>
          <w:szCs w:val="20"/>
          <w:color w:val="auto"/>
        </w:rPr>
      </w:pPr>
    </w:p>
    <w:p>
      <w:pPr>
        <w:jc w:val="both"/>
        <w:ind w:firstLine="2719"/>
        <w:spacing w:after="0" w:line="248" w:lineRule="auto"/>
        <w:tabs>
          <w:tab w:leader="none" w:pos="305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Ownership of the Company</w:t>
      </w:r>
      <w:r>
        <w:rPr>
          <w:rFonts w:ascii="Times New Roman" w:cs="Times New Roman" w:eastAsia="Times New Roman" w:hAnsi="Times New Roman"/>
          <w:sz w:val="21"/>
          <w:szCs w:val="21"/>
          <w:color w:val="auto"/>
        </w:rPr>
        <w:t>. A change in the ownership of the Company which occurs on the date that any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of Control;</w:t>
      </w:r>
    </w:p>
    <w:p>
      <w:pPr>
        <w:spacing w:after="0" w:line="183" w:lineRule="exact"/>
        <w:rPr>
          <w:sz w:val="20"/>
          <w:szCs w:val="20"/>
          <w:color w:val="auto"/>
        </w:rPr>
      </w:pPr>
    </w:p>
    <w:p>
      <w:pPr>
        <w:jc w:val="both"/>
        <w:ind w:firstLine="2690"/>
        <w:spacing w:after="0" w:line="248" w:lineRule="auto"/>
        <w:tabs>
          <w:tab w:leader="none" w:pos="305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Effective Control of the Company</w:t>
      </w:r>
      <w:r>
        <w:rPr>
          <w:rFonts w:ascii="Times New Roman" w:cs="Times New Roman" w:eastAsia="Times New Roman" w:hAnsi="Times New Roman"/>
          <w:sz w:val="21"/>
          <w:szCs w:val="21"/>
          <w:color w:val="auto"/>
        </w:rPr>
        <w:t>. A change in the effective control of the Company which occurs on the date that a majority of members of the Board is replaced during any twenty-four (24) month period by directors whose appointment or election is not approved by a majority of the members of the Board prior to the date of the appointment or election. For purposes of this subsection (iii), if any Person is considered to be in effective control of the Company, the acquisition of additional control of the Company by the same Person will not be considered a Change of Control; or</w:t>
      </w:r>
    </w:p>
    <w:p>
      <w:pPr>
        <w:spacing w:after="0" w:line="183" w:lineRule="exact"/>
        <w:rPr>
          <w:rFonts w:ascii="Times New Roman" w:cs="Times New Roman" w:eastAsia="Times New Roman" w:hAnsi="Times New Roman"/>
          <w:sz w:val="21"/>
          <w:szCs w:val="21"/>
          <w:color w:val="auto"/>
        </w:rPr>
      </w:pPr>
    </w:p>
    <w:p>
      <w:pPr>
        <w:ind w:right="40" w:firstLine="2696"/>
        <w:spacing w:after="0" w:line="247" w:lineRule="auto"/>
        <w:tabs>
          <w:tab w:leader="none" w:pos="3055"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Corporate Transactions</w:t>
      </w:r>
      <w:r>
        <w:rPr>
          <w:rFonts w:ascii="Times New Roman" w:cs="Times New Roman" w:eastAsia="Times New Roman" w:hAnsi="Times New Roman"/>
          <w:sz w:val="21"/>
          <w:szCs w:val="21"/>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3" w:lineRule="exact"/>
        <w:rPr>
          <w:sz w:val="20"/>
          <w:szCs w:val="20"/>
          <w:color w:val="auto"/>
        </w:rPr>
      </w:pPr>
    </w:p>
    <w:p>
      <w:pPr>
        <w:ind w:firstLine="1497"/>
        <w:spacing w:after="0" w:line="270" w:lineRule="auto"/>
        <w:rPr>
          <w:sz w:val="20"/>
          <w:szCs w:val="20"/>
          <w:color w:val="auto"/>
        </w:rPr>
      </w:pPr>
      <w:r>
        <w:rPr>
          <w:rFonts w:ascii="Times New Roman" w:cs="Times New Roman" w:eastAsia="Times New Roman" w:hAnsi="Times New Roman"/>
          <w:sz w:val="21"/>
          <w:szCs w:val="21"/>
          <w:color w:val="auto"/>
        </w:rPr>
        <w:t>For these purposes,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ind w:firstLine="1497"/>
        <w:spacing w:after="0" w:line="270" w:lineRule="auto"/>
        <w:rPr>
          <w:sz w:val="20"/>
          <w:szCs w:val="20"/>
          <w:color w:val="auto"/>
        </w:rPr>
      </w:pPr>
      <w:r>
        <w:rPr>
          <w:rFonts w:ascii="Times New Roman" w:cs="Times New Roman" w:eastAsia="Times New Roman" w:hAnsi="Times New Roman"/>
          <w:sz w:val="21"/>
          <w:szCs w:val="21"/>
          <w:color w:val="auto"/>
        </w:rPr>
        <w:t>Notwithstanding the foregoing provisions of this definition, a transaction will not be deemed a Change of Control unless the transaction qualifies as a change in control event within the meaning of Section 409A.</w:t>
      </w:r>
    </w:p>
    <w:p>
      <w:pPr>
        <w:spacing w:after="0" w:line="157"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For the purpose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have the meaning set forth in Section 409A.</w:t>
      </w:r>
    </w:p>
    <w:p>
      <w:pPr>
        <w:spacing w:after="0" w:line="219" w:lineRule="exact"/>
        <w:rPr>
          <w:rFonts w:ascii="Times New Roman" w:cs="Times New Roman" w:eastAsia="Times New Roman" w:hAnsi="Times New Roman"/>
          <w:sz w:val="21"/>
          <w:szCs w:val="21"/>
          <w:color w:val="auto"/>
        </w:rPr>
      </w:pPr>
    </w:p>
    <w:p>
      <w:pPr>
        <w:jc w:val="both"/>
        <w:ind w:firstLine="1505"/>
        <w:spacing w:after="0" w:line="274" w:lineRule="auto"/>
        <w:tabs>
          <w:tab w:leader="none" w:pos="203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The Executive is entitled to terminate employment for Good Reason. For the purpose of this Agreement, “</w:t>
      </w:r>
      <w:r>
        <w:rPr>
          <w:rFonts w:ascii="Times New Roman" w:cs="Times New Roman" w:eastAsia="Times New Roman" w:hAnsi="Times New Roman"/>
          <w:sz w:val="20"/>
          <w:szCs w:val="20"/>
          <w:b w:val="1"/>
          <w:bCs w:val="1"/>
          <w:color w:val="auto"/>
        </w:rPr>
        <w:t>Good Reason</w:t>
      </w:r>
      <w:r>
        <w:rPr>
          <w:rFonts w:ascii="Times New Roman" w:cs="Times New Roman" w:eastAsia="Times New Roman" w:hAnsi="Times New Roman"/>
          <w:sz w:val="20"/>
          <w:szCs w:val="20"/>
          <w:color w:val="auto"/>
        </w:rPr>
        <w:t>” will mean Executive’s termination of employment within ninety (90) days following the expiration of any cure period (discussed below) following the occurrence of one or more of the following, without Executive’s express written consent:</w:t>
      </w:r>
    </w:p>
    <w:p>
      <w:pPr>
        <w:spacing w:after="0" w:line="157" w:lineRule="exact"/>
        <w:rPr>
          <w:sz w:val="20"/>
          <w:szCs w:val="20"/>
          <w:color w:val="auto"/>
        </w:rPr>
      </w:pPr>
    </w:p>
    <w:p>
      <w:pPr>
        <w:ind w:firstLine="2748"/>
        <w:spacing w:after="0" w:line="270" w:lineRule="auto"/>
        <w:tabs>
          <w:tab w:leader="none" w:pos="30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by the Company of Executive’s base salary or annual target bonus in effect immediately prior to such reduction (provided that a reduction of 10% or more shall be deemed material);</w:t>
      </w:r>
    </w:p>
    <w:p>
      <w:pPr>
        <w:spacing w:after="0" w:line="159" w:lineRule="exact"/>
        <w:rPr>
          <w:sz w:val="20"/>
          <w:szCs w:val="20"/>
          <w:color w:val="auto"/>
        </w:rPr>
      </w:pPr>
    </w:p>
    <w:p>
      <w:pPr>
        <w:jc w:val="both"/>
        <w:ind w:firstLine="2719"/>
        <w:spacing w:after="0" w:line="255" w:lineRule="auto"/>
        <w:tabs>
          <w:tab w:leader="none" w:pos="305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by the Company of Executive’s material health or welfare benefits (including without limitation benefits under any of the Company’s life insurance, medical, health and accident, disability, or other benefit plans) in effect immediately prior to such reduction;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3" w:lineRule="exact"/>
        <w:rPr>
          <w:sz w:val="20"/>
          <w:szCs w:val="20"/>
          <w:color w:val="auto"/>
        </w:rPr>
      </w:pPr>
    </w:p>
    <w:p>
      <w:pPr>
        <w:jc w:val="both"/>
        <w:ind w:firstLine="2690"/>
        <w:spacing w:after="0" w:line="247" w:lineRule="auto"/>
        <w:tabs>
          <w:tab w:leader="none" w:pos="305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(A) the relocation of the Company’s offices at which Executive is principally employed immediately prior to the Change of Control (“Principal Location”), or (B) the Company’s requiring the Executive to be based anywhere other than the Executive’s Principal Location, except for required travel on the Company’s business to an extent substantially consistent with the Executive’s business travel obligations prior to the Change of Control; provided that, in the case of either (A) or (B), the relocation is to a location more than thirty (30) miles from the Executive’s Principal Location (unless such relocation does not increase Executive’s commuting distance);</w:t>
      </w:r>
    </w:p>
    <w:p>
      <w:pPr>
        <w:spacing w:after="0" w:line="182" w:lineRule="exact"/>
        <w:rPr>
          <w:rFonts w:ascii="Times New Roman" w:cs="Times New Roman" w:eastAsia="Times New Roman" w:hAnsi="Times New Roman"/>
          <w:sz w:val="21"/>
          <w:szCs w:val="21"/>
          <w:color w:val="auto"/>
        </w:rPr>
      </w:pPr>
    </w:p>
    <w:p>
      <w:pPr>
        <w:jc w:val="both"/>
        <w:ind w:firstLine="2696"/>
        <w:spacing w:after="0" w:line="247" w:lineRule="auto"/>
        <w:tabs>
          <w:tab w:leader="none" w:pos="305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material failure of the Company to continue in effect any material compensation or benefit plan or practice in which Executive is eligible to participate in immediately prior to the effective date of the Change of Control (other than any equity based plan), unless an equitable arrangement (embodied in an ongoing substitute or alternative plan) has been made with respect to such plan, or the Company’s failure to continue Executive’s participation therein (or in such substitute or alternative plan) on a basis not materially less favorable, both in terms of the amount of benefits provided and the level of Executive’s participation relative to other participants, as existed immediately prior to the effective date of the Change of Control;</w:t>
      </w:r>
    </w:p>
    <w:p>
      <w:pPr>
        <w:spacing w:after="0" w:line="183" w:lineRule="exact"/>
        <w:rPr>
          <w:sz w:val="20"/>
          <w:szCs w:val="20"/>
          <w:color w:val="auto"/>
        </w:rPr>
      </w:pPr>
    </w:p>
    <w:p>
      <w:pPr>
        <w:ind w:right="20" w:firstLine="2725"/>
        <w:spacing w:after="0" w:line="270" w:lineRule="auto"/>
        <w:tabs>
          <w:tab w:leader="none" w:pos="305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obtain a satisfactory agreement from any successor to assume and agree to perform this Agreement, as contemplated in Section 8 hereof; or</w:t>
      </w:r>
    </w:p>
    <w:p>
      <w:pPr>
        <w:spacing w:after="0" w:line="159" w:lineRule="exact"/>
        <w:rPr>
          <w:sz w:val="20"/>
          <w:szCs w:val="20"/>
          <w:color w:val="auto"/>
        </w:rPr>
      </w:pPr>
    </w:p>
    <w:p>
      <w:pPr>
        <w:ind w:firstLine="2696"/>
        <w:spacing w:after="0" w:line="270" w:lineRule="auto"/>
        <w:tabs>
          <w:tab w:leader="none" w:pos="3055"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in Executive’s authority, duties or responsibilities relative to Executive’s authority, duties or responsibilities in effect immediately prior to such reduction.</w:t>
      </w:r>
    </w:p>
    <w:p>
      <w:pPr>
        <w:spacing w:after="0" w:line="159"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Executive will not resign for Good Reason without first providing the Company with written notice within sixty (60) days of the event that Executive believes constitutes “Good Reason” specifically identifying the acts or omissions constituting the grounds for Good Reason and a cure period of thirty (30) days following the date of such notice, and the Company fails to cure such acts or omissions within such cure period.</w:t>
      </w:r>
    </w:p>
    <w:p>
      <w:pPr>
        <w:spacing w:after="0" w:line="176" w:lineRule="exact"/>
        <w:rPr>
          <w:sz w:val="20"/>
          <w:szCs w:val="20"/>
          <w:color w:val="auto"/>
        </w:rPr>
      </w:pPr>
    </w:p>
    <w:p>
      <w:pPr>
        <w:jc w:val="both"/>
        <w:ind w:firstLine="1505"/>
        <w:spacing w:after="0" w:line="249" w:lineRule="auto"/>
        <w:tabs>
          <w:tab w:leader="none" w:pos="2036"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Limit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Section 409A Limit</w:t>
      </w:r>
      <w:r>
        <w:rPr>
          <w:rFonts w:ascii="Times New Roman" w:cs="Times New Roman" w:eastAsia="Times New Roman" w:hAnsi="Times New Roman"/>
          <w:sz w:val="21"/>
          <w:szCs w:val="21"/>
          <w:color w:val="auto"/>
        </w:rPr>
        <w:t>” will mean the lesser of two (2) times: (i) Executive’s annualized compensation based upon the annual rate of pay paid to Executive during Executive’s taxable year preceding Executive’s taxable year of Executive’s termination of employment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3" w:lineRule="exact"/>
        <w:rPr>
          <w:sz w:val="20"/>
          <w:szCs w:val="20"/>
          <w:color w:val="auto"/>
        </w:rPr>
      </w:pPr>
    </w:p>
    <w:p>
      <w:pPr>
        <w:ind w:left="1020" w:hanging="263"/>
        <w:spacing w:after="0"/>
        <w:tabs>
          <w:tab w:leader="none" w:pos="102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505"/>
        <w:spacing w:after="0" w:line="246" w:lineRule="auto"/>
        <w:tabs>
          <w:tab w:leader="none" w:pos="2036"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Company’s Successors</w:t>
      </w:r>
      <w:r>
        <w:rPr>
          <w:rFonts w:ascii="Times New Roman" w:cs="Times New Roman" w:eastAsia="Times New Roman" w:hAnsi="Times New Roman"/>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8(a) or which becomes bound by the terms of this Agreement by operation of law.</w:t>
      </w:r>
    </w:p>
    <w:p>
      <w:pPr>
        <w:spacing w:after="0" w:line="184"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Executive’s Successors</w:t>
      </w:r>
      <w:r>
        <w:rPr>
          <w:rFonts w:ascii="Times New Roman" w:cs="Times New Roman" w:eastAsia="Times New Roman" w:hAnsi="Times New Roman"/>
          <w:sz w:val="21"/>
          <w:szCs w:val="21"/>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5"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p>
    <w:p>
      <w:pPr>
        <w:spacing w:after="0" w:line="217" w:lineRule="exact"/>
        <w:rPr>
          <w:rFonts w:ascii="Times New Roman" w:cs="Times New Roman" w:eastAsia="Times New Roman" w:hAnsi="Times New Roman"/>
          <w:sz w:val="21"/>
          <w:szCs w:val="21"/>
          <w:color w:val="auto"/>
        </w:rPr>
      </w:pPr>
    </w:p>
    <w:p>
      <w:pPr>
        <w:jc w:val="both"/>
        <w:ind w:firstLine="1505"/>
        <w:spacing w:after="0" w:line="242" w:lineRule="auto"/>
        <w:tabs>
          <w:tab w:leader="none" w:pos="2036"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Executive each agree that any and all disputes arising out of the terms of this Agreement, Executive’s employment by the Company, Executive’s service as an officer or director of the Company, or Executive’s compensation and benefits, their interpretation and any of the matters herein released, will be subject to binding arbitration under the arbitration rules set forth in the Federal Arbitration Act (9 U.S.C. Sec. 1 et seq) (the “</w:t>
      </w:r>
      <w:r>
        <w:rPr>
          <w:rFonts w:ascii="Times New Roman" w:cs="Times New Roman" w:eastAsia="Times New Roman" w:hAnsi="Times New Roman"/>
          <w:sz w:val="21"/>
          <w:szCs w:val="21"/>
          <w:b w:val="1"/>
          <w:bCs w:val="1"/>
          <w:color w:val="auto"/>
        </w:rPr>
        <w:t>FAA</w:t>
      </w:r>
      <w:r>
        <w:rPr>
          <w:rFonts w:ascii="Times New Roman" w:cs="Times New Roman" w:eastAsia="Times New Roman" w:hAnsi="Times New Roman"/>
          <w:sz w:val="21"/>
          <w:szCs w:val="21"/>
          <w:color w:val="auto"/>
        </w:rPr>
        <w:t>”). The FAA’s substantive and procedural provisions shall exclusively govern and apply with full force and effect to this arbitration agreement, including its enforcement, and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their individual capacity, and not as a plaintiff, representative, or class member in any purported class or collective action, lawsuit, or proceeding. Executive agrees that any claims Executive may bring pursuant to the Private Attorneys General Act (“</w:t>
      </w:r>
      <w:r>
        <w:rPr>
          <w:rFonts w:ascii="Times New Roman" w:cs="Times New Roman" w:eastAsia="Times New Roman" w:hAnsi="Times New Roman"/>
          <w:sz w:val="21"/>
          <w:szCs w:val="21"/>
          <w:b w:val="1"/>
          <w:bCs w:val="1"/>
          <w:color w:val="auto"/>
        </w:rPr>
        <w:t>PAGA</w:t>
      </w:r>
      <w:r>
        <w:rPr>
          <w:rFonts w:ascii="Times New Roman" w:cs="Times New Roman" w:eastAsia="Times New Roman" w:hAnsi="Times New Roman"/>
          <w:sz w:val="21"/>
          <w:szCs w:val="21"/>
          <w:color w:val="auto"/>
        </w:rPr>
        <w:t>”) on behalf of the Labor and Workforce Development Agency must be arbitrated only in Executive’s individual capacity without any joinder or representation of any California Labor Code violations that were or could be asserted by or on behalf of any other persons. Disputes that the Company and Executive agree to arbitrate, and thereby agree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The Company and Executive further understand that this Agreement to arbitrate also applies to any disputes that the Company may have with Executive. However, claims for workers’ compensation benefits and unemployment insurance (or any other claims where mandatory arbitration is prohibited by law) are not covered by this arbitration agreement, and such claims may be presented by the Executive to the appropriate court or government agency.</w:t>
      </w:r>
    </w:p>
    <w:p>
      <w:pPr>
        <w:spacing w:after="0" w:line="205"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w:t>
      </w:r>
      <w:r>
        <w:rPr>
          <w:rFonts w:ascii="Times New Roman" w:cs="Times New Roman" w:eastAsia="Times New Roman" w:hAnsi="Times New Roman"/>
          <w:sz w:val="20"/>
          <w:szCs w:val="20"/>
          <w:color w:val="auto"/>
        </w:rPr>
        <w:t>. The Company and Executive agree that any arbitration will be administered by Judicial Arbitration</w:t>
      </w:r>
    </w:p>
    <w:p>
      <w:pPr>
        <w:spacing w:after="0" w:line="37" w:lineRule="exact"/>
        <w:rPr>
          <w:rFonts w:ascii="Times New Roman" w:cs="Times New Roman" w:eastAsia="Times New Roman" w:hAnsi="Times New Roman"/>
          <w:sz w:val="20"/>
          <w:szCs w:val="20"/>
          <w:color w:val="auto"/>
        </w:rPr>
      </w:pPr>
    </w:p>
    <w:p>
      <w:pPr>
        <w:ind w:firstLine="8"/>
        <w:spacing w:after="0" w:line="246" w:lineRule="auto"/>
        <w:tabs>
          <w:tab w:leader="none" w:pos="25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Mediation Services, Inc. (“</w:t>
      </w:r>
      <w:r>
        <w:rPr>
          <w:rFonts w:ascii="Times New Roman" w:cs="Times New Roman" w:eastAsia="Times New Roman" w:hAnsi="Times New Roman"/>
          <w:sz w:val="21"/>
          <w:szCs w:val="21"/>
          <w:b w:val="1"/>
          <w:bCs w:val="1"/>
          <w:color w:val="auto"/>
        </w:rPr>
        <w:t>JAMS</w:t>
      </w:r>
      <w:r>
        <w:rPr>
          <w:rFonts w:ascii="Times New Roman" w:cs="Times New Roman" w:eastAsia="Times New Roman" w:hAnsi="Times New Roman"/>
          <w:sz w:val="21"/>
          <w:szCs w:val="21"/>
          <w:color w:val="auto"/>
        </w:rPr>
        <w:t>”) , pursuant to its Employment Arbitration Rules &amp; Procedures (the “</w:t>
      </w:r>
      <w:r>
        <w:rPr>
          <w:rFonts w:ascii="Times New Roman" w:cs="Times New Roman" w:eastAsia="Times New Roman" w:hAnsi="Times New Roman"/>
          <w:sz w:val="21"/>
          <w:szCs w:val="21"/>
          <w:b w:val="1"/>
          <w:bCs w:val="1"/>
          <w:color w:val="auto"/>
        </w:rPr>
        <w:t>JAMS 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which are available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at http://www.jamsadr.com/rules-employment-arbitration/ and from the Company. If the JAMS Rules cannot be enforced as to the arbitration, then the parties agree that they will arbitrate this dispute utilizing the JAMS Comprehensive Arbitration Rules and Procedures or such rules as the arbitration may deem most appropriate for the dispute (the rules under which the arbitration is administered, whether the JAMS Employment Rules or otherwise, herein referred to as the “</w:t>
      </w:r>
      <w:r>
        <w:rPr>
          <w:rFonts w:ascii="Times New Roman" w:cs="Times New Roman" w:eastAsia="Times New Roman" w:hAnsi="Times New Roman"/>
          <w:sz w:val="21"/>
          <w:szCs w:val="21"/>
          <w:b w:val="1"/>
          <w:bCs w:val="1"/>
          <w:color w:val="auto"/>
        </w:rPr>
        <w:t>JAMS Rules</w:t>
      </w:r>
      <w:r>
        <w:rPr>
          <w:rFonts w:ascii="Times New Roman" w:cs="Times New Roman" w:eastAsia="Times New Roman" w:hAnsi="Times New Roman"/>
          <w:sz w:val="21"/>
          <w:szCs w:val="21"/>
          <w:color w:val="auto"/>
        </w:rPr>
        <w:t>”. The Arbitrator will have the power to decide any motions brought by any party to the arbitration, including motions for summary judgment and/or adjudication, and motions to dismiss and demurrers,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Arbitrator or JAMS except that Executive will pay any filing fees associated with any arbitration that Executive initiates, but only so much of the filing fees as Executive would have instead paid had he or she filed a complaint in a court of law. Subject to the FAA’s exclusive application to the enforcement of this agreement to arbitrate, the Arbitrator will administer and conduct any arbitration in accordance with California law, including the California Code of Civil Procedure, and the Arbitrator will apply substantive and procedural California law to any dispute or claim, without reference to rules of conflict of law. To the extent that the JAMS Rules conflict with California law, California law will take precedence. The decision of the Arbitrator will be in writing. Any arbitration under this Agreement will be conducted in Santa Clara County, California.</w:t>
      </w:r>
    </w:p>
    <w:p>
      <w:pPr>
        <w:spacing w:after="0" w:line="193" w:lineRule="exact"/>
        <w:rPr>
          <w:sz w:val="20"/>
          <w:szCs w:val="20"/>
          <w:color w:val="auto"/>
        </w:rPr>
      </w:pPr>
    </w:p>
    <w:p>
      <w:pPr>
        <w:jc w:val="both"/>
        <w:ind w:firstLine="1505"/>
        <w:spacing w:after="0" w:line="274" w:lineRule="auto"/>
        <w:tabs>
          <w:tab w:leader="none" w:pos="203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Remedy</w:t>
      </w:r>
      <w:r>
        <w:rPr>
          <w:rFonts w:ascii="Times New Roman" w:cs="Times New Roman" w:eastAsia="Times New Roman" w:hAnsi="Times New Roman"/>
          <w:sz w:val="20"/>
          <w:szCs w:val="20"/>
          <w:color w:val="auto"/>
        </w:rPr>
        <w:t>. Except as provided by the FAA and this Agreement, arbitration will be the sole, exclusive, and final remedy for any dispute between Executive and the Company. Accordingly, except as provided for by the FAA and this Agreement, neither Executive nor the Company will be permitted to pursue court action regarding claims that are subject to arbitration.</w:t>
      </w:r>
    </w:p>
    <w:p>
      <w:pPr>
        <w:spacing w:after="0" w:line="157"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Healthcare Coverage in Event of Dispute</w:t>
      </w:r>
      <w:r>
        <w:rPr>
          <w:rFonts w:ascii="Times New Roman" w:cs="Times New Roman" w:eastAsia="Times New Roman" w:hAnsi="Times New Roman"/>
          <w:sz w:val="21"/>
          <w:szCs w:val="21"/>
          <w:color w:val="auto"/>
        </w:rPr>
        <w:t>. In the event that any dispute between Executive and the Company becomes subject to arbitration pursuant to this Section 9, and provided that (1) Executive constitutes a qualified beneficiary, as defined in Section 4980(B)(g)(1) of the Code; and (2) Executive elects continuation coverage pursuant to COBRA, within the time period prescribed pursuant to COBRA, the Company will pay the premiums for such health continuation coverage at the levels in effect immediately prior to Executive’s termination until the earlier of (A) the resolution of the arbitration dispute or (B) the date upon which the Company would no longer be required to provide such continuation coverage pursuant to Section 3.</w:t>
      </w:r>
    </w:p>
    <w:p>
      <w:pPr>
        <w:spacing w:after="0" w:line="182"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Relief</w:t>
      </w:r>
      <w:r>
        <w:rPr>
          <w:rFonts w:ascii="Times New Roman" w:cs="Times New Roman" w:eastAsia="Times New Roman" w:hAnsi="Times New Roman"/>
          <w:sz w:val="21"/>
          <w:szCs w:val="21"/>
          <w:color w:val="auto"/>
        </w:rPr>
        <w:t>. Executive understands that this Agreement does not prohibit him or her from pursuing any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This Agreement does, however, preclude Executive from pursuing court action regarding any such claim, except as permitted by law.</w:t>
      </w:r>
    </w:p>
    <w:p>
      <w:pPr>
        <w:spacing w:after="0" w:line="183"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Nature of Agreement</w:t>
      </w:r>
      <w:r>
        <w:rPr>
          <w:rFonts w:ascii="Times New Roman" w:cs="Times New Roman" w:eastAsia="Times New Roman" w:hAnsi="Times New Roman"/>
          <w:sz w:val="21"/>
          <w:szCs w:val="21"/>
          <w:color w:val="auto"/>
        </w:rPr>
        <w:t xml:space="preserve">. Each of the Company and Executive acknowledges and agrees that such party is executing this Agreement voluntarily and without any duress or undue influence by anyone. Executive further acknowledges and agrees that he or she has carefully read this Agreement and has asked any questions needed for him or her to understand the terms, consequences, and binding effect of this Agreement and fully understands it, including that </w:t>
      </w:r>
      <w:r>
        <w:rPr>
          <w:rFonts w:ascii="Times New Roman" w:cs="Times New Roman" w:eastAsia="Times New Roman" w:hAnsi="Times New Roman"/>
          <w:sz w:val="21"/>
          <w:szCs w:val="21"/>
          <w:b w:val="1"/>
          <w:bCs w:val="1"/>
          <w:i w:val="1"/>
          <w:iCs w:val="1"/>
          <w:color w:val="auto"/>
        </w:rPr>
        <w:t>Executive is waiving his or her right to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jury trial</w:t>
      </w:r>
      <w:r>
        <w:rPr>
          <w:rFonts w:ascii="Times New Roman" w:cs="Times New Roman" w:eastAsia="Times New Roman" w:hAnsi="Times New Roman"/>
          <w:sz w:val="21"/>
          <w:szCs w:val="21"/>
          <w:color w:val="auto"/>
        </w:rPr>
        <w:t>. Finally, Executive agrees that he or she has been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provided an opportunity to seek the advice of an attorney of his or her choice before signing this Agreement.</w:t>
      </w:r>
    </w:p>
    <w:p>
      <w:pPr>
        <w:spacing w:after="0" w:line="218" w:lineRule="exact"/>
        <w:rPr>
          <w:sz w:val="20"/>
          <w:szCs w:val="20"/>
          <w:color w:val="auto"/>
        </w:rPr>
      </w:pPr>
    </w:p>
    <w:p>
      <w:pPr>
        <w:ind w:left="1020" w:hanging="263"/>
        <w:spacing w:after="0"/>
        <w:tabs>
          <w:tab w:leader="none" w:pos="10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firstLine="1505"/>
        <w:spacing w:after="0" w:line="248" w:lineRule="auto"/>
        <w:tabs>
          <w:tab w:leader="none" w:pos="203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83" w:lineRule="exact"/>
        <w:rPr>
          <w:rFonts w:ascii="Times New Roman" w:cs="Times New Roman" w:eastAsia="Times New Roman" w:hAnsi="Times New Roman"/>
          <w:sz w:val="21"/>
          <w:szCs w:val="21"/>
          <w:color w:val="auto"/>
        </w:rPr>
      </w:pPr>
    </w:p>
    <w:p>
      <w:pPr>
        <w:jc w:val="both"/>
        <w:ind w:firstLine="1505"/>
        <w:spacing w:after="0" w:line="245" w:lineRule="auto"/>
        <w:tabs>
          <w:tab w:leader="none" w:pos="203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termination by the Company for Cause or by Executive for Good Reason will be communicated by a notice of termination to the other party hereto given in accordance with Section 10(a)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the Company or by Executive, as applicable, to include in the notice any fact or circumstance which contributes to a showing of Cause or Good Reason, as applicable, will not waive any right of the Company or Executive, as applicable, hereunder or preclude the Company or Executive, as applicable, from asserting such fact or circumstance in enforcing its, his or her rights hereunder.</w:t>
      </w:r>
    </w:p>
    <w:p>
      <w:pPr>
        <w:spacing w:after="0" w:line="18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15.</w:t>
      </w: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Executive agrees that for a period of twelve (12) months immediately following termination, Executive shall not directly or indirectly solicit any of the Company’s employees to leave their employment at the Company.</w:t>
      </w:r>
    </w:p>
    <w:p>
      <w:pPr>
        <w:spacing w:after="0" w:line="159" w:lineRule="exact"/>
        <w:rPr>
          <w:sz w:val="20"/>
          <w:szCs w:val="20"/>
          <w:color w:val="auto"/>
        </w:rPr>
      </w:pPr>
    </w:p>
    <w:p>
      <w:pPr>
        <w:ind w:left="1020" w:hanging="263"/>
        <w:spacing w:after="0"/>
        <w:tabs>
          <w:tab w:leader="none" w:pos="102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 Provisions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ind w:firstLine="1505"/>
        <w:spacing w:after="0" w:line="270" w:lineRule="auto"/>
        <w:tabs>
          <w:tab w:leader="none" w:pos="203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 this Agreement, nor will any such payment be reduced by any earnings that Executive may receive from any other source.</w:t>
      </w:r>
    </w:p>
    <w:p>
      <w:pPr>
        <w:spacing w:after="0" w:line="158" w:lineRule="exact"/>
        <w:rPr>
          <w:rFonts w:ascii="Times New Roman" w:cs="Times New Roman" w:eastAsia="Times New Roman" w:hAnsi="Times New Roman"/>
          <w:sz w:val="21"/>
          <w:szCs w:val="21"/>
          <w:color w:val="auto"/>
        </w:rPr>
      </w:pPr>
    </w:p>
    <w:p>
      <w:pPr>
        <w:jc w:val="both"/>
        <w:ind w:firstLine="1505"/>
        <w:spacing w:after="0" w:line="251" w:lineRule="auto"/>
        <w:tabs>
          <w:tab w:leader="none" w:pos="203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7" w:lineRule="exact"/>
        <w:rPr>
          <w:rFonts w:ascii="Times New Roman" w:cs="Times New Roman" w:eastAsia="Times New Roman" w:hAnsi="Times New Roman"/>
          <w:sz w:val="21"/>
          <w:szCs w:val="21"/>
          <w:color w:val="auto"/>
        </w:rPr>
      </w:pPr>
    </w:p>
    <w:p>
      <w:pPr>
        <w:ind w:right="20" w:firstLine="1505"/>
        <w:spacing w:after="0" w:line="270" w:lineRule="auto"/>
        <w:tabs>
          <w:tab w:leader="none" w:pos="203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All captions and section headings used in this Agreement are for convenient reference only and do not form a part of this Agreement.</w:t>
      </w:r>
    </w:p>
    <w:p>
      <w:pPr>
        <w:spacing w:after="0" w:line="158"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its exhibits,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without limitation any prior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Change of Control and Severance Agreement entered into by and between Executive and the Company. No waiver, alteration, or modification of any of the provisions of this Agreement will be binding unless in writing and signed by duly authorized representatives of the parties hereto and which specifically mention this Agreement.</w:t>
      </w:r>
    </w:p>
    <w:p>
      <w:pPr>
        <w:spacing w:after="0" w:line="175" w:lineRule="exact"/>
        <w:rPr>
          <w:sz w:val="20"/>
          <w:szCs w:val="20"/>
          <w:color w:val="auto"/>
        </w:rPr>
      </w:pPr>
    </w:p>
    <w:p>
      <w:pPr>
        <w:ind w:right="20" w:firstLine="1505"/>
        <w:spacing w:after="0" w:line="270"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The validity, interpretation, construction and performance of this Agreement will be governed by the laws of the State of California without regard to principles of its conflict of laws.</w:t>
      </w:r>
    </w:p>
    <w:p>
      <w:pPr>
        <w:spacing w:after="0" w:line="158" w:lineRule="exact"/>
        <w:rPr>
          <w:rFonts w:ascii="Times New Roman" w:cs="Times New Roman" w:eastAsia="Times New Roman" w:hAnsi="Times New Roman"/>
          <w:sz w:val="21"/>
          <w:szCs w:val="21"/>
          <w:color w:val="auto"/>
        </w:rPr>
      </w:pPr>
    </w:p>
    <w:p>
      <w:pPr>
        <w:ind w:firstLine="1505"/>
        <w:spacing w:after="0" w:line="270"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invalidity or unenforceability of any provision or provisions of this Agreement will not affect the validity or enforceability of any other provision hereof, which will remain in full force and effect.</w:t>
      </w:r>
    </w:p>
    <w:p>
      <w:pPr>
        <w:spacing w:after="0" w:line="158" w:lineRule="exact"/>
        <w:rPr>
          <w:rFonts w:ascii="Times New Roman" w:cs="Times New Roman" w:eastAsia="Times New Roman" w:hAnsi="Times New Roman"/>
          <w:sz w:val="21"/>
          <w:szCs w:val="21"/>
          <w:color w:val="auto"/>
        </w:rPr>
      </w:pPr>
    </w:p>
    <w:p>
      <w:pPr>
        <w:ind w:firstLine="1505"/>
        <w:spacing w:after="0" w:line="270"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payments made pursuant to this Agreement will be subject to withholding of applicable income, employment and other taxes.</w:t>
      </w:r>
    </w:p>
    <w:p>
      <w:pPr>
        <w:spacing w:after="0" w:line="158" w:lineRule="exact"/>
        <w:rPr>
          <w:rFonts w:ascii="Times New Roman" w:cs="Times New Roman" w:eastAsia="Times New Roman" w:hAnsi="Times New Roman"/>
          <w:sz w:val="21"/>
          <w:szCs w:val="21"/>
          <w:color w:val="auto"/>
        </w:rPr>
      </w:pPr>
    </w:p>
    <w:p>
      <w:pPr>
        <w:ind w:firstLine="1505"/>
        <w:spacing w:after="0" w:line="270"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will be deemed an original, but all of which together will constitute one and the same instrument.</w:t>
      </w:r>
    </w:p>
    <w:p>
      <w:pPr>
        <w:spacing w:after="0" w:line="158" w:lineRule="exact"/>
        <w:rPr>
          <w:rFonts w:ascii="Times New Roman" w:cs="Times New Roman" w:eastAsia="Times New Roman" w:hAnsi="Times New Roman"/>
          <w:sz w:val="21"/>
          <w:szCs w:val="21"/>
          <w:color w:val="auto"/>
        </w:rPr>
      </w:pPr>
    </w:p>
    <w:p>
      <w:pPr>
        <w:jc w:val="both"/>
        <w:ind w:firstLine="1505"/>
        <w:spacing w:after="0" w:line="243"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Protected Activity</w:t>
      </w:r>
      <w:r>
        <w:rPr>
          <w:rFonts w:ascii="Times New Roman" w:cs="Times New Roman" w:eastAsia="Times New Roman" w:hAnsi="Times New Roman"/>
          <w:sz w:val="21"/>
          <w:szCs w:val="21"/>
          <w:color w:val="auto"/>
        </w:rPr>
        <w:t>. Executive understands that nothing in this Agreement limits or prohibits Executive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including disclosing documents or other information as permitted by law. In addition, Executive understands that nothing in this Agreement, including any definition of Company confidential information (or similar term) in any confidential information agreement referenced in Section 4(b) above, prevents Executive from discussing or disclosing information about unlawful acts in the workplace, such as harassment or discrimination or any other conduct that Executive has reason to believe is unlawful. Notwithstanding the preceding, Executive agrees to take all reasonable precautions to prevent any unauthorized use or disclosure of any Company trade secrets, proprietary information, or confidential information that does not involve unlawful acts in the workplace or the activity otherwise protected herein. Executive further understands that Executive is not permitted to disclose the Company’s attorney-client privileged communications or attorney work product. In addition, Executive hereby acknowledges that the Company has provided Executive with notice in compliance with the Defend Trade Secrets Act of 2016 regarding immunity from liability for limited disclosures of trade secrets. Finally, Executive understands that nothing in this Agreement, including any definition of Company confidential information (or similar term) in any confidential information agreement referenced in Section 4(b) above,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[Signature Page to Follow]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3"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COMPANY</w:t>
      </w:r>
      <w:r>
        <w:rPr>
          <w:sz w:val="20"/>
          <w:szCs w:val="20"/>
          <w:color w:val="auto"/>
        </w:rPr>
        <w:tab/>
      </w:r>
      <w:r>
        <w:rPr>
          <w:rFonts w:ascii="Times New Roman" w:cs="Times New Roman" w:eastAsia="Times New Roman" w:hAnsi="Times New Roman"/>
          <w:sz w:val="20"/>
          <w:szCs w:val="20"/>
          <w:color w:val="auto"/>
        </w:rPr>
        <w:t>AMBARELLA, INC.</w:t>
      </w: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3121025</wp:posOffset>
            </wp:positionH>
            <wp:positionV relativeFrom="paragraph">
              <wp:posOffset>-12065</wp:posOffset>
            </wp:positionV>
            <wp:extent cx="15767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-12065</wp:posOffset>
            </wp:positionV>
            <wp:extent cx="15767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-12065</wp:posOffset>
            </wp:positionV>
            <wp:extent cx="15767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-12065</wp:posOffset>
            </wp:positionV>
            <wp:extent cx="157670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-12065</wp:posOffset>
            </wp:positionV>
            <wp:extent cx="15767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19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-12065</wp:posOffset>
            </wp:positionV>
            <wp:extent cx="15767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157670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1"/>
          <w:szCs w:val="21"/>
          <w:b w:val="1"/>
          <w:bCs w:val="1"/>
          <w:color w:val="auto"/>
        </w:rPr>
        <w:t xml:space="preserv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RELEASE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For Employee 40 Years Old or Older in Group Termination</w:t>
      </w:r>
    </w:p>
    <w:p>
      <w:pPr>
        <w:spacing w:after="0" w:line="22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I understand and agree completely to the terms set forth in my Change in Control Severance Benefits Agreement (the “Agreement”) with Ambarella, Inc. (the “Company”).</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5"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hereby confirm my obligations under the Company’s Agreement Regarding Confidential Information and Proprietary Developments.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the federal Age Discrimination in Employment Act of 1967 (as amended) (“ADEA”), and the California Fair Employment and Housing Act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nothing in this paragraph shall be construed in any way to release the Company from its obligation to indemnify me pursuant to a written agreement between me and the Company or applicable law.</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me the right to recover any monetary damages against the Company; my release of claims herein bars me from recovering such monetary relief from the Company).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96" w:name="page97"/>
    <w:bookmarkEnd w:id="96"/>
    <w:p>
      <w:pPr>
        <w:jc w:val="both"/>
        <w:ind w:firstLine="749"/>
        <w:spacing w:after="0" w:line="259" w:lineRule="auto"/>
        <w:rPr>
          <w:sz w:val="20"/>
          <w:szCs w:val="20"/>
          <w:color w:val="auto"/>
        </w:rPr>
      </w:pPr>
      <w:r>
        <w:rPr>
          <w:rFonts w:ascii="Times New Roman" w:cs="Times New Roman" w:eastAsia="Times New Roman" w:hAnsi="Times New Roman"/>
          <w:sz w:val="20"/>
          <w:szCs w:val="20"/>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 or claims that arise after the date I sign this Release; (b) I should consult with an attorney prior to signing this Release (although I may choose voluntarily not to do so); (c) I have forty-five (45) days to consider this Release (although I may choose voluntarily to sign it sooner); (d) I have seven (7) days following the date I sign this Release to revoke the ADEA Waiver 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75"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 have received with this Release all of the information required by the ADEA, including without limitation a detailed list of the job titles and ages of all employees who were terminated in this group termination and the ages of all employees of the Company in the same job classification or organizational unit who were not terminated, along with information on the eligibility factors used to select employees for the group termination and any time limits applicable to this group termination program.</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 acknowledge that I have read and understand Section 1542 of the California Civil Code which reads as follows: ”</w:t>
      </w:r>
      <w:r>
        <w:rPr>
          <w:rFonts w:ascii="Times New Roman" w:cs="Times New Roman" w:eastAsia="Times New Roman" w:hAnsi="Times New Roman"/>
          <w:sz w:val="21"/>
          <w:szCs w:val="21"/>
          <w:b w:val="1"/>
          <w:bCs w:val="1"/>
          <w:color w:val="auto"/>
        </w:rPr>
        <w:t>A 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1"/>
          <w:szCs w:val="21"/>
          <w:color w:val="auto"/>
        </w:rPr>
        <w:t>I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expressly waive and relinquish all rights and benefits under that section and any law of any jurisdiction of similar effect with respect to my release of any claims hereunder, including but not limited to my release of unknown claims.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78"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acknowledge that to become effective, I must sign and return this Release to the Company so that it is received not later than forty-five (45) days following the date it is provided to me.</w:t>
      </w:r>
    </w:p>
    <w:p>
      <w:pPr>
        <w:spacing w:after="0" w:line="3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-12065</wp:posOffset>
            </wp:positionV>
            <wp:extent cx="1828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-12065</wp:posOffset>
            </wp:positionV>
            <wp:extent cx="2228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-12065</wp:posOffset>
            </wp:positionV>
            <wp:extent cx="1752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17526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97" w:name="page98"/>
    <w:bookmarkEnd w:id="97"/>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1"/>
          <w:szCs w:val="21"/>
          <w:b w:val="1"/>
          <w:bCs w:val="1"/>
          <w:color w:val="auto"/>
        </w:rPr>
        <w:t xml:space="preserve">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RELEASE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For Employee 40 Years Old or Older in Individual Termination</w:t>
      </w:r>
    </w:p>
    <w:p>
      <w:pPr>
        <w:spacing w:after="0" w:line="22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I understand and agree completely to the terms set forth in my Change in Control Severance Benefits Agreement (the “Agreement”) with Ambarella, Inc. (the “Company”).</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5"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hereby confirm my obligations under the Company’s Agreement Regarding Confidential Information and Proprietary Developments.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the federal Age Discrimination in Employment Act of 1967 (as amended) (“ADEA”), and the California Fair Employment and Housing Act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nothing in this paragraph shall be construed in any way to release the Company from its obligation to indemnify me pursuant to a written agreement between me and the Company or applicable law.</w:t>
      </w:r>
    </w:p>
    <w:p>
      <w:pPr>
        <w:spacing w:after="0" w:line="19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0"/>
          <w:szCs w:val="20"/>
          <w:color w:val="auto"/>
        </w:rPr>
        <w:t>I acknowledge that I am knowingly and voluntarily waiving and releasing any rights I may have under the ADEA (“ADEA Waiver”). I also acknowledge that the consideration given for the ADEA Waiver is in addition to anything of value to which I was already entitled. I further acknowledge that I have been advised by this writing, as required by the ADEA, that: (a) my ADEA Waiver does not apply to any rights or claims that arise after the date I sign this Release; (b) I should consult with an attorney prior to signing this Release (although I may choose voluntarily not to do so); (c) I have twenty-one (21) days to consider this Release (although I may choose voluntarily to sign it sooner); (d) I have seven (7) days following the date I sign this Release to revoke the ADEA Waiver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by providing written notice to the Company’s Board of Directors; and (e) the ADEA Waiver will not be effective until the date upon which the revocation period has expired unexercised, which will be the eighth day after I sign this Release (“Effective Date”).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me the right to recover any monetary damages against the Company; my release of claims herein bars me from recovering such monetary relief from the Company).</w:t>
      </w:r>
    </w:p>
    <w:p>
      <w:pPr>
        <w:spacing w:after="0" w:line="18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I acknowledge that I have read and understand Section 1542 of the California Civil Code which reads as follows: ”</w:t>
      </w:r>
      <w:r>
        <w:rPr>
          <w:rFonts w:ascii="Times New Roman" w:cs="Times New Roman" w:eastAsia="Times New Roman" w:hAnsi="Times New Roman"/>
          <w:sz w:val="21"/>
          <w:szCs w:val="21"/>
          <w:b w:val="1"/>
          <w:bCs w:val="1"/>
          <w:color w:val="auto"/>
        </w:rPr>
        <w:t>A 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release does not extend to claims which the creditor does not know or suspect to exist in his or her favor at the time of executing the release, which if known by him or her must have materially affected his settlement with the debtor.</w:t>
      </w:r>
      <w:r>
        <w:rPr>
          <w:rFonts w:ascii="Times New Roman" w:cs="Times New Roman" w:eastAsia="Times New Roman" w:hAnsi="Times New Roman"/>
          <w:sz w:val="21"/>
          <w:szCs w:val="21"/>
          <w:color w:val="auto"/>
        </w:rPr>
        <w:t>” I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expressly waive and relinquish all rights and benefits under that section and any law of any jurisdiction of similar effect with respect to my release of any claims hereunder, including but not limited to my release of unknown claims.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78"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acknowledge that to become effective, I must sign and return this Release to the Company so that it is received not later than twenty-one (21) days following the date it is provided to me.</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-12065</wp:posOffset>
            </wp:positionV>
            <wp:extent cx="1828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-12065</wp:posOffset>
            </wp:positionV>
            <wp:extent cx="2228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22288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-12065</wp:posOffset>
            </wp:positionV>
            <wp:extent cx="1752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175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1"/>
          <w:szCs w:val="21"/>
          <w:b w:val="1"/>
          <w:bCs w:val="1"/>
          <w:color w:val="auto"/>
        </w:rPr>
        <w:t xml:space="preserve">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RELEASE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For Employee Under 40 Years Old in Individual or Group Termination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I understand and agree completely to the terms set forth in my Change in Control Severance Benefits Agreement (the “Agreement”) with Ambarella, Inc. (the “Company”).</w:t>
      </w:r>
    </w:p>
    <w:p>
      <w:pPr>
        <w:spacing w:after="0" w:line="15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I understand that this Release Agreement (“Release”), together with the Agreement, constitutes the complete, final and exclusive embodiment of the entire agreement between the Company and me with regard to the subject matter hereof. I am not relying on any promise or representation by the Company that is not expressly stated herein.</w:t>
      </w:r>
    </w:p>
    <w:p>
      <w:pPr>
        <w:spacing w:after="0" w:line="175"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hereby confirm my obligations under the Company’s Agreement Regarding Confidential Information and Proprietary Developments.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In consideration of the severance benefits I will receive under the Agreement, 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This general release includes, but is not limited to: (a) all claims arising out of or in any way related to my employment with the Company, or the termination of that employment; (b) all claims related to my compensation or benefits from the Company, including, but not limited to,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but not limited to, claims for fraud, defamation, emotional distress, and discharge in violation of public policy; (e) all federal, state, and local statutory claims, including, but not limited to, claims for discrimination, harassment, retaliation, attorneys’ fees, or other claims arising under the federal Civil Rights Act of 1964 (as amended), the federal Americans with Disabilities Act of 1990, and the California Fair Employment and Housing Act (as amended); (f) any claim for any loss, cost, damage, or expense arising out of any dispute over the nonwithholding or other tax treatment of any of the proceeds I receive as a result of the Agreement; and (g) any and all claims for attorneys’ fees and costs; </w:t>
      </w:r>
      <w:r>
        <w:rPr>
          <w:rFonts w:ascii="Times New Roman" w:cs="Times New Roman" w:eastAsia="Times New Roman" w:hAnsi="Times New Roman"/>
          <w:sz w:val="21"/>
          <w:szCs w:val="21"/>
          <w:i w:val="1"/>
          <w:iCs w:val="1"/>
          <w:color w:val="auto"/>
        </w:rPr>
        <w:t xml:space="preserve">provided, however, </w:t>
      </w:r>
      <w:r>
        <w:rPr>
          <w:rFonts w:ascii="Times New Roman" w:cs="Times New Roman" w:eastAsia="Times New Roman" w:hAnsi="Times New Roman"/>
          <w:sz w:val="21"/>
          <w:szCs w:val="21"/>
          <w:color w:val="auto"/>
        </w:rPr>
        <w:t>that nothing in this paragraph shall be construed in any way to release the Company from its obligation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indemnify me pursuant to a written agreement between me and the Company or applicable law.</w:t>
      </w:r>
    </w:p>
    <w:p>
      <w:pPr>
        <w:spacing w:after="0" w:line="192"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I agree that this Release shall be and remain in effect in all respects as a complete general release as to the matters released. This Release does not extend to any obligations incurred under the Agreement. This Release does not release claims that cannot be released as a matter of law, including, but not limited to, my right to file a charge with or participate in a charge by the Equal Employment Opportunity Commission, or any other local, state, or federal administrative body or government agency that is authorized to enforce or administer laws related to employment, against the Company (with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00" w:lineRule="exact"/>
        <w:rPr>
          <w:sz w:val="20"/>
          <w:szCs w:val="20"/>
          <w:color w:val="auto"/>
        </w:rPr>
      </w:pPr>
    </w:p>
    <w:p>
      <w:pPr>
        <w:spacing w:after="0" w:line="38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1"/>
          <w:szCs w:val="21"/>
          <w:color w:val="auto"/>
        </w:rPr>
        <w:t>understanding that any such filing or participation does not give me the right to recover any monetary damages against the Company; my release of claims herein bars me from recovering such monetary relief from the Company).</w:t>
      </w:r>
    </w:p>
    <w:p>
      <w:pPr>
        <w:spacing w:after="0" w:line="15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I acknowledge that I have read and understand Section 1542 of the California Civil Code which reads as follows: </w:t>
      </w:r>
      <w:r>
        <w:rPr>
          <w:rFonts w:ascii="Times New Roman" w:cs="Times New Roman" w:eastAsia="Times New Roman" w:hAnsi="Times New Roman"/>
          <w:sz w:val="21"/>
          <w:szCs w:val="21"/>
          <w:b w:val="1"/>
          <w:bCs w:val="1"/>
          <w:color w:val="auto"/>
        </w:rPr>
        <w:t>“A general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release does not extend to claims which the creditor does not know or suspect to exist in his or her favor at the time of executing the release, which if known by him or her must have materially affected his settlement with the debtor.” </w:t>
      </w:r>
      <w:r>
        <w:rPr>
          <w:rFonts w:ascii="Times New Roman" w:cs="Times New Roman" w:eastAsia="Times New Roman" w:hAnsi="Times New Roman"/>
          <w:sz w:val="21"/>
          <w:szCs w:val="21"/>
          <w:color w:val="auto"/>
        </w:rPr>
        <w:t>I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expressly waive and relinquish all rights and benefits under that section and any law of any jurisdiction of similar effect with respect to my release of any claims hereunder, including but not limited to my release of unknown claims.</w:t>
      </w:r>
    </w:p>
    <w:p>
      <w:pPr>
        <w:spacing w:after="0" w:line="180"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 hereby represent that I have been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me, and I have not suffered any on-the-job injury for which I have not already filed a claim.</w:t>
      </w:r>
    </w:p>
    <w:p>
      <w:pPr>
        <w:spacing w:after="0" w:line="178"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21"/>
          <w:szCs w:val="21"/>
          <w:color w:val="auto"/>
        </w:rPr>
        <w:t>I acknowledge that to become effective, I must sign and return this Release to the Company so that it is received not later than fourteen (14) days following the date it is provided to 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-12065</wp:posOffset>
            </wp:positionV>
            <wp:extent cx="2482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pacing w:after="0" w:line="19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-12065</wp:posOffset>
            </wp:positionV>
            <wp:extent cx="254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-12065</wp:posOffset>
            </wp:positionV>
            <wp:extent cx="24066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Young, certify that:</w:t>
      </w:r>
    </w:p>
    <w:p>
      <w:pPr>
        <w:spacing w:after="0" w:line="225" w:lineRule="exact"/>
        <w:rPr>
          <w:sz w:val="20"/>
          <w:szCs w:val="20"/>
          <w:color w:val="auto"/>
        </w:rPr>
      </w:pPr>
    </w:p>
    <w:p>
      <w:pPr>
        <w:ind w:left="180" w:hanging="172"/>
        <w:spacing w:after="0"/>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17"/>
        <w:spacing w:after="0" w:line="282" w:lineRule="auto"/>
        <w:tabs>
          <w:tab w:leader="none" w:pos="7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20" w:firstLine="517"/>
        <w:spacing w:after="0" w:line="266" w:lineRule="auto"/>
        <w:tabs>
          <w:tab w:leader="none" w:pos="7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080"/>
        <w:spacing w:after="0"/>
        <w:rPr>
          <w:sz w:val="20"/>
          <w:szCs w:val="20"/>
          <w:color w:val="auto"/>
        </w:rPr>
      </w:pPr>
      <w:r>
        <w:rPr>
          <w:rFonts w:ascii="Times New Roman" w:cs="Times New Roman" w:eastAsia="Times New Roman" w:hAnsi="Times New Roman"/>
          <w:sz w:val="18"/>
          <w:szCs w:val="18"/>
          <w:color w:val="auto"/>
        </w:rPr>
        <w:t>John A. Young</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October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52"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John A. Young, certify, pursuant to 18 U.S.C. Section 1350, as adopted pursuant to Section 906 of the Sarbanes-Oxley Act of 2002, that the Quarterly Report of Ambarella, Inc. on Form 10-Q for the fiscal quarter ended October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Young</w:t>
            </w:r>
          </w:p>
        </w:tc>
      </w:tr>
      <w:tr>
        <w:trPr>
          <w:trHeight w:val="191"/>
        </w:trPr>
        <w:tc>
          <w:tcPr>
            <w:tcW w:w="7240" w:type="dxa"/>
            <w:vAlign w:val="bottom"/>
          </w:tcPr>
          <w:p>
            <w:pPr>
              <w:ind w:left="6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A. Young</w:t>
            </w:r>
          </w:p>
        </w:tc>
      </w:tr>
      <w:tr>
        <w:trPr>
          <w:trHeight w:val="234"/>
        </w:trPr>
        <w:tc>
          <w:tcPr>
            <w:tcW w:w="7240" w:type="dxa"/>
            <w:vAlign w:val="bottom"/>
          </w:tcPr>
          <w:p>
            <w:pPr>
              <w:ind w:left="64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72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0"/>
    </w:lvl>
  </w:abstractNum>
  <w:abstractNum w:abstractNumId="3">
    <w:nsid w:val="649BB77C"/>
    <w:multiLevelType w:val="hybridMultilevel"/>
    <w:lvl w:ilvl="0">
      <w:lvlJc w:val="left"/>
      <w:lvlText w:val="(%1)"/>
      <w:numFmt w:val="lowerRoman"/>
      <w:start w:val="2"/>
    </w:lvl>
  </w:abstractNum>
  <w:abstractNum w:abstractNumId="4">
    <w:nsid w:val="275AC794"/>
    <w:multiLevelType w:val="hybridMultilevel"/>
    <w:lvl w:ilvl="0">
      <w:lvlJc w:val="left"/>
      <w:lvlText w:val="%1."/>
      <w:numFmt w:val="decimal"/>
      <w:start w:val="14"/>
    </w:lvl>
  </w:abstractNum>
  <w:abstractNum w:abstractNumId="5">
    <w:nsid w:val="39386575"/>
    <w:multiLevelType w:val="hybridMultilevel"/>
    <w:lvl w:ilvl="0">
      <w:lvlJc w:val="left"/>
      <w:lvlText w:val="(%1)"/>
      <w:numFmt w:val="lowerLetter"/>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1)"/>
      <w:numFmt w:val="lowerRoman"/>
      <w:start w:val="1"/>
    </w:lvl>
  </w:abstractNum>
  <w:abstractNum w:abstractNumId="20">
    <w:nsid w:val="310C50B3"/>
    <w:multiLevelType w:val="hybridMultilevel"/>
    <w:lvl w:ilvl="0">
      <w:lvlJc w:val="left"/>
      <w:lvlText w:val="%1"/>
      <w:numFmt w:val="decimal"/>
      <w:start w:val="104"/>
    </w:lvl>
  </w:abstractNum>
  <w:abstractNum w:abstractNumId="21">
    <w:nsid w:val="5FF87E05"/>
    <w:multiLevelType w:val="hybridMultilevel"/>
    <w:lvl w:ilvl="0">
      <w:lvlJc w:val="left"/>
      <w:lvlText w:val="(%1)"/>
      <w:numFmt w:val="decimal"/>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1."/>
      <w:numFmt w:val="decimal"/>
      <w:start w:val="5"/>
    </w:lvl>
  </w:abstractNum>
  <w:abstractNum w:abstractNumId="26">
    <w:nsid w:val="1F48EAA1"/>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27">
    <w:nsid w:val="1381823A"/>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28">
    <w:nsid w:val="5DB70AE5"/>
    <w:multiLevelType w:val="hybridMultilevel"/>
    <w:lvl w:ilvl="0">
      <w:lvlJc w:val="left"/>
      <w:lvlText w:val="(%1)"/>
      <w:numFmt w:val="lowerRoman"/>
      <w:start w:val="2"/>
    </w:lvl>
  </w:abstractNum>
  <w:abstractNum w:abstractNumId="29">
    <w:nsid w:val="100F8FCA"/>
    <w:multiLevelType w:val="hybridMultilevel"/>
    <w:lvl w:ilvl="0">
      <w:lvlJc w:val="left"/>
      <w:lvlText w:val="%1"/>
      <w:numFmt w:val="lowerLetter"/>
      <w:start w:val="1"/>
    </w:lvl>
    <w:lvl w:ilvl="1">
      <w:lvlJc w:val="left"/>
      <w:lvlText w:val="(%2)"/>
      <w:numFmt w:val="lowerRoman"/>
      <w:start w:val="3"/>
    </w:lvl>
  </w:abstractNum>
  <w:abstractNum w:abstractNumId="30">
    <w:nsid w:val="6590700B"/>
    <w:multiLevelType w:val="hybridMultilevel"/>
    <w:lvl w:ilvl="0">
      <w:lvlJc w:val="left"/>
      <w:lvlText w:val="(%1)"/>
      <w:numFmt w:val="lowerLetter"/>
      <w:start w:val="2"/>
    </w:lvl>
    <w:lvl w:ilvl="1">
      <w:lvlJc w:val="left"/>
      <w:lvlText w:val="%2"/>
      <w:numFmt w:val="lowerRoman"/>
      <w:start w:val="1"/>
    </w:lvl>
  </w:abstractNum>
  <w:abstractNum w:abstractNumId="31">
    <w:nsid w:val="15014ACB"/>
    <w:multiLevelType w:val="hybridMultilevel"/>
    <w:lvl w:ilvl="0">
      <w:lvlJc w:val="left"/>
      <w:lvlText w:val="(%1)"/>
      <w:numFmt w:val="lowerRoman"/>
      <w:start w:val="1"/>
    </w:lvl>
  </w:abstractNum>
  <w:abstractNum w:abstractNumId="32">
    <w:nsid w:val="5F5E7FD0"/>
    <w:multiLevelType w:val="hybridMultilevel"/>
    <w:lvl w:ilvl="0">
      <w:lvlJc w:val="left"/>
      <w:lvlText w:val="(%1)"/>
      <w:numFmt w:val="lowerRoman"/>
      <w:start w:val="2"/>
    </w:lvl>
  </w:abstractNum>
  <w:abstractNum w:abstractNumId="33">
    <w:nsid w:val="98A3148"/>
    <w:multiLevelType w:val="hybridMultilevel"/>
    <w:lvl w:ilvl="0">
      <w:lvlJc w:val="left"/>
      <w:lvlText w:val="%1"/>
      <w:numFmt w:val="lowerLetter"/>
      <w:start w:val="1"/>
    </w:lvl>
    <w:lvl w:ilvl="1">
      <w:lvlJc w:val="left"/>
      <w:lvlText w:val="(%2)"/>
      <w:numFmt w:val="lowerRoman"/>
      <w:start w:val="3"/>
    </w:lvl>
  </w:abstractNum>
  <w:abstractNum w:abstractNumId="34">
    <w:nsid w:val="799D0247"/>
    <w:multiLevelType w:val="hybridMultilevel"/>
    <w:lvl w:ilvl="0">
      <w:lvlJc w:val="left"/>
      <w:lvlText w:val="(%1)"/>
      <w:numFmt w:val="lowerLetter"/>
      <w:start w:val="3"/>
    </w:lvl>
    <w:lvl w:ilvl="1">
      <w:lvlJc w:val="left"/>
      <w:lvlText w:val="%2"/>
      <w:numFmt w:val="lowerRoman"/>
      <w:start w:val="1"/>
    </w:lvl>
  </w:abstractNum>
  <w:abstractNum w:abstractNumId="35">
    <w:nsid w:val="6B94764"/>
    <w:multiLevelType w:val="hybridMultilevel"/>
    <w:lvl w:ilvl="0">
      <w:lvlJc w:val="left"/>
      <w:lvlText w:val="(%1)"/>
      <w:numFmt w:val="lowerRoman"/>
      <w:start w:val="1"/>
    </w:lvl>
  </w:abstractNum>
  <w:abstractNum w:abstractNumId="36">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37">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38">
    <w:nsid w:val="1EBA5D23"/>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6"/>
    </w:lvl>
    <w:lvl w:ilvl="3">
      <w:lvlJc w:val="left"/>
      <w:lvlText w:val="%4"/>
      <w:numFmt w:val="lowerLetter"/>
      <w:start w:val="1"/>
    </w:lvl>
  </w:abstractNum>
  <w:abstractNum w:abstractNumId="39">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0">
    <w:nsid w:val="5DC79EA8"/>
    <w:multiLevelType w:val="hybridMultilevel"/>
    <w:lvl w:ilvl="0">
      <w:lvlJc w:val="left"/>
      <w:lvlText w:val="(%1)"/>
      <w:numFmt w:val="upperLetter"/>
      <w:start w:val="2"/>
    </w:lvl>
    <w:lvl w:ilvl="1">
      <w:lvlJc w:val="left"/>
      <w:lvlText w:val="%2."/>
      <w:numFmt w:val="decimal"/>
      <w:start w:val="8"/>
    </w:lvl>
    <w:lvl w:ilvl="2">
      <w:lvlJc w:val="left"/>
      <w:lvlText w:val="(%3)"/>
      <w:numFmt w:val="lowerLetter"/>
      <w:start w:val="2"/>
    </w:lvl>
  </w:abstractNum>
  <w:abstractNum w:abstractNumId="41">
    <w:nsid w:val="540A471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2">
    <w:nsid w:val="7BD3EE7B"/>
    <w:multiLevelType w:val="hybridMultilevel"/>
    <w:lvl w:ilvl="0">
      <w:lvlJc w:val="left"/>
      <w:lvlText w:val="(%1)"/>
      <w:numFmt w:val="lowerLetter"/>
      <w:start w:val="2"/>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decimal"/>
      <w:start w:val="6"/>
    </w:lvl>
  </w:abstractNum>
  <w:abstractNum w:abstractNumId="45">
    <w:nsid w:val="BF72B14"/>
    <w:multiLevelType w:val="hybridMultilevel"/>
    <w:lvl w:ilvl="0">
      <w:lvlJc w:val="left"/>
      <w:lvlText w:val="%1."/>
      <w:numFmt w:val="decimal"/>
      <w:start w:val="6"/>
    </w:lvl>
  </w:abstractNum>
  <w:abstractNum w:abstractNumId="46">
    <w:nsid w:val="11447B73"/>
    <w:multiLevelType w:val="hybridMultilevel"/>
    <w:lvl w:ilvl="0">
      <w:lvlJc w:val="left"/>
      <w:lvlText w:val="(%1)"/>
      <w:numFmt w:val="lowerLetter"/>
      <w:start w:val="1"/>
    </w:lvl>
    <w:lvl w:ilvl="1">
      <w:lvlJc w:val="left"/>
      <w:lvlText w:val="(%2)"/>
      <w:numFmt w:val="lowerLetter"/>
      <w:start w:val="9"/>
    </w:lvl>
  </w:abstractNum>
  <w:abstractNum w:abstractNumId="47">
    <w:nsid w:val="42963E5A"/>
    <w:multiLevelType w:val="hybridMultilevel"/>
    <w:lvl w:ilvl="0">
      <w:lvlJc w:val="left"/>
      <w:lvlText w:val="(%1)"/>
      <w:numFmt w:val="lowerRoman"/>
      <w:start w:val="2"/>
    </w:lvl>
  </w:abstractNum>
  <w:abstractNum w:abstractNumId="48">
    <w:nsid w:val="A0382C5"/>
    <w:multiLevelType w:val="hybridMultilevel"/>
    <w:lvl w:ilvl="0">
      <w:lvlJc w:val="left"/>
      <w:lvlText w:val="(%1)"/>
      <w:numFmt w:val="lowerRoman"/>
      <w:start w:val="3"/>
    </w:lvl>
  </w:abstractNum>
  <w:abstractNum w:abstractNumId="49">
    <w:nsid w:val="8F2B15E"/>
    <w:multiLevelType w:val="hybridMultilevel"/>
    <w:lvl w:ilvl="0">
      <w:lvlJc w:val="left"/>
      <w:lvlText w:val="(%1)"/>
      <w:numFmt w:val="lowerLetter"/>
      <w:start w:val="2"/>
    </w:lvl>
  </w:abstractNum>
  <w:abstractNum w:abstractNumId="50">
    <w:nsid w:val="1A32234B"/>
    <w:multiLevelType w:val="hybridMultilevel"/>
    <w:lvl w:ilvl="0">
      <w:lvlJc w:val="left"/>
      <w:lvlText w:val="(%1)"/>
      <w:numFmt w:val="lowerRoman"/>
      <w:start w:val="1"/>
    </w:lvl>
  </w:abstractNum>
  <w:abstractNum w:abstractNumId="51">
    <w:nsid w:val="3B0FD379"/>
    <w:multiLevelType w:val="hybridMultilevel"/>
    <w:lvl w:ilvl="0">
      <w:lvlJc w:val="left"/>
      <w:lvlText w:val="(%1)"/>
      <w:numFmt w:val="lowerRoman"/>
      <w:start w:val="2"/>
    </w:lvl>
  </w:abstractNum>
  <w:abstractNum w:abstractNumId="52">
    <w:nsid w:val="68EB2F63"/>
    <w:multiLevelType w:val="hybridMultilevel"/>
    <w:lvl w:ilvl="0">
      <w:lvlJc w:val="left"/>
      <w:lvlText w:val="(%1)"/>
      <w:numFmt w:val="lowerRoman"/>
      <w:start w:val="3"/>
    </w:lvl>
  </w:abstractNum>
  <w:abstractNum w:abstractNumId="53">
    <w:nsid w:val="4962813B"/>
    <w:multiLevelType w:val="hybridMultilevel"/>
    <w:lvl w:ilvl="0">
      <w:lvlJc w:val="left"/>
      <w:lvlText w:val="(%1)"/>
      <w:numFmt w:val="lowerLetter"/>
      <w:start w:val="3"/>
    </w:lvl>
  </w:abstractNum>
  <w:abstractNum w:abstractNumId="54">
    <w:nsid w:val="60B6DF70"/>
    <w:multiLevelType w:val="hybridMultilevel"/>
    <w:lvl w:ilvl="0">
      <w:lvlJc w:val="left"/>
      <w:lvlText w:val="(%1)"/>
      <w:numFmt w:val="lowerLetter"/>
      <w:start w:val="4"/>
    </w:lvl>
  </w:abstractNum>
  <w:abstractNum w:abstractNumId="55">
    <w:nsid w:val="6A5EE64"/>
    <w:multiLevelType w:val="hybridMultilevel"/>
    <w:lvl w:ilvl="0">
      <w:lvlJc w:val="left"/>
      <w:lvlText w:val="(%1)"/>
      <w:numFmt w:val="lowerRoman"/>
      <w:start w:val="1"/>
    </w:lvl>
  </w:abstractNum>
  <w:abstractNum w:abstractNumId="56">
    <w:nsid w:val="14330624"/>
    <w:multiLevelType w:val="hybridMultilevel"/>
    <w:lvl w:ilvl="0">
      <w:lvlJc w:val="left"/>
      <w:lvlText w:val="(%1)"/>
      <w:numFmt w:val="lowerRoman"/>
      <w:start w:val="2"/>
    </w:lvl>
  </w:abstractNum>
  <w:abstractNum w:abstractNumId="57">
    <w:nsid w:val="7FFFCA11"/>
    <w:multiLevelType w:val="hybridMultilevel"/>
    <w:lvl w:ilvl="0">
      <w:lvlJc w:val="left"/>
      <w:lvlText w:val="(%1)"/>
      <w:numFmt w:val="lowerRoman"/>
      <w:start w:val="3"/>
    </w:lvl>
  </w:abstractNum>
  <w:abstractNum w:abstractNumId="58">
    <w:nsid w:val="1A27709E"/>
    <w:multiLevelType w:val="hybridMultilevel"/>
    <w:lvl w:ilvl="0">
      <w:lvlJc w:val="left"/>
      <w:lvlText w:val="(%1)"/>
      <w:numFmt w:val="lowerRoman"/>
      <w:start w:val="5"/>
    </w:lvl>
  </w:abstractNum>
  <w:abstractNum w:abstractNumId="59">
    <w:nsid w:val="71EA1109"/>
    <w:multiLevelType w:val="hybridMultilevel"/>
    <w:lvl w:ilvl="0">
      <w:lvlJc w:val="left"/>
      <w:lvlText w:val="(%1)"/>
      <w:numFmt w:val="lowerRoman"/>
      <w:start w:val="6"/>
    </w:lvl>
  </w:abstractNum>
  <w:abstractNum w:abstractNumId="60">
    <w:nsid w:val="100F59DC"/>
    <w:multiLevelType w:val="hybridMultilevel"/>
    <w:lvl w:ilvl="0">
      <w:lvlJc w:val="left"/>
      <w:lvlText w:val="(%1)"/>
      <w:numFmt w:val="lowerLetter"/>
      <w:start w:val="5"/>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2"/>
    </w:lvl>
  </w:abstractNum>
  <w:abstractNum w:abstractNumId="64">
    <w:nsid w:val="94211F2"/>
    <w:multiLevelType w:val="hybridMultilevel"/>
    <w:lvl w:ilvl="0">
      <w:lvlJc w:val="left"/>
      <w:lvlText w:val="(%1)"/>
      <w:numFmt w:val="lowerLetter"/>
      <w:start w:val="6"/>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1)"/>
      <w:numFmt w:val="lowerLetter"/>
      <w:start w:val="3"/>
    </w:lvl>
  </w:abstractNum>
  <w:abstractNum w:abstractNumId="68">
    <w:nsid w:val="1716703B"/>
    <w:multiLevelType w:val="hybridMultilevel"/>
    <w:lvl w:ilvl="0">
      <w:lvlJc w:val="left"/>
      <w:lvlText w:val="(%1)"/>
      <w:numFmt w:val="lowerLetter"/>
      <w:start w:val="7"/>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5"/>
    </w:lvl>
  </w:abstractNum>
  <w:abstractNum w:abstractNumId="71">
    <w:nsid w:val="74DE0EE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72">
    <w:nsid w:val="68EBC550"/>
    <w:multiLevelType w:val="hybridMultilevel"/>
    <w:lvl w:ilvl="0">
      <w:lvlJc w:val="left"/>
      <w:lvlText w:val="(%1)"/>
      <w:numFmt w:val="lowerRoman"/>
      <w:start w:val="2"/>
    </w:lvl>
  </w:abstractNum>
  <w:abstractNum w:abstractNumId="73">
    <w:nsid w:val="2DF6D648"/>
    <w:multiLevelType w:val="hybridMultilevel"/>
    <w:lvl w:ilvl="0">
      <w:lvlJc w:val="left"/>
      <w:lvlText w:val="%1"/>
      <w:numFmt w:val="lowerLetter"/>
      <w:start w:val="1"/>
    </w:lvl>
    <w:lvl w:ilvl="1">
      <w:lvlJc w:val="left"/>
      <w:lvlText w:val="(%2)"/>
      <w:numFmt w:val="lowerRoman"/>
      <w:start w:val="3"/>
    </w:lvl>
  </w:abstractNum>
  <w:abstractNum w:abstractNumId="74">
    <w:nsid w:val="46B7D447"/>
    <w:multiLevelType w:val="hybridMultilevel"/>
    <w:lvl w:ilvl="0">
      <w:lvlJc w:val="left"/>
      <w:lvlText w:val="(%1)"/>
      <w:numFmt w:val="lowerLetter"/>
      <w:start w:val="2"/>
    </w:lvl>
    <w:lvl w:ilvl="1">
      <w:lvlJc w:val="left"/>
      <w:lvlText w:val="%2"/>
      <w:numFmt w:val="lowerRoman"/>
      <w:start w:val="1"/>
    </w:lvl>
  </w:abstractNum>
  <w:abstractNum w:abstractNumId="75">
    <w:nsid w:val="4A2AC315"/>
    <w:multiLevelType w:val="hybridMultilevel"/>
    <w:lvl w:ilvl="0">
      <w:lvlJc w:val="left"/>
      <w:lvlText w:val="(%1)"/>
      <w:numFmt w:val="decimal"/>
      <w:start w:val="30"/>
    </w:lvl>
    <w:lvl w:ilvl="1">
      <w:lvlJc w:val="left"/>
      <w:lvlText w:val="(%2)"/>
      <w:numFmt w:val="lowerRoman"/>
      <w:start w:val="1"/>
    </w:lvl>
  </w:abstractNum>
  <w:abstractNum w:abstractNumId="76">
    <w:nsid w:val="39EE015C"/>
    <w:multiLevelType w:val="hybridMultilevel"/>
    <w:lvl w:ilvl="0">
      <w:lvlJc w:val="left"/>
      <w:lvlText w:val="(%1)"/>
      <w:numFmt w:val="lowerRoman"/>
      <w:start w:val="2"/>
    </w:lvl>
  </w:abstractNum>
  <w:abstractNum w:abstractNumId="77">
    <w:nsid w:val="57FC4FBB"/>
    <w:multiLevelType w:val="hybridMultilevel"/>
    <w:lvl w:ilvl="0">
      <w:lvlJc w:val="left"/>
      <w:lvlText w:val="%1"/>
      <w:numFmt w:val="lowerLetter"/>
      <w:start w:val="1"/>
    </w:lvl>
    <w:lvl w:ilvl="1">
      <w:lvlJc w:val="left"/>
      <w:lvlText w:val="(%2)"/>
      <w:numFmt w:val="lowerRoman"/>
      <w:start w:val="3"/>
    </w:lvl>
  </w:abstractNum>
  <w:abstractNum w:abstractNumId="78">
    <w:nsid w:val="CC1016F"/>
    <w:multiLevelType w:val="hybridMultilevel"/>
    <w:lvl w:ilvl="0">
      <w:lvlJc w:val="left"/>
      <w:lvlText w:val="(%1)"/>
      <w:numFmt w:val="lowerLetter"/>
      <w:start w:val="3"/>
    </w:lvl>
    <w:lvl w:ilvl="1">
      <w:lvlJc w:val="left"/>
      <w:lvlText w:val="%2"/>
      <w:numFmt w:val="lowerRoman"/>
      <w:start w:val="1"/>
    </w:lvl>
  </w:abstractNum>
  <w:abstractNum w:abstractNumId="79">
    <w:nsid w:val="43F18422"/>
    <w:multiLevelType w:val="hybridMultilevel"/>
    <w:lvl w:ilvl="0">
      <w:lvlJc w:val="left"/>
      <w:lvlText w:val="(%1)"/>
      <w:numFmt w:val="lowerRoman"/>
      <w:start w:val="1"/>
    </w:lvl>
  </w:abstractNum>
  <w:abstractNum w:abstractNumId="80">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1">
    <w:nsid w:val="26F324B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2">
    <w:nsid w:val="7F01579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3">
    <w:nsid w:val="49DA307D"/>
    <w:multiLevelType w:val="hybridMultilevel"/>
    <w:lvl w:ilvl="0">
      <w:lvlJc w:val="left"/>
      <w:lvlText w:val="%1"/>
      <w:numFmt w:val="decimal"/>
      <w:start w:val="1"/>
    </w:lvl>
    <w:lvl w:ilvl="1">
      <w:lvlJc w:val="left"/>
      <w:lvlText w:val="(%2)"/>
      <w:numFmt w:val="lowerLetter"/>
      <w:start w:val="2"/>
    </w:lvl>
  </w:abstractNum>
  <w:abstractNum w:abstractNumId="84">
    <w:nsid w:val="7055A5F5"/>
    <w:multiLevelType w:val="hybridMultilevel"/>
    <w:lvl w:ilvl="0">
      <w:lvlJc w:val="left"/>
      <w:lvlText w:val="%1."/>
      <w:numFmt w:val="decimal"/>
      <w:start w:val="9"/>
    </w:lvl>
    <w:lvl w:ilvl="1">
      <w:lvlJc w:val="left"/>
      <w:lvlText w:val="(%2)"/>
      <w:numFmt w:val="lowerLetter"/>
      <w:start w:val="1"/>
    </w:lvl>
  </w:abstractNum>
  <w:abstractNum w:abstractNumId="85">
    <w:nsid w:val="5FB8370B"/>
    <w:multiLevelType w:val="hybridMultilevel"/>
    <w:lvl w:ilvl="0">
      <w:lvlJc w:val="left"/>
      <w:lvlText w:val="%1"/>
      <w:numFmt w:val="decimal"/>
      <w:start w:val="1"/>
    </w:lvl>
    <w:lvl w:ilvl="1">
      <w:lvlJc w:val="left"/>
      <w:lvlText w:val="(%2)"/>
      <w:numFmt w:val="lowerLetter"/>
      <w:start w:val="3"/>
    </w:lvl>
  </w:abstractNum>
  <w:abstractNum w:abstractNumId="86">
    <w:nsid w:val="50801EE1"/>
    <w:multiLevelType w:val="hybridMultilevel"/>
    <w:lvl w:ilvl="0">
      <w:lvlJc w:val="left"/>
      <w:lvlText w:val="%1."/>
      <w:numFmt w:val="decimal"/>
      <w:start w:val="10"/>
    </w:lvl>
    <w:lvl w:ilvl="1">
      <w:lvlJc w:val="left"/>
      <w:lvlText w:val="(%2)"/>
      <w:numFmt w:val="lowerLetter"/>
      <w:start w:val="1"/>
    </w:lvl>
  </w:abstractNum>
  <w:abstractNum w:abstractNumId="87">
    <w:nsid w:val="488AC1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88">
    <w:nsid w:val="5FB8011C"/>
    <w:multiLevelType w:val="hybridMultilevel"/>
    <w:lvl w:ilvl="0">
      <w:lvlJc w:val="left"/>
      <w:lvlText w:val="(%1)"/>
      <w:numFmt w:val="lowerRoman"/>
      <w:start w:val="2"/>
    </w:lvl>
  </w:abstractNum>
  <w:abstractNum w:abstractNumId="89">
    <w:nsid w:val="6AA78F7F"/>
    <w:multiLevelType w:val="hybridMultilevel"/>
    <w:lvl w:ilvl="0">
      <w:lvlJc w:val="left"/>
      <w:lvlText w:val="(%1)"/>
      <w:numFmt w:val="lowerRoman"/>
      <w:start w:val="3"/>
    </w:lvl>
  </w:abstractNum>
  <w:abstractNum w:abstractNumId="90">
    <w:nsid w:val="7672BD23"/>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91">
    <w:nsid w:val="6FC75AF8"/>
    <w:multiLevelType w:val="hybridMultilevel"/>
    <w:lvl w:ilvl="0">
      <w:lvlJc w:val="left"/>
      <w:lvlText w:val="(%1)"/>
      <w:numFmt w:val="lowerRoman"/>
      <w:start w:val="2"/>
    </w:lvl>
  </w:abstractNum>
  <w:abstractNum w:abstractNumId="92">
    <w:nsid w:val="6A5F7029"/>
    <w:multiLevelType w:val="hybridMultilevel"/>
    <w:lvl w:ilvl="0">
      <w:lvlJc w:val="left"/>
      <w:lvlText w:val="(%1)"/>
      <w:numFmt w:val="lowerRoman"/>
      <w:start w:val="3"/>
    </w:lvl>
  </w:abstractNum>
  <w:abstractNum w:abstractNumId="93">
    <w:nsid w:val="7D5E18F8"/>
    <w:multiLevelType w:val="hybridMultilevel"/>
    <w:lvl w:ilvl="0">
      <w:lvlJc w:val="left"/>
      <w:lvlText w:val="(%1)"/>
      <w:numFmt w:val="lowerLetter"/>
      <w:start w:val="3"/>
    </w:lvl>
  </w:abstractNum>
  <w:abstractNum w:abstractNumId="94">
    <w:nsid w:val="5F3534A4"/>
    <w:multiLevelType w:val="hybridMultilevel"/>
    <w:lvl w:ilvl="0">
      <w:lvlJc w:val="left"/>
      <w:lvlText w:val="(%1)"/>
      <w:numFmt w:val="lowerRoman"/>
      <w:start w:val="1"/>
    </w:lvl>
  </w:abstractNum>
  <w:abstractNum w:abstractNumId="95">
    <w:nsid w:val="73A1821B"/>
    <w:multiLevelType w:val="hybridMultilevel"/>
    <w:lvl w:ilvl="0">
      <w:lvlJc w:val="left"/>
      <w:lvlText w:val="(%1)"/>
      <w:numFmt w:val="lowerRoman"/>
      <w:start w:val="2"/>
    </w:lvl>
  </w:abstractNum>
  <w:abstractNum w:abstractNumId="96">
    <w:nsid w:val="7DE67713"/>
    <w:multiLevelType w:val="hybridMultilevel"/>
    <w:lvl w:ilvl="0">
      <w:lvlJc w:val="left"/>
      <w:lvlText w:val="(%1)"/>
      <w:numFmt w:val="lowerRoman"/>
      <w:start w:val="3"/>
    </w:lvl>
  </w:abstractNum>
  <w:abstractNum w:abstractNumId="97">
    <w:nsid w:val="555C55B5"/>
    <w:multiLevelType w:val="hybridMultilevel"/>
    <w:lvl w:ilvl="0">
      <w:lvlJc w:val="left"/>
      <w:lvlText w:val="(%1)"/>
      <w:numFmt w:val="lowerRoman"/>
      <w:start w:val="5"/>
    </w:lvl>
  </w:abstractNum>
  <w:abstractNum w:abstractNumId="98">
    <w:nsid w:val="3FA62ACA"/>
    <w:multiLevelType w:val="hybridMultilevel"/>
    <w:lvl w:ilvl="0">
      <w:lvlJc w:val="left"/>
      <w:lvlText w:val="(%1)"/>
      <w:numFmt w:val="lowerRoman"/>
      <w:start w:val="6"/>
    </w:lvl>
  </w:abstractNum>
  <w:abstractNum w:abstractNumId="99">
    <w:nsid w:val="14FCE74E"/>
    <w:multiLevelType w:val="hybridMultilevel"/>
    <w:lvl w:ilvl="0">
      <w:lvlJc w:val="left"/>
      <w:lvlText w:val="(%1)"/>
      <w:numFmt w:val="lowerLetter"/>
      <w:start w:val="5"/>
    </w:lvl>
  </w:abstractNum>
  <w:abstractNum w:abstractNumId="100">
    <w:nsid w:val="6A3DD3E8"/>
    <w:multiLevelType w:val="hybridMultilevel"/>
    <w:lvl w:ilvl="0">
      <w:lvlJc w:val="left"/>
      <w:lvlText w:val="&amp;"/>
      <w:numFmt w:val="bullet"/>
      <w:start w:val="1"/>
    </w:lvl>
    <w:lvl w:ilvl="1">
      <w:lvlJc w:val="left"/>
      <w:lvlText w:val="%2."/>
      <w:numFmt w:val="decimal"/>
      <w:start w:val="12"/>
    </w:lvl>
    <w:lvl w:ilvl="2">
      <w:lvlJc w:val="left"/>
      <w:lvlText w:val="(%3)"/>
      <w:numFmt w:val="lowerLetter"/>
      <w:start w:val="1"/>
    </w:lvl>
  </w:abstractNum>
  <w:abstractNum w:abstractNumId="101">
    <w:nsid w:val="71C91298"/>
    <w:multiLevelType w:val="hybridMultilevel"/>
    <w:lvl w:ilvl="0">
      <w:lvlJc w:val="left"/>
      <w:lvlText w:val="(%1)"/>
      <w:numFmt w:val="lowerLetter"/>
      <w:start w:val="3"/>
    </w:lvl>
  </w:abstractNum>
  <w:abstractNum w:abstractNumId="102">
    <w:nsid w:val="9DAF632"/>
    <w:multiLevelType w:val="hybridMultilevel"/>
    <w:lvl w:ilvl="0">
      <w:lvlJc w:val="left"/>
      <w:lvlText w:val="%1."/>
      <w:numFmt w:val="decimal"/>
      <w:start w:val="14"/>
    </w:lvl>
    <w:lvl w:ilvl="1">
      <w:lvlJc w:val="left"/>
      <w:lvlText w:val="(%2)"/>
      <w:numFmt w:val="lowerLetter"/>
      <w:start w:val="1"/>
    </w:lvl>
  </w:abstractNum>
  <w:abstractNum w:abstractNumId="103">
    <w:nsid w:val="53299938"/>
    <w:multiLevelType w:val="hybridMultilevel"/>
    <w:lvl w:ilvl="0">
      <w:lvlJc w:val="left"/>
      <w:lvlText w:val="%1."/>
      <w:numFmt w:val="decimal"/>
      <w:start w:val="16"/>
    </w:lvl>
    <w:lvl w:ilvl="1">
      <w:lvlJc w:val="left"/>
      <w:lvlText w:val="(%2)"/>
      <w:numFmt w:val="lowerLetter"/>
      <w:start w:val="1"/>
    </w:lvl>
  </w:abstractNum>
  <w:abstractNum w:abstractNumId="104">
    <w:nsid w:val="1FBFE8E0"/>
    <w:multiLevelType w:val="hybridMultilevel"/>
    <w:lvl w:ilvl="0">
      <w:lvlJc w:val="left"/>
      <w:lvlText w:val="(%1)"/>
      <w:numFmt w:val="lowerLetter"/>
      <w:start w:val="5"/>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349" Type="http://schemas.openxmlformats.org/officeDocument/2006/relationships/hyperlink" Target="https://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2025-12-04T13:37:27Z</dcterms:created>
  <dcterms:modified xsi:type="dcterms:W3CDTF">2025-12-04T13:37:27Z</dcterms:modified>
</cp:coreProperties>
</file>